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lotextu"/>
        <w:ind w:right="0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Tlotextu"/>
        <w:ind w:right="0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Tlotextu"/>
        <w:ind w:right="0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Veřejnoprávní smlouva</w:t>
      </w:r>
      <w:r>
        <w:rPr>
          <w:rFonts w:ascii="Times New Roman" w:hAnsi="Times New Roman"/>
          <w:sz w:val="22"/>
          <w:szCs w:val="22"/>
        </w:rPr>
        <w:t xml:space="preserve"> </w:t>
      </w:r>
    </w:p>
    <w:p>
      <w:pPr>
        <w:pStyle w:val="Tlotextu"/>
        <w:ind w:right="0" w:hanging="0"/>
        <w:jc w:val="center"/>
        <w:rPr/>
      </w:pPr>
      <w:r>
        <w:rPr>
          <w:rFonts w:ascii="Times New Roman" w:hAnsi="Times New Roman"/>
          <w:b/>
          <w:sz w:val="22"/>
          <w:szCs w:val="22"/>
        </w:rPr>
        <w:t xml:space="preserve">o poskytnutí účelové dotace z rozpočtu Městské části Praha - Vinoř </w:t>
      </w:r>
    </w:p>
    <w:p>
      <w:pPr>
        <w:pStyle w:val="Tlotextu"/>
        <w:ind w:right="0" w:hanging="0"/>
        <w:jc w:val="center"/>
        <w:rPr/>
      </w:pPr>
      <w:r>
        <w:rPr>
          <w:rFonts w:ascii="Times New Roman" w:hAnsi="Times New Roman"/>
          <w:b/>
          <w:sz w:val="22"/>
          <w:szCs w:val="22"/>
        </w:rPr>
        <w:t>číslo: 1999/2016-126</w:t>
      </w:r>
    </w:p>
    <w:p>
      <w:pPr>
        <w:pStyle w:val="Tlotextu"/>
        <w:ind w:right="0" w:hanging="0"/>
        <w:jc w:val="center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(dále jen „smlouva“)</w:t>
      </w:r>
    </w:p>
    <w:p>
      <w:pPr>
        <w:pStyle w:val="Tlotextu"/>
        <w:ind w:right="0" w:hanging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ind w:right="0" w:hanging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ind w:right="0" w:hanging="0"/>
        <w:jc w:val="center"/>
        <w:rPr/>
      </w:pPr>
      <w:r>
        <w:rPr>
          <w:rFonts w:ascii="Times New Roman" w:hAnsi="Times New Roman"/>
          <w:sz w:val="22"/>
          <w:szCs w:val="22"/>
        </w:rPr>
        <w:t>mezi:</w:t>
      </w:r>
    </w:p>
    <w:p>
      <w:pPr>
        <w:pStyle w:val="Tlotextu"/>
        <w:ind w:right="0" w:hanging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ind w:right="0" w:hanging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ListParagraph"/>
        <w:tabs>
          <w:tab w:val="left" w:pos="2016" w:leader="none"/>
        </w:tabs>
        <w:ind w:left="0" w:hanging="0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>Poskytovatel dotace:</w:t>
      </w:r>
      <w:r>
        <w:rPr>
          <w:rFonts w:cs="Times New Roman" w:ascii="Times New Roman" w:hAnsi="Times New Roman"/>
          <w:sz w:val="22"/>
          <w:szCs w:val="22"/>
        </w:rPr>
        <w:tab/>
        <w:tab/>
        <w:tab/>
        <w:tab/>
      </w:r>
    </w:p>
    <w:p>
      <w:pPr>
        <w:pStyle w:val="ListParagraph"/>
        <w:tabs>
          <w:tab w:val="left" w:pos="2016" w:leader="none"/>
        </w:tabs>
        <w:ind w:left="0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Městská část Praha-Vinoř</w:t>
      </w:r>
    </w:p>
    <w:p>
      <w:pPr>
        <w:pStyle w:val="ListParagraph"/>
        <w:tabs>
          <w:tab w:val="left" w:pos="2016" w:leader="none"/>
        </w:tabs>
        <w:ind w:left="0" w:hanging="0"/>
        <w:jc w:val="both"/>
        <w:rPr/>
      </w:pPr>
      <w:r>
        <w:rPr>
          <w:rFonts w:ascii="Times New Roman" w:hAnsi="Times New Roman"/>
          <w:sz w:val="22"/>
          <w:szCs w:val="22"/>
        </w:rPr>
        <w:t>Bohdanečská 97, 190 17, Praha 9-Vinoř</w:t>
      </w:r>
    </w:p>
    <w:p>
      <w:pPr>
        <w:pStyle w:val="ListParagraph"/>
        <w:tabs>
          <w:tab w:val="left" w:pos="2016" w:leader="none"/>
        </w:tabs>
        <w:ind w:left="0" w:hanging="0"/>
        <w:jc w:val="both"/>
        <w:rPr/>
      </w:pPr>
      <w:r>
        <w:rPr>
          <w:rFonts w:ascii="Times New Roman" w:hAnsi="Times New Roman"/>
          <w:sz w:val="22"/>
          <w:szCs w:val="22"/>
        </w:rPr>
        <w:t>IČ 00240982</w:t>
      </w:r>
    </w:p>
    <w:p>
      <w:pPr>
        <w:pStyle w:val="ListParagraph"/>
        <w:tabs>
          <w:tab w:val="left" w:pos="2016" w:leader="none"/>
        </w:tabs>
        <w:ind w:left="0" w:hanging="0"/>
        <w:jc w:val="both"/>
        <w:rPr/>
      </w:pPr>
      <w:r>
        <w:rPr>
          <w:rFonts w:ascii="Times New Roman" w:hAnsi="Times New Roman"/>
          <w:sz w:val="22"/>
          <w:szCs w:val="22"/>
        </w:rPr>
        <w:t>DIČ CZ00240982</w:t>
      </w:r>
    </w:p>
    <w:p>
      <w:pPr>
        <w:pStyle w:val="ListParagraph"/>
        <w:tabs>
          <w:tab w:val="left" w:pos="2016" w:leader="none"/>
        </w:tabs>
        <w:ind w:left="0" w:hanging="0"/>
        <w:jc w:val="both"/>
        <w:rPr/>
      </w:pPr>
      <w:r>
        <w:rPr>
          <w:rFonts w:ascii="Times New Roman" w:hAnsi="Times New Roman"/>
          <w:sz w:val="22"/>
          <w:szCs w:val="22"/>
        </w:rPr>
        <w:t>zastoupená starostou Františkem Švarcem</w:t>
        <w:tab/>
        <w:tab/>
        <w:tab/>
        <w:tab/>
        <w:tab/>
        <w:tab/>
      </w:r>
    </w:p>
    <w:p>
      <w:pPr>
        <w:pStyle w:val="ListParagraph"/>
        <w:tabs>
          <w:tab w:val="left" w:pos="2016" w:leader="none"/>
        </w:tabs>
        <w:ind w:left="0" w:hanging="0"/>
        <w:jc w:val="both"/>
        <w:rPr/>
      </w:pPr>
      <w:r>
        <w:rPr>
          <w:rFonts w:ascii="Times New Roman" w:hAnsi="Times New Roman"/>
          <w:sz w:val="22"/>
          <w:szCs w:val="22"/>
        </w:rPr>
        <w:t>bankovní spojení: ČSOB</w:t>
        <w:tab/>
      </w:r>
    </w:p>
    <w:p>
      <w:pPr>
        <w:pStyle w:val="Tlotextu"/>
        <w:tabs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0"/>
        <w:rPr/>
      </w:pPr>
      <w:r>
        <w:rPr>
          <w:rFonts w:ascii="Times New Roman" w:hAnsi="Times New Roman"/>
          <w:sz w:val="22"/>
          <w:szCs w:val="22"/>
        </w:rPr>
        <w:t>číslo účtu: 274 958 902/0300</w:t>
      </w:r>
    </w:p>
    <w:p>
      <w:pPr>
        <w:pStyle w:val="Tlotextu"/>
        <w:tabs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0"/>
        <w:rPr/>
      </w:pPr>
      <w:r>
        <w:rPr>
          <w:rFonts w:ascii="Times New Roman" w:hAnsi="Times New Roman"/>
          <w:sz w:val="22"/>
          <w:szCs w:val="22"/>
        </w:rPr>
        <w:t>(dále jen „</w:t>
      </w:r>
      <w:r>
        <w:rPr>
          <w:rFonts w:ascii="Times New Roman" w:hAnsi="Times New Roman"/>
          <w:b/>
          <w:sz w:val="22"/>
          <w:szCs w:val="22"/>
        </w:rPr>
        <w:t>poskytovatel“</w:t>
      </w:r>
      <w:r>
        <w:rPr>
          <w:rFonts w:ascii="Times New Roman" w:hAnsi="Times New Roman"/>
          <w:sz w:val="22"/>
          <w:szCs w:val="22"/>
        </w:rPr>
        <w:t>)</w:t>
      </w:r>
    </w:p>
    <w:p>
      <w:pPr>
        <w:pStyle w:val="Tlotextu"/>
        <w:ind w:right="0" w:hanging="0"/>
        <w:rPr>
          <w:rFonts w:ascii="Times New Roman" w:hAnsi="Times New Roman"/>
          <w:sz w:val="22"/>
          <w:szCs w:val="22"/>
        </w:rPr>
      </w:pPr>
      <w:bookmarkStart w:id="0" w:name="_GoBack"/>
      <w:bookmarkStart w:id="1" w:name="_GoBack"/>
      <w:bookmarkEnd w:id="1"/>
      <w:r>
        <w:rPr>
          <w:rFonts w:ascii="Times New Roman" w:hAnsi="Times New Roman"/>
          <w:sz w:val="22"/>
          <w:szCs w:val="22"/>
        </w:rPr>
      </w:r>
    </w:p>
    <w:p>
      <w:pPr>
        <w:pStyle w:val="Tlotextu"/>
        <w:ind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</w:t>
      </w:r>
    </w:p>
    <w:p>
      <w:pPr>
        <w:pStyle w:val="Tlotextu"/>
        <w:ind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016" w:leader="none"/>
        </w:tabs>
        <w:jc w:val="both"/>
        <w:rPr/>
      </w:pPr>
      <w:r>
        <w:rPr>
          <w:b/>
          <w:sz w:val="22"/>
          <w:szCs w:val="22"/>
        </w:rPr>
        <w:t xml:space="preserve">Příjemce dotace: </w:t>
        <w:tab/>
        <w:tab/>
        <w:tab/>
        <w:tab/>
      </w:r>
    </w:p>
    <w:p>
      <w:pPr>
        <w:pStyle w:val="Normal"/>
        <w:tabs>
          <w:tab w:val="left" w:pos="2016" w:leader="none"/>
        </w:tabs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Tělocvičná jednota Sokol Vinoř</w:t>
      </w:r>
    </w:p>
    <w:p>
      <w:pPr>
        <w:pStyle w:val="Normal"/>
        <w:tabs>
          <w:tab w:val="left" w:pos="2016" w:leader="none"/>
        </w:tabs>
        <w:jc w:val="both"/>
        <w:rPr/>
      </w:pPr>
      <w:r>
        <w:rPr>
          <w:b/>
          <w:sz w:val="22"/>
          <w:szCs w:val="22"/>
        </w:rPr>
        <w:t>pobočný spolek</w:t>
      </w:r>
    </w:p>
    <w:p>
      <w:pPr>
        <w:pStyle w:val="ListParagraph"/>
        <w:tabs>
          <w:tab w:val="left" w:pos="2016" w:leader="none"/>
        </w:tabs>
        <w:ind w:left="0" w:hanging="0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IČ 49281771</w:t>
      </w:r>
    </w:p>
    <w:p>
      <w:pPr>
        <w:pStyle w:val="Normal"/>
        <w:tabs>
          <w:tab w:val="left" w:pos="2016" w:leader="none"/>
        </w:tabs>
        <w:ind w:hanging="2520"/>
        <w:jc w:val="both"/>
        <w:rPr/>
      </w:pPr>
      <w:r>
        <w:rPr>
          <w:sz w:val="22"/>
          <w:szCs w:val="22"/>
        </w:rPr>
        <w:tab/>
        <w:t>Klenovská 35, 190 17, Praha 9</w:t>
      </w:r>
    </w:p>
    <w:p>
      <w:pPr>
        <w:pStyle w:val="Normal"/>
        <w:tabs>
          <w:tab w:val="left" w:pos="2016" w:leader="none"/>
        </w:tabs>
        <w:ind w:hanging="2520"/>
        <w:jc w:val="both"/>
        <w:rPr/>
      </w:pPr>
      <w:r>
        <w:rPr>
          <w:sz w:val="22"/>
          <w:szCs w:val="22"/>
        </w:rPr>
        <w:tab/>
        <w:t>zastoupená starostou Ing. Myronem Gawdunem a</w:t>
      </w:r>
    </w:p>
    <w:p>
      <w:pPr>
        <w:pStyle w:val="Normal"/>
        <w:tabs>
          <w:tab w:val="left" w:pos="2016" w:leader="none"/>
        </w:tabs>
        <w:ind w:hanging="2520"/>
        <w:jc w:val="both"/>
        <w:rPr/>
      </w:pPr>
      <w:r>
        <w:rPr>
          <w:sz w:val="22"/>
          <w:szCs w:val="22"/>
        </w:rPr>
        <w:tab/>
        <w:t>jednatelem Milanem Klivickým</w:t>
        <w:tab/>
        <w:tab/>
        <w:tab/>
        <w:tab/>
        <w:tab/>
        <w:t xml:space="preserve"> </w:t>
        <w:tab/>
        <w:tab/>
        <w:tab/>
      </w:r>
    </w:p>
    <w:p>
      <w:pPr>
        <w:pStyle w:val="Normal"/>
        <w:tabs>
          <w:tab w:val="left" w:pos="2016" w:leader="none"/>
        </w:tabs>
        <w:ind w:hanging="2520"/>
        <w:jc w:val="both"/>
        <w:rPr/>
      </w:pPr>
      <w:r>
        <w:rPr>
          <w:sz w:val="22"/>
          <w:szCs w:val="22"/>
        </w:rPr>
        <w:tab/>
        <w:t>bankovní spojení: Česká spořitelna</w:t>
        <w:tab/>
      </w:r>
    </w:p>
    <w:p>
      <w:pPr>
        <w:pStyle w:val="Normal"/>
        <w:tabs>
          <w:tab w:val="left" w:pos="2016" w:leader="none"/>
        </w:tabs>
        <w:ind w:hanging="2520"/>
        <w:jc w:val="both"/>
        <w:rPr/>
      </w:pPr>
      <w:r>
        <w:rPr>
          <w:sz w:val="22"/>
          <w:szCs w:val="22"/>
        </w:rPr>
        <w:tab/>
        <w:t>číslo účtu: 247588379/0800</w:t>
      </w:r>
    </w:p>
    <w:p>
      <w:pPr>
        <w:pStyle w:val="Normal"/>
        <w:tabs>
          <w:tab w:val="left" w:pos="2016" w:leader="none"/>
        </w:tabs>
        <w:ind w:hanging="2520"/>
        <w:jc w:val="both"/>
        <w:rPr/>
      </w:pPr>
      <w:r>
        <w:rPr>
          <w:sz w:val="22"/>
          <w:szCs w:val="22"/>
        </w:rPr>
        <w:tab/>
        <w:t>(dále jen „</w:t>
      </w:r>
      <w:r>
        <w:rPr>
          <w:b/>
          <w:sz w:val="22"/>
          <w:szCs w:val="22"/>
        </w:rPr>
        <w:t>příjemce“</w:t>
      </w:r>
      <w:r>
        <w:rPr>
          <w:sz w:val="22"/>
          <w:szCs w:val="22"/>
        </w:rPr>
        <w:t>)</w:t>
      </w:r>
    </w:p>
    <w:p>
      <w:pPr>
        <w:pStyle w:val="Normal"/>
        <w:tabs>
          <w:tab w:val="left" w:pos="2016" w:leader="none"/>
        </w:tabs>
        <w:ind w:hanging="25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2016" w:leader="none"/>
        </w:tabs>
        <w:ind w:hanging="2520"/>
        <w:jc w:val="both"/>
        <w:rPr>
          <w:rFonts w:ascii="Arial" w:hAnsi="Arial" w:cs="Arial"/>
          <w:b/>
          <w:b/>
        </w:rPr>
      </w:pPr>
      <w:r>
        <w:rPr>
          <w:sz w:val="22"/>
          <w:szCs w:val="22"/>
        </w:rPr>
        <w:tab/>
        <w:tab/>
      </w:r>
    </w:p>
    <w:p>
      <w:pPr>
        <w:pStyle w:val="Normal"/>
        <w:jc w:val="both"/>
        <w:rPr>
          <w:rFonts w:ascii="Times New Roman" w:hAnsi="Times New Roman" w:eastAsia="Calibri" w:cs="Times New Roman" w:eastAsiaTheme="minorHAnsi"/>
          <w:color w:val="00000A"/>
          <w:sz w:val="22"/>
          <w:szCs w:val="22"/>
          <w:lang w:val="cs-CZ" w:eastAsia="en-US" w:bidi="ar-SA"/>
        </w:rPr>
      </w:pPr>
      <w:r>
        <w:rPr>
          <w:rFonts w:eastAsia="Calibri" w:cs="Times New Roman" w:eastAsiaTheme="minorHAnsi"/>
          <w:color w:val="00000A"/>
          <w:sz w:val="22"/>
          <w:szCs w:val="22"/>
          <w:lang w:val="cs-CZ" w:eastAsia="en-US" w:bidi="ar-SA"/>
        </w:rPr>
        <w:tab/>
        <w:t xml:space="preserve">uzavírají níže uvedeného dne, měsíce a roku dle ustanovení § 159 a násl. zákona </w:t>
        <w:br/>
        <w:t xml:space="preserve">č. 500/2004 Sb., správní řád, ve znění pozdějších předpisů a v souladu se zákonem č. 250/2000 Sb., </w:t>
        <w:br/>
        <w:t>o rozpočtových pravidlech územních rozpočtů, ve znění pozdějších předpisů a zákonem č. 131/2000 Sb., o hlavním městě Praze, ve znění pozdějších předpisů tuto smlouvu.</w:t>
      </w:r>
    </w:p>
    <w:p>
      <w:pPr>
        <w:pStyle w:val="Normal"/>
        <w:tabs>
          <w:tab w:val="left" w:pos="2016" w:leader="none"/>
        </w:tabs>
        <w:ind w:left="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2016" w:leader="none"/>
        </w:tabs>
        <w:jc w:val="center"/>
        <w:rPr/>
      </w:pPr>
      <w:r>
        <w:rPr>
          <w:b/>
          <w:sz w:val="22"/>
          <w:szCs w:val="22"/>
        </w:rPr>
        <w:t>I.</w:t>
      </w:r>
    </w:p>
    <w:p>
      <w:pPr>
        <w:pStyle w:val="Normal"/>
        <w:tabs>
          <w:tab w:val="left" w:pos="2016" w:leader="none"/>
        </w:tabs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Předmět smlouvy</w:t>
      </w:r>
    </w:p>
    <w:p>
      <w:pPr>
        <w:pStyle w:val="Normal"/>
        <w:tabs>
          <w:tab w:val="left" w:pos="2016" w:leader="none"/>
        </w:tabs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ListParagraph"/>
        <w:numPr>
          <w:ilvl w:val="1"/>
          <w:numId w:val="2"/>
        </w:numPr>
        <w:tabs>
          <w:tab w:val="left" w:pos="2016" w:leader="none"/>
        </w:tabs>
        <w:ind w:left="0" w:hanging="42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Usnesením Zastupitelstva městské části Praha – Vinoř č. Z282/11/16E ze dne 3.11.2016 bylo schváleno poskytnou účelovou  dotaci (dále jen „dotace“) z rozpočtu Městské části Praha – Vinoř ve výši 140.000,- Kč (slovy: jednostočtyřicettisíc korun českých)  na úhradu nákladů spojených </w:t>
      </w:r>
      <w:bookmarkStart w:id="2" w:name="__DdeLink__3679_2072270855"/>
      <w:r>
        <w:rPr>
          <w:rFonts w:cs="Times New Roman" w:ascii="Times New Roman" w:hAnsi="Times New Roman"/>
          <w:sz w:val="22"/>
          <w:szCs w:val="22"/>
        </w:rPr>
        <w:t>s opravou WC , sprch a vybavením šaten budovy sokolovny, č.p.35 v Městské části Praha 9-Vinoř v roce 2016.</w:t>
      </w:r>
    </w:p>
    <w:p>
      <w:pPr>
        <w:pStyle w:val="ListParagraph"/>
        <w:numPr>
          <w:ilvl w:val="0"/>
          <w:numId w:val="0"/>
        </w:numPr>
        <w:tabs>
          <w:tab w:val="left" w:pos="2016" w:leader="none"/>
        </w:tabs>
        <w:ind w:left="0" w:hanging="420"/>
        <w:jc w:val="both"/>
        <w:rPr>
          <w:rFonts w:ascii="Times New Roman" w:hAnsi="Times New Roman" w:cs="Times New Roman"/>
          <w:sz w:val="22"/>
          <w:szCs w:val="22"/>
        </w:rPr>
      </w:pPr>
      <w:bookmarkEnd w:id="2"/>
      <w:r>
        <w:rPr>
          <w:rFonts w:cs="Times New Roman"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0"/>
        </w:numPr>
        <w:tabs>
          <w:tab w:val="left" w:pos="2016" w:leader="none"/>
        </w:tabs>
        <w:ind w:left="0" w:hanging="42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Poskytovatel poskytne příjemci dotaci za podmínek uvedených v Článcích II. až III. této smlouvy. </w:t>
      </w:r>
    </w:p>
    <w:p>
      <w:pPr>
        <w:pStyle w:val="ListParagraph"/>
        <w:numPr>
          <w:ilvl w:val="0"/>
          <w:numId w:val="0"/>
        </w:numPr>
        <w:tabs>
          <w:tab w:val="left" w:pos="2016" w:leader="none"/>
        </w:tabs>
        <w:ind w:left="720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ListParagraph"/>
        <w:numPr>
          <w:ilvl w:val="1"/>
          <w:numId w:val="2"/>
        </w:numPr>
        <w:tabs>
          <w:tab w:val="left" w:pos="2016" w:leader="none"/>
        </w:tabs>
        <w:ind w:left="0" w:hanging="42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Dotace je poskytována na dobu od 5.12.2016 do 31.12.2016.</w:t>
      </w:r>
    </w:p>
    <w:p>
      <w:pPr>
        <w:pStyle w:val="ListParagraph"/>
        <w:numPr>
          <w:ilvl w:val="0"/>
          <w:numId w:val="0"/>
        </w:numPr>
        <w:tabs>
          <w:tab w:val="left" w:pos="2016" w:leader="none"/>
        </w:tabs>
        <w:ind w:left="720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left" w:pos="2016" w:leader="none"/>
        </w:tabs>
        <w:ind w:left="0" w:hanging="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left" w:pos="2016" w:leader="none"/>
        </w:tabs>
        <w:ind w:left="0" w:hanging="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left" w:pos="2016" w:leader="none"/>
        </w:tabs>
        <w:ind w:left="0" w:hanging="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left" w:pos="2016" w:leader="none"/>
        </w:tabs>
        <w:ind w:hanging="425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left" w:pos="2016" w:leader="none"/>
        </w:tabs>
        <w:ind w:hanging="425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left" w:pos="2016" w:leader="none"/>
        </w:tabs>
        <w:ind w:hanging="425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II. </w:t>
      </w:r>
    </w:p>
    <w:p>
      <w:pPr>
        <w:pStyle w:val="Normal"/>
        <w:tabs>
          <w:tab w:val="left" w:pos="2016" w:leader="none"/>
        </w:tabs>
        <w:ind w:hanging="425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Splatnost peněžních prostředků </w:t>
      </w:r>
    </w:p>
    <w:p>
      <w:pPr>
        <w:pStyle w:val="Normal"/>
        <w:tabs>
          <w:tab w:val="left" w:pos="2016" w:leader="none"/>
        </w:tabs>
        <w:ind w:hanging="425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widowControl/>
        <w:numPr>
          <w:ilvl w:val="1"/>
          <w:numId w:val="1"/>
        </w:numPr>
        <w:tabs>
          <w:tab w:val="left" w:pos="2016" w:leader="none"/>
        </w:tabs>
        <w:overflowPunct w:val="true"/>
        <w:bidi w:val="0"/>
        <w:spacing w:lineRule="auto" w:line="240" w:before="0" w:after="0"/>
        <w:ind w:left="360" w:right="0" w:hanging="340"/>
        <w:jc w:val="both"/>
        <w:textAlignment w:val="baseline"/>
        <w:rPr/>
      </w:pPr>
      <w:r>
        <w:rPr>
          <w:rFonts w:eastAsia="Calibri" w:cs="Times New Roman" w:eastAsiaTheme="minorHAnsi"/>
          <w:color w:val="00000A"/>
          <w:sz w:val="22"/>
          <w:szCs w:val="22"/>
          <w:lang w:val="cs-CZ" w:eastAsia="en-US" w:bidi="ar-SA"/>
        </w:rPr>
        <w:t xml:space="preserve">Poskytovatel se zavazuje poskytnout příjemci dotaci za účelem uvedeným v článku I. na účet příjemce uvedený v záhlaví této smlouvy do 5-ti kalendářních dnů od podpisu smlouvy. </w:t>
      </w:r>
    </w:p>
    <w:p>
      <w:pPr>
        <w:pStyle w:val="Normal"/>
        <w:widowControl/>
        <w:numPr>
          <w:ilvl w:val="0"/>
          <w:numId w:val="0"/>
        </w:numPr>
        <w:tabs>
          <w:tab w:val="left" w:pos="2016" w:leader="none"/>
        </w:tabs>
        <w:overflowPunct w:val="true"/>
        <w:bidi w:val="0"/>
        <w:spacing w:lineRule="auto" w:line="240" w:before="0" w:after="0"/>
        <w:ind w:left="360" w:right="0" w:hanging="340"/>
        <w:jc w:val="both"/>
        <w:textAlignment w:val="baseline"/>
        <w:rPr>
          <w:rFonts w:eastAsia="Calibri" w:cs="Times New Roman" w:eastAsiaTheme="minorHAnsi"/>
          <w:color w:val="00000A"/>
          <w:sz w:val="22"/>
          <w:szCs w:val="22"/>
          <w:lang w:val="cs-CZ" w:eastAsia="en-US" w:bidi="ar-SA"/>
        </w:rPr>
      </w:pPr>
      <w:r>
        <w:rPr>
          <w:rFonts w:eastAsia="Calibri" w:cs="Times New Roman" w:eastAsiaTheme="minorHAnsi"/>
          <w:color w:val="00000A"/>
          <w:sz w:val="22"/>
          <w:szCs w:val="22"/>
          <w:lang w:val="cs-CZ" w:eastAsia="en-US" w:bidi="ar-SA"/>
        </w:rPr>
      </w:r>
    </w:p>
    <w:p>
      <w:pPr>
        <w:pStyle w:val="Normal"/>
        <w:widowControl/>
        <w:numPr>
          <w:ilvl w:val="1"/>
          <w:numId w:val="1"/>
        </w:numPr>
        <w:tabs>
          <w:tab w:val="left" w:pos="2016" w:leader="none"/>
        </w:tabs>
        <w:overflowPunct w:val="true"/>
        <w:bidi w:val="0"/>
        <w:spacing w:lineRule="auto" w:line="240" w:before="0" w:after="0"/>
        <w:ind w:left="360" w:right="0" w:hanging="340"/>
        <w:jc w:val="both"/>
        <w:textAlignment w:val="baseline"/>
        <w:rPr/>
      </w:pPr>
      <w:r>
        <w:rPr>
          <w:rFonts w:eastAsia="Times New Roman" w:cs="Times New Roman"/>
          <w:i w:val="false"/>
          <w:iCs w:val="false"/>
          <w:color w:val="00000A"/>
          <w:sz w:val="22"/>
          <w:szCs w:val="22"/>
          <w:lang w:val="cs-CZ" w:eastAsia="cs-CZ" w:bidi="ar-SA"/>
        </w:rPr>
        <w:t xml:space="preserve">Finanční prostředky lze použít na úhradu nákladů vzniklých v  v kalendářním roce 2016 vztahujících se ke stanovenému účelu poskytnutí. Finanční prostředky nelze převádět do následujícího období. </w:t>
      </w:r>
    </w:p>
    <w:p>
      <w:pPr>
        <w:pStyle w:val="ListParagraph"/>
        <w:tabs>
          <w:tab w:val="left" w:pos="2016" w:leader="none"/>
        </w:tabs>
        <w:overflowPunct w:val="true"/>
        <w:ind w:left="0" w:hanging="0"/>
        <w:jc w:val="both"/>
        <w:rPr>
          <w:rFonts w:ascii="Times New Roman" w:hAnsi="Times New Roman" w:cs="Times New Roman"/>
          <w:i/>
          <w:i/>
          <w:color w:val="00B050"/>
          <w:sz w:val="22"/>
          <w:szCs w:val="22"/>
        </w:rPr>
      </w:pPr>
      <w:r>
        <w:rPr>
          <w:rFonts w:cs="Times New Roman" w:ascii="Times New Roman" w:hAnsi="Times New Roman"/>
          <w:i/>
          <w:color w:val="00B050"/>
          <w:sz w:val="22"/>
          <w:szCs w:val="22"/>
        </w:rPr>
      </w:r>
    </w:p>
    <w:p>
      <w:pPr>
        <w:pStyle w:val="Normal"/>
        <w:tabs>
          <w:tab w:val="left" w:pos="2016" w:leader="none"/>
        </w:tabs>
        <w:overflowPunct w:val="true"/>
        <w:ind w:hanging="425"/>
        <w:jc w:val="both"/>
        <w:rPr/>
      </w:pPr>
      <w:r>
        <w:rPr>
          <w:sz w:val="22"/>
          <w:szCs w:val="22"/>
        </w:rPr>
        <w:t xml:space="preserve">2.3 </w:t>
        <w:tab/>
        <w:t>V termínu pro předložení vyúčtování dle Článku 3.2 této smlouvy vrátí příjemce nevyčerpané finanční prostředky na účet poskytovatele. Neučiní-li tak, jedná se o porušení rozpočtové kázně dle § 22 zákona č. 250/2000 Sb., o rozpočtových pravidlech územních rozpočtů, ve znění pozdějších předpisů.</w:t>
      </w:r>
    </w:p>
    <w:p>
      <w:pPr>
        <w:pStyle w:val="Normal"/>
        <w:tabs>
          <w:tab w:val="left" w:pos="2016" w:leader="none"/>
        </w:tabs>
        <w:overflowPunct w:val="true"/>
        <w:ind w:hanging="425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left" w:pos="2016" w:leader="none"/>
        </w:tabs>
        <w:overflowPunct w:val="true"/>
        <w:ind w:hanging="425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left" w:pos="2016" w:leader="none"/>
        </w:tabs>
        <w:overflowPunct w:val="true"/>
        <w:ind w:hanging="425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left" w:pos="2016" w:leader="none"/>
        </w:tabs>
        <w:ind w:hanging="425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III.</w:t>
      </w:r>
    </w:p>
    <w:p>
      <w:pPr>
        <w:pStyle w:val="Normal"/>
        <w:tabs>
          <w:tab w:val="left" w:pos="2016" w:leader="none"/>
        </w:tabs>
        <w:ind w:hanging="425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Podmínky udělení peněžních prostředků</w:t>
      </w:r>
    </w:p>
    <w:p>
      <w:pPr>
        <w:pStyle w:val="Normal"/>
        <w:tabs>
          <w:tab w:val="left" w:pos="2016" w:leader="none"/>
        </w:tabs>
        <w:ind w:hanging="425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left" w:pos="2016" w:leader="none"/>
        </w:tabs>
        <w:ind w:hanging="426"/>
        <w:jc w:val="both"/>
        <w:rPr/>
      </w:pPr>
      <w:r>
        <w:rPr>
          <w:sz w:val="22"/>
          <w:szCs w:val="22"/>
        </w:rPr>
        <w:t>3.1  Příjemce je oprávněn použít dotaci pouze k účelu uvedenému v Článku I. této smlouvy.</w:t>
      </w:r>
    </w:p>
    <w:p>
      <w:pPr>
        <w:pStyle w:val="Normal"/>
        <w:tabs>
          <w:tab w:val="left" w:pos="2016" w:leader="none"/>
        </w:tabs>
        <w:ind w:hanging="426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2016" w:leader="none"/>
        </w:tabs>
        <w:ind w:hanging="425"/>
        <w:jc w:val="both"/>
        <w:rPr/>
      </w:pPr>
      <w:r>
        <w:rPr>
          <w:sz w:val="22"/>
          <w:szCs w:val="22"/>
        </w:rPr>
        <w:t>3.2</w:t>
        <w:tab/>
      </w:r>
      <w:r>
        <w:rPr>
          <w:rFonts w:cs="Times New Roman"/>
          <w:sz w:val="22"/>
          <w:szCs w:val="22"/>
        </w:rPr>
        <w:t>Vyúčtování dotace předloží příjemce do podatelny úřadu městské části do 5.1.2017. Vyúčtováním dotace se rozumí předložení tabulkového přehledu vynaložených finančních prostředků společně s předložením dokladů prokazujících uhrazení nákladů na projekt uvedený v článku I. této smlouvy ve výši poskytnuté dotace (např. kopie faktur či jiných daňových dokladů a dokladů o jejich zaplacení, přičemž za zúčtovací doklady se nepovažují tzv. zálohové faktury).</w:t>
      </w:r>
    </w:p>
    <w:p>
      <w:pPr>
        <w:pStyle w:val="Normal"/>
        <w:tabs>
          <w:tab w:val="left" w:pos="2016" w:leader="none"/>
        </w:tabs>
        <w:ind w:hanging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tabs>
          <w:tab w:val="left" w:pos="2016" w:leader="none"/>
        </w:tabs>
        <w:ind w:hanging="426"/>
        <w:jc w:val="both"/>
        <w:rPr/>
      </w:pPr>
      <w:r>
        <w:rPr>
          <w:rFonts w:cs="Times New Roman"/>
          <w:sz w:val="22"/>
          <w:szCs w:val="22"/>
        </w:rPr>
        <w:t>3.3  Do 31.1.2017 vrátí příjemce nevyčerpané finanční prostředky na účet poskytovatele uvedeného v záhlaví této smlouvy.</w:t>
      </w:r>
    </w:p>
    <w:p>
      <w:pPr>
        <w:pStyle w:val="Normal"/>
        <w:tabs>
          <w:tab w:val="left" w:pos="2016" w:leader="none"/>
        </w:tabs>
        <w:jc w:val="both"/>
        <w:rPr>
          <w:i/>
          <w:i/>
          <w:color w:val="00B050"/>
          <w:sz w:val="22"/>
          <w:szCs w:val="22"/>
        </w:rPr>
      </w:pPr>
      <w:r>
        <w:rPr>
          <w:i/>
          <w:color w:val="00B050"/>
          <w:sz w:val="22"/>
          <w:szCs w:val="22"/>
        </w:rPr>
      </w:r>
    </w:p>
    <w:p>
      <w:pPr>
        <w:pStyle w:val="Normal"/>
        <w:tabs>
          <w:tab w:val="left" w:pos="2016" w:leader="none"/>
        </w:tabs>
        <w:ind w:hanging="425"/>
        <w:jc w:val="both"/>
        <w:rPr/>
      </w:pPr>
      <w:r>
        <w:rPr>
          <w:sz w:val="22"/>
          <w:szCs w:val="22"/>
        </w:rPr>
        <w:t xml:space="preserve">3.4 </w:t>
        <w:tab/>
        <w:t>Příjemce musí zajistit ve svém účetnictví vedení analytické účetní evidence související s realizací projektu/akce, tzn. účtovat na zvláštní analytické účty, na samostatné hospodářské středisko nebo na samostatnou zakázku. Musí být jednoznačně prokazatelné, zda konkrétní výdaj nebo příjem je (nebo není) vykazován na podporovaný projekt/akci a skutečně odpovídá charakteru projektu/akce. Doklady prokazující využití dotace musí být viditelně označeny „Dotace Městské části Praha - Vinoř“ (označeny musí být již originály dokladů).</w:t>
      </w:r>
      <w:r>
        <w:rPr>
          <w:color w:val="00B050"/>
          <w:sz w:val="22"/>
          <w:szCs w:val="22"/>
        </w:rPr>
        <w:t xml:space="preserve"> </w:t>
      </w:r>
      <w:r>
        <w:rPr>
          <w:sz w:val="22"/>
          <w:szCs w:val="22"/>
        </w:rPr>
        <w:t xml:space="preserve">Příjemce je povinen umožnit poskytovateli na základě jeho požadavku provedení kontroly všech prvotních účetních dokladů za účelem prověření předloženého vyúčtování projektu. Poskytovatel bude vykonávat u příjemce kontrolu, vyplývající ze zákona č. 320/2001 Sb., o finanční kontrole ve veřejné správě, ve znění pozdějších předpisů. </w:t>
      </w:r>
    </w:p>
    <w:p>
      <w:pPr>
        <w:pStyle w:val="Normal"/>
        <w:tabs>
          <w:tab w:val="left" w:pos="2016" w:leader="none"/>
        </w:tabs>
        <w:ind w:hanging="425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2016" w:leader="none"/>
        </w:tabs>
        <w:ind w:hanging="425"/>
        <w:jc w:val="both"/>
        <w:rPr/>
      </w:pPr>
      <w:r>
        <w:rPr>
          <w:sz w:val="22"/>
          <w:szCs w:val="22"/>
        </w:rPr>
        <w:t>3.5</w:t>
        <w:tab/>
        <w:t>Příjemce je povinen do 15 dnů oznámit poskytovateli zahájení insolvenčního řízení, vstup právnické osoby do likvidace, změnu statutárního orgánu nebo jeho člena, změnu názvu, bankovního spojení, sídla či adresy.</w:t>
      </w:r>
    </w:p>
    <w:p>
      <w:pPr>
        <w:pStyle w:val="Normal"/>
        <w:tabs>
          <w:tab w:val="left" w:pos="201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201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2016" w:leader="none"/>
        </w:tabs>
        <w:ind w:hanging="426"/>
        <w:jc w:val="both"/>
        <w:rPr/>
      </w:pPr>
      <w:bookmarkStart w:id="3" w:name="__DdeLink__1646_783050871"/>
      <w:r>
        <w:rPr>
          <w:sz w:val="22"/>
          <w:szCs w:val="22"/>
        </w:rPr>
        <w:t>3.6</w:t>
      </w:r>
      <w:bookmarkEnd w:id="3"/>
      <w:r>
        <w:rPr>
          <w:sz w:val="22"/>
          <w:szCs w:val="22"/>
        </w:rPr>
        <w:tab/>
        <w:t>Způsobilými výdaji (tj. proplacené náklady, jež mohou být hrazeny z dotace a vyhovují zásadám účelnosti, efektivnosti a hospodárnosti podle zákona č. 320/2001 Sb., o finanční kontrole, ve znění pozdějších předpisů) nejsou:</w:t>
      </w:r>
    </w:p>
    <w:p>
      <w:pPr>
        <w:pStyle w:val="ListParagraph"/>
        <w:tabs>
          <w:tab w:val="left" w:pos="2016" w:leader="none"/>
        </w:tabs>
        <w:ind w:left="0" w:hanging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cs="Times New Roman" w:ascii="Times New Roman" w:hAnsi="Times New Roman"/>
          <w:color w:val="000000" w:themeColor="text1"/>
          <w:sz w:val="22"/>
          <w:szCs w:val="22"/>
        </w:rPr>
      </w:r>
    </w:p>
    <w:p>
      <w:pPr>
        <w:pStyle w:val="ListParagraph"/>
        <w:numPr>
          <w:ilvl w:val="2"/>
          <w:numId w:val="3"/>
        </w:numPr>
        <w:tabs>
          <w:tab w:val="left" w:pos="2016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odměny z dohod konaných mimo pracovní poměr dle zákona č. 262/2006 Sb., zákoník práce, ve znění pozdějších předpisů</w:t>
      </w:r>
    </w:p>
    <w:p>
      <w:pPr>
        <w:pStyle w:val="ListParagraph"/>
        <w:numPr>
          <w:ilvl w:val="2"/>
          <w:numId w:val="3"/>
        </w:numPr>
        <w:tabs>
          <w:tab w:val="left" w:pos="2016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ostatní osobní výdaje a odvody na sociální a zdravotní pojištění zaměstnanců příjemce </w:t>
      </w:r>
    </w:p>
    <w:p>
      <w:pPr>
        <w:pStyle w:val="ListParagraph"/>
        <w:numPr>
          <w:ilvl w:val="2"/>
          <w:numId w:val="3"/>
        </w:numPr>
        <w:tabs>
          <w:tab w:val="left" w:pos="2016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výdaje na zaměstnance, ke kterým nejsou zaměstnavatelé povinni dle zvláštních právních předpisů (příspěvky na penzijní/životní pojištění, dary k životním jubileím, příspěvky na rekreaci apod.)</w:t>
      </w:r>
    </w:p>
    <w:p>
      <w:pPr>
        <w:pStyle w:val="ListParagraph"/>
        <w:numPr>
          <w:ilvl w:val="2"/>
          <w:numId w:val="3"/>
        </w:numPr>
        <w:tabs>
          <w:tab w:val="left" w:pos="2016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výdaje na školení a kurzy, které nesouvisí s účelem, na který je dotace poskytována</w:t>
      </w:r>
    </w:p>
    <w:p>
      <w:pPr>
        <w:pStyle w:val="ListParagraph"/>
        <w:numPr>
          <w:ilvl w:val="2"/>
          <w:numId w:val="3"/>
        </w:numPr>
        <w:tabs>
          <w:tab w:val="left" w:pos="2016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odměny členů statutárních či kontrolních orgánů u příjemce, který je právnickou osobou</w:t>
      </w:r>
    </w:p>
    <w:p>
      <w:pPr>
        <w:pStyle w:val="ListParagraph"/>
        <w:numPr>
          <w:ilvl w:val="2"/>
          <w:numId w:val="3"/>
        </w:numPr>
        <w:tabs>
          <w:tab w:val="left" w:pos="2016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odstupné, ve smyslu zákoníku práce</w:t>
      </w:r>
    </w:p>
    <w:p>
      <w:pPr>
        <w:pStyle w:val="ListParagraph"/>
        <w:numPr>
          <w:ilvl w:val="2"/>
          <w:numId w:val="3"/>
        </w:numPr>
        <w:tabs>
          <w:tab w:val="left" w:pos="2016" w:leader="none"/>
        </w:tabs>
        <w:jc w:val="both"/>
        <w:rPr/>
      </w:pPr>
      <w:r>
        <w:rPr>
          <w:rFonts w:cs="Times New Roman" w:ascii="Times New Roman" w:hAnsi="Times New Roman"/>
          <w:sz w:val="22"/>
          <w:szCs w:val="22"/>
        </w:rPr>
        <w:t>výdaje na propagaci a marketing příjemce účetně nedoložitelné výdaje</w:t>
      </w:r>
    </w:p>
    <w:p>
      <w:pPr>
        <w:pStyle w:val="ListParagraph"/>
        <w:numPr>
          <w:ilvl w:val="0"/>
          <w:numId w:val="0"/>
        </w:numPr>
        <w:tabs>
          <w:tab w:val="left" w:pos="2016" w:leader="none"/>
        </w:tabs>
        <w:ind w:left="720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left" w:pos="2016" w:leader="none"/>
        </w:tabs>
        <w:ind w:hanging="426"/>
        <w:jc w:val="both"/>
        <w:rPr/>
      </w:pPr>
      <w:r>
        <w:rPr>
          <w:b w:val="false"/>
          <w:bCs w:val="false"/>
          <w:sz w:val="22"/>
          <w:szCs w:val="22"/>
        </w:rPr>
        <w:t>3.7</w:t>
        <w:tab/>
        <w:t>Příjemce se zavazuje, že poskytnuté finanční prostředky určené na výstavbu hřiště nepřevede na jiný subjekt.</w:t>
      </w:r>
    </w:p>
    <w:p>
      <w:pPr>
        <w:pStyle w:val="Normal"/>
        <w:tabs>
          <w:tab w:val="left" w:pos="2016" w:leader="none"/>
        </w:tabs>
        <w:ind w:left="0" w:hanging="0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tabs>
          <w:tab w:val="left" w:pos="2016" w:leader="none"/>
        </w:tabs>
        <w:ind w:hanging="0"/>
        <w:jc w:val="center"/>
        <w:rPr/>
      </w:pPr>
      <w:r>
        <w:rPr>
          <w:b/>
          <w:sz w:val="22"/>
          <w:szCs w:val="22"/>
        </w:rPr>
        <w:t xml:space="preserve">IV. </w:t>
      </w:r>
    </w:p>
    <w:p>
      <w:pPr>
        <w:pStyle w:val="Normal"/>
        <w:tabs>
          <w:tab w:val="left" w:pos="2016" w:leader="none"/>
        </w:tabs>
        <w:ind w:hanging="425"/>
        <w:jc w:val="center"/>
        <w:rPr/>
      </w:pPr>
      <w:r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>Sankce</w:t>
      </w:r>
    </w:p>
    <w:p>
      <w:pPr>
        <w:pStyle w:val="Normal"/>
        <w:tabs>
          <w:tab w:val="left" w:pos="2016" w:leader="none"/>
        </w:tabs>
        <w:ind w:hanging="425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2016" w:leader="none"/>
        </w:tabs>
        <w:ind w:hanging="426"/>
        <w:jc w:val="both"/>
        <w:rPr>
          <w:rFonts w:eastAsia="Calibri" w:eastAsiaTheme="minorHAnsi"/>
          <w:sz w:val="22"/>
          <w:szCs w:val="22"/>
          <w:lang w:eastAsia="en-US"/>
        </w:rPr>
      </w:pPr>
      <w:r>
        <w:rPr>
          <w:sz w:val="22"/>
          <w:szCs w:val="22"/>
        </w:rPr>
        <w:t>4.1</w:t>
        <w:tab/>
      </w:r>
      <w:r>
        <w:rPr>
          <w:rFonts w:eastAsia="Calibri" w:eastAsiaTheme="minorHAnsi"/>
          <w:sz w:val="22"/>
          <w:szCs w:val="22"/>
          <w:lang w:eastAsia="en-US"/>
        </w:rPr>
        <w:t xml:space="preserve">V případě porušení rozpočtové kázně ze strany příjemce bude poskytovatel postupovat v souladu s ustanovením § 22 zákona č. 250/2000 Sb., o rozpočtových pravidlech územních rozpočtů, ve znění pozdějších předpisů. </w:t>
      </w:r>
    </w:p>
    <w:p>
      <w:pPr>
        <w:pStyle w:val="ListParagraph"/>
        <w:tabs>
          <w:tab w:val="left" w:pos="2016" w:leader="none"/>
        </w:tabs>
        <w:ind w:left="0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left" w:pos="2016" w:leader="none"/>
        </w:tabs>
        <w:ind w:hanging="426"/>
        <w:jc w:val="both"/>
        <w:rPr/>
      </w:pPr>
      <w:r>
        <w:rPr>
          <w:rFonts w:eastAsia="Calibri" w:eastAsiaTheme="minorHAnsi"/>
          <w:sz w:val="22"/>
          <w:szCs w:val="22"/>
          <w:lang w:eastAsia="en-US"/>
        </w:rPr>
        <w:t>4.2</w:t>
        <w:tab/>
        <w:t>Porušení povinností uvedených v Článku 3.2 této Smlouvy je považováno za méně závažné porušení rozpočtové kázně ve smyslu § 10a odst. 6 zákona č. 250/2000 Sb. o rozpočtových pravidlech územních rozpočtů, ve znění pozdějších předpisů. V případě porušení těchto povinností se uloží příjemci odvod za porušení rozpočtové kázně ve výši 5% z finančního objemu poskytnuté dotace.</w:t>
      </w:r>
    </w:p>
    <w:p>
      <w:pPr>
        <w:pStyle w:val="Normal"/>
        <w:tabs>
          <w:tab w:val="left" w:pos="2016" w:leader="none"/>
        </w:tabs>
        <w:ind w:hanging="426"/>
        <w:jc w:val="both"/>
        <w:rPr>
          <w:rFonts w:eastAsia="Calibri" w:eastAsiaTheme="minorHAnsi"/>
          <w:sz w:val="22"/>
          <w:szCs w:val="22"/>
          <w:lang w:eastAsia="en-US"/>
        </w:rPr>
      </w:pPr>
      <w:r>
        <w:rPr>
          <w:rFonts w:eastAsia="Calibri" w:eastAsiaTheme="minorHAnsi"/>
          <w:sz w:val="22"/>
          <w:szCs w:val="22"/>
          <w:lang w:eastAsia="en-US"/>
        </w:rPr>
      </w:r>
    </w:p>
    <w:p>
      <w:pPr>
        <w:pStyle w:val="Normal"/>
        <w:tabs>
          <w:tab w:val="left" w:pos="2016" w:leader="none"/>
        </w:tabs>
        <w:ind w:hanging="426"/>
        <w:jc w:val="both"/>
        <w:rPr>
          <w:rFonts w:eastAsia="Calibri" w:eastAsiaTheme="minorHAnsi"/>
          <w:sz w:val="22"/>
          <w:szCs w:val="22"/>
          <w:lang w:eastAsia="en-US"/>
        </w:rPr>
      </w:pPr>
      <w:r>
        <w:rPr>
          <w:rFonts w:eastAsia="Calibri" w:eastAsiaTheme="minorHAnsi"/>
          <w:sz w:val="22"/>
          <w:szCs w:val="22"/>
          <w:lang w:eastAsia="en-US"/>
        </w:rPr>
      </w:r>
    </w:p>
    <w:p>
      <w:pPr>
        <w:pStyle w:val="Tlotextu"/>
        <w:ind w:right="0" w:hanging="425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V.</w:t>
      </w:r>
    </w:p>
    <w:p>
      <w:pPr>
        <w:pStyle w:val="Tlotextu"/>
        <w:tabs>
          <w:tab w:val="left" w:pos="426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425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Ukončení smlouvy</w:t>
      </w:r>
    </w:p>
    <w:p>
      <w:pPr>
        <w:pStyle w:val="Tlotextu"/>
        <w:tabs>
          <w:tab w:val="left" w:pos="426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0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Tlotextu"/>
        <w:numPr>
          <w:ilvl w:val="0"/>
          <w:numId w:val="5"/>
        </w:numPr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left="502"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Smlouvu lze ukončit na základě písemné dohody obou smluvních stran nebo písemnou výpovědí Smlouvy, a to za podmínek dále stanovených. </w:t>
      </w:r>
    </w:p>
    <w:p>
      <w:pPr>
        <w:pStyle w:val="Tlotextu"/>
        <w:tabs>
          <w:tab w:val="left" w:pos="426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numPr>
          <w:ilvl w:val="0"/>
          <w:numId w:val="5"/>
        </w:numPr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left="502"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Poskytovatel může Smlouvu vypovědět jak před proplacením, tak i po proplacení dotace. </w:t>
      </w:r>
    </w:p>
    <w:p>
      <w:pPr>
        <w:pStyle w:val="Tlotextu"/>
        <w:tabs>
          <w:tab w:val="left" w:pos="426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numPr>
          <w:ilvl w:val="0"/>
          <w:numId w:val="5"/>
        </w:numPr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left="502" w:right="0" w:hanging="426"/>
        <w:rPr/>
      </w:pPr>
      <w:r>
        <w:rPr>
          <w:rFonts w:ascii="Times New Roman" w:hAnsi="Times New Roman"/>
          <w:sz w:val="22"/>
          <w:szCs w:val="22"/>
        </w:rPr>
        <w:t xml:space="preserve">Výpovědním důvodem je porušení povinností příjemcem dotace stanovených touto Smlouvou nebo obecně závaznými právními předpisy, kterého se příjemce dopustí zejména pokud: </w:t>
      </w:r>
    </w:p>
    <w:p>
      <w:pPr>
        <w:pStyle w:val="Tlotextu"/>
        <w:numPr>
          <w:ilvl w:val="0"/>
          <w:numId w:val="0"/>
        </w:numPr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left="502"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ListParagraph"/>
        <w:numPr>
          <w:ilvl w:val="2"/>
          <w:numId w:val="4"/>
        </w:numPr>
        <w:tabs>
          <w:tab w:val="left" w:pos="2016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svým jednáním poruší rozpočtovou kázeň dle zákona č. 250/2000 Sb., o rozpočtových pravidlech územních rozpočtů, ve znění pozdějších předpisů,  </w:t>
      </w:r>
    </w:p>
    <w:p>
      <w:pPr>
        <w:pStyle w:val="ListParagraph"/>
        <w:numPr>
          <w:ilvl w:val="2"/>
          <w:numId w:val="4"/>
        </w:numPr>
        <w:tabs>
          <w:tab w:val="left" w:pos="2016" w:leader="none"/>
        </w:tabs>
        <w:jc w:val="both"/>
        <w:rPr/>
      </w:pPr>
      <w:r>
        <w:rPr>
          <w:rFonts w:cs="Times New Roman" w:ascii="Times New Roman" w:hAnsi="Times New Roman"/>
          <w:sz w:val="22"/>
          <w:szCs w:val="22"/>
        </w:rPr>
        <w:t>poruší pravidla veřejné podpory,</w:t>
      </w:r>
    </w:p>
    <w:p>
      <w:pPr>
        <w:pStyle w:val="ListParagraph"/>
        <w:tabs>
          <w:tab w:val="left" w:pos="2016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ListParagraph"/>
        <w:numPr>
          <w:ilvl w:val="2"/>
          <w:numId w:val="4"/>
        </w:numPr>
        <w:tabs>
          <w:tab w:val="left" w:pos="2016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je on sám, případně jako právnická osoba či některá osoba tvořící statutární orgán příjemce odsouzen/a za trestný čin, jehož skutková podstata souvisí s 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>
      <w:pPr>
        <w:pStyle w:val="ListParagraph"/>
        <w:numPr>
          <w:ilvl w:val="2"/>
          <w:numId w:val="4"/>
        </w:numPr>
        <w:tabs>
          <w:tab w:val="left" w:pos="2016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bylo zahájeno insolvenční řízení podle zákona č. 182/2006 Sb., o úpadku a způsobech jeho řešení, ve znění pozdějších předpisů,  </w:t>
      </w:r>
    </w:p>
    <w:p>
      <w:pPr>
        <w:pStyle w:val="ListParagraph"/>
        <w:numPr>
          <w:ilvl w:val="2"/>
          <w:numId w:val="4"/>
        </w:numPr>
        <w:tabs>
          <w:tab w:val="left" w:pos="2016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příjemce uvedl nepravdivé, neúplné nebo zkreslené údaje, na které se váže uzavření této Smlouvy,</w:t>
      </w:r>
    </w:p>
    <w:p>
      <w:pPr>
        <w:pStyle w:val="ListParagraph"/>
        <w:numPr>
          <w:ilvl w:val="2"/>
          <w:numId w:val="4"/>
        </w:numPr>
        <w:tabs>
          <w:tab w:val="left" w:pos="2016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je v likvidaci, </w:t>
      </w:r>
    </w:p>
    <w:p>
      <w:pPr>
        <w:pStyle w:val="ListParagraph"/>
        <w:numPr>
          <w:ilvl w:val="2"/>
          <w:numId w:val="4"/>
        </w:numPr>
        <w:tabs>
          <w:tab w:val="left" w:pos="2016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změní právní formu a stane se tak nezpůsobilým příjemcem dotace pro danou oblast podpory, </w:t>
      </w:r>
    </w:p>
    <w:p>
      <w:pPr>
        <w:pStyle w:val="ListParagraph"/>
        <w:numPr>
          <w:ilvl w:val="2"/>
          <w:numId w:val="4"/>
        </w:numPr>
        <w:tabs>
          <w:tab w:val="left" w:pos="2016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opakovaně neplní povinnosti stanovené Smlouvou, i když byl k jejich nápravě vyzván poskytovatelem. </w:t>
      </w:r>
    </w:p>
    <w:p>
      <w:pPr>
        <w:pStyle w:val="ListParagraph"/>
        <w:tabs>
          <w:tab w:val="left" w:pos="2016" w:leader="none"/>
        </w:tabs>
        <w:ind w:left="1080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lotextu"/>
        <w:numPr>
          <w:ilvl w:val="0"/>
          <w:numId w:val="5"/>
        </w:numPr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left="502"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případě výpovědi této Smlouvy před proplacením dotace, nárok na vyplacení dotace nevzniká a nelze se jej platně domáhat. V případě výpovědi Smlouvy po proplacení dotace, se příjemce zavazuje poskytnuté peněžní prostředky vrátit bezhotovostním převodem na účet poskytovatele bez zbytečného odkladu, nejpozději však do 15 dnů od doručení výpovědi.</w:t>
      </w:r>
    </w:p>
    <w:p>
      <w:pPr>
        <w:pStyle w:val="Tlotextu"/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numPr>
          <w:ilvl w:val="0"/>
          <w:numId w:val="5"/>
        </w:numPr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left="502"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Výpověď Smlouvy musí být učiněna písemně a musí v ní být uvedeny důvody jejího udělení. </w:t>
      </w:r>
    </w:p>
    <w:p>
      <w:pPr>
        <w:pStyle w:val="Tlotextu"/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numPr>
          <w:ilvl w:val="0"/>
          <w:numId w:val="5"/>
        </w:numPr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left="502"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Výpovědní lhůta činí jeden měsíc a začne běžet od prvního dne měsíce následujícího po měsíci, v němž byla výpověď doručena příjemci dotace. Účinky doručení pro účely této Smlouvy však nastávají i tehdy, pokud příjemce svým jednáním nebo opomenutím doručení zmařil. </w:t>
      </w:r>
    </w:p>
    <w:p>
      <w:pPr>
        <w:pStyle w:val="Tlotextu"/>
        <w:tabs>
          <w:tab w:val="left" w:pos="426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numPr>
          <w:ilvl w:val="0"/>
          <w:numId w:val="5"/>
        </w:numPr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left="502"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Účinky výpovědi nastávají dnem uplynutí výpovědní lhůty za podmínky, že příjemce dotace vrátí poskytnuté peněžní prostředky před jejím uplynutím. Jinak k ukončení Smlouvy dojde až vypořádáním všech práv a povinností Smluvních stran. </w:t>
      </w:r>
    </w:p>
    <w:p>
      <w:pPr>
        <w:pStyle w:val="Tlotextu"/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numPr>
          <w:ilvl w:val="0"/>
          <w:numId w:val="5"/>
        </w:numPr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left="502"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Příjemce je oprávněn tuto Smlouvu kdykoliv písemně vypovědět nejpozději však do konce lhůty pro podání vyúčtování, přičemž výpověď je účinná dnem jejího doručení poskytovateli. V takovém případě je příjemce povinen vrátit poskytnutou částku dotace poskytovateli do 14 dnů ode dne účinnosti výpovědi.  </w:t>
      </w:r>
    </w:p>
    <w:p>
      <w:pPr>
        <w:pStyle w:val="Tlotextu"/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numPr>
          <w:ilvl w:val="0"/>
          <w:numId w:val="5"/>
        </w:numPr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left="502"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Při ukončení Smlouvy dohodou je příjemce povinen vrátit bezhotovostním převodem na účet poskytovatele poskytnutou částku dotace, která mu již byla vyplacena, a to bez zbytečného odkladu, nejpozději do 30 dnů ode dne doručení dohody podepsané oběma smluvními stranami, nedohodnou-li se smluvní strany jinak. </w:t>
      </w:r>
    </w:p>
    <w:p>
      <w:pPr>
        <w:pStyle w:val="Tlotextu"/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numPr>
          <w:ilvl w:val="0"/>
          <w:numId w:val="5"/>
        </w:numPr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left="502"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Dohoda o ukončení Smlouvy nabývá účinnosti dnem připsání vrácených peněžních prostředků na účet poskytovatele, nedohodnou-li se smluvní strany jinak.</w:t>
      </w:r>
    </w:p>
    <w:p>
      <w:pPr>
        <w:pStyle w:val="Tlotextu"/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numPr>
          <w:ilvl w:val="0"/>
          <w:numId w:val="5"/>
        </w:numPr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left="502"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Smlouva zaniká také z důvodů uvedených v § 167 odst. 1 písm. b) až e) zákona č. 500/2004 Sb., správní řád, ve znění pozdějších předpisů. Návrh na zrušení Smlouvy musí být učiněn písemně a musí v něm být uvedeny důvody, které vedou k zániku Smlouvy.</w:t>
      </w:r>
    </w:p>
    <w:p>
      <w:pPr>
        <w:pStyle w:val="Tlotextu"/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numPr>
          <w:ilvl w:val="0"/>
          <w:numId w:val="5"/>
        </w:numPr>
        <w:tabs>
          <w:tab w:val="left" w:pos="0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left="502"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Pokud příjemce ve stanovené lhůtě poskytnuté prostředky nevrátí v souladu s tímto článkem poskytovateli, považují se tyto prostředky za zadržené ve smyslu zákona č. 250/2000 Sb., o rozpočtových pravidlech územních rozpočtů, ve znění pozdějších předpisů. </w:t>
      </w:r>
    </w:p>
    <w:p>
      <w:pPr>
        <w:pStyle w:val="Tlotextu"/>
        <w:ind w:right="0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Tlotextu"/>
        <w:ind w:right="0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Tlotextu"/>
        <w:ind w:right="0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Tlotextu"/>
        <w:ind w:right="0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VII.</w:t>
      </w:r>
    </w:p>
    <w:p>
      <w:pPr>
        <w:pStyle w:val="Tlotextu"/>
        <w:ind w:right="0" w:hanging="425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Závěrečná ustanovení</w:t>
      </w:r>
    </w:p>
    <w:p>
      <w:pPr>
        <w:pStyle w:val="Tlotextu"/>
        <w:ind w:right="0" w:hanging="426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Tlotextu"/>
        <w:numPr>
          <w:ilvl w:val="0"/>
          <w:numId w:val="6"/>
        </w:numPr>
        <w:ind w:left="644"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Tato smlouva nabývá účinnosti dnem jejího podpisu oběma smluvními stranami.</w:t>
      </w:r>
    </w:p>
    <w:p>
      <w:pPr>
        <w:pStyle w:val="Tlotextu"/>
        <w:tabs>
          <w:tab w:val="left" w:pos="426" w:leader="none"/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425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numPr>
          <w:ilvl w:val="0"/>
          <w:numId w:val="6"/>
        </w:numPr>
        <w:ind w:left="644" w:right="0" w:hanging="426"/>
        <w:rPr/>
      </w:pPr>
      <w:r>
        <w:rPr>
          <w:rFonts w:ascii="Times New Roman" w:hAnsi="Times New Roman"/>
          <w:sz w:val="22"/>
          <w:szCs w:val="22"/>
        </w:rPr>
        <w:t xml:space="preserve">Právní vztahy, které nejsou přímo upraveny touto smlouvou, se řídí příslušnými ustanoveními zákona č. 500/2004 Sb., správní řád, ve znění pozdějších předpisů, zákona č. 250/2000 Sb., o rozpočtových pravidlech územních rozpočtů, ve znění pozdějších předpisů a dalšími obecně závaznými předpisy. </w:t>
      </w:r>
    </w:p>
    <w:p>
      <w:pPr>
        <w:pStyle w:val="Tlotextu"/>
        <w:ind w:left="218"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numPr>
          <w:ilvl w:val="0"/>
          <w:numId w:val="6"/>
        </w:numPr>
        <w:ind w:left="644"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Smlouva může být měněna či doplňována pouze písemnými, vzestupně číslovanými dodatky podepsanými oprávněnými zástupci obou smluvních stran. Dodatek se neuzavírá v případě změny názvu příjemce, statutárního zástupce, sídla či bankovního účtu kterékoli ze smluvních stran. V takovém případě postačí písemné oznámení o změně, které v případě změny bankovního účtu příjemce musí být doloženo kopií smlouvy o zřízení účtu. </w:t>
      </w:r>
    </w:p>
    <w:p>
      <w:pPr>
        <w:pStyle w:val="Tlotextu"/>
        <w:ind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numPr>
          <w:ilvl w:val="0"/>
          <w:numId w:val="6"/>
        </w:numPr>
        <w:rPr/>
      </w:pPr>
      <w:r>
        <w:rPr>
          <w:rFonts w:ascii="Times New Roman" w:hAnsi="Times New Roman"/>
          <w:sz w:val="22"/>
          <w:szCs w:val="22"/>
        </w:rPr>
        <w:t>Smluvní strany bezvýhradně souhlasí se zveřejněním všech údajů obsažených v této smlouvě v souladu se zákonem č. 340/2015 Sb. O registru smluv v platném znění a aby tato smlouva byla uvedena v evidenci smluv vedenou Městskou částí Praha – Vinoř.</w:t>
      </w:r>
    </w:p>
    <w:p>
      <w:pPr>
        <w:pStyle w:val="Tlotextu"/>
        <w:numPr>
          <w:ilvl w:val="0"/>
          <w:numId w:val="0"/>
        </w:numPr>
        <w:ind w:left="644"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numPr>
          <w:ilvl w:val="0"/>
          <w:numId w:val="6"/>
        </w:numPr>
        <w:ind w:left="644"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Smlouva je vyhotovena ve dvou stejnopisech, z nichž poskytovatel obdrží 1 vyhotovení a příjemce  1 vyhotovení.</w:t>
      </w:r>
    </w:p>
    <w:p>
      <w:pPr>
        <w:pStyle w:val="Tlotextu"/>
        <w:ind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numPr>
          <w:ilvl w:val="0"/>
          <w:numId w:val="6"/>
        </w:numPr>
        <w:ind w:left="644" w:right="0" w:hanging="426"/>
        <w:rPr/>
      </w:pPr>
      <w:r>
        <w:rPr>
          <w:rFonts w:ascii="Times New Roman" w:hAnsi="Times New Roman"/>
          <w:sz w:val="22"/>
          <w:szCs w:val="22"/>
        </w:rPr>
        <w:t xml:space="preserve">Smluvní strany svými podpisy stvrzují, že smlouva byla sjednána na základě jejich pravé a svobodné vůle, nikoli v tísni za nápadně nevýhodných podmínek. </w:t>
      </w:r>
    </w:p>
    <w:p>
      <w:pPr>
        <w:pStyle w:val="Tlotextu"/>
        <w:numPr>
          <w:ilvl w:val="0"/>
          <w:numId w:val="0"/>
        </w:numPr>
        <w:ind w:left="644"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widowControl w:val="false"/>
        <w:numPr>
          <w:ilvl w:val="0"/>
          <w:numId w:val="0"/>
        </w:numPr>
        <w:tabs>
          <w:tab w:val="left" w:pos="2016" w:leader="none"/>
          <w:tab w:val="left" w:pos="3168" w:leader="none"/>
          <w:tab w:val="left" w:pos="4320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bidi w:val="0"/>
        <w:spacing w:lineRule="auto" w:line="240" w:before="0" w:after="0"/>
        <w:ind w:left="170" w:right="0" w:hanging="39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ind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tabs>
          <w:tab w:val="left" w:pos="2016" w:leader="none"/>
          <w:tab w:val="left" w:pos="3168" w:leader="none"/>
          <w:tab w:val="left" w:pos="4320" w:leader="none"/>
          <w:tab w:val="left" w:pos="5245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tabs>
          <w:tab w:val="left" w:pos="2016" w:leader="none"/>
          <w:tab w:val="left" w:pos="3168" w:leader="none"/>
          <w:tab w:val="left" w:pos="4320" w:leader="none"/>
          <w:tab w:val="left" w:pos="5245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426"/>
        <w:rPr/>
      </w:pPr>
      <w:r>
        <w:rPr>
          <w:rFonts w:ascii="Times New Roman" w:hAnsi="Times New Roman"/>
          <w:sz w:val="22"/>
          <w:szCs w:val="22"/>
        </w:rPr>
        <w:tab/>
        <w:t>V  Praze  dne 5. prosince 2016</w:t>
        <w:tab/>
        <w:tab/>
      </w:r>
    </w:p>
    <w:p>
      <w:pPr>
        <w:pStyle w:val="Tlotextu"/>
        <w:tabs>
          <w:tab w:val="left" w:pos="2016" w:leader="none"/>
          <w:tab w:val="left" w:pos="3168" w:leader="none"/>
          <w:tab w:val="left" w:pos="4320" w:leader="none"/>
          <w:tab w:val="left" w:pos="5245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tabs>
          <w:tab w:val="left" w:pos="2016" w:leader="none"/>
          <w:tab w:val="left" w:pos="3168" w:leader="none"/>
          <w:tab w:val="left" w:pos="4320" w:leader="none"/>
          <w:tab w:val="left" w:pos="5245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426"/>
        <w:rPr/>
      </w:pP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ab/>
        <w:t xml:space="preserve">  Za poskytovatele:</w:t>
        <w:tab/>
        <w:tab/>
        <w:tab/>
        <w:tab/>
        <w:tab/>
        <w:t>Za příjemce:</w:t>
      </w:r>
    </w:p>
    <w:p>
      <w:pPr>
        <w:pStyle w:val="Tlotextu"/>
        <w:tabs>
          <w:tab w:val="left" w:pos="2016" w:leader="none"/>
          <w:tab w:val="left" w:pos="3168" w:leader="none"/>
          <w:tab w:val="left" w:pos="4320" w:leader="none"/>
          <w:tab w:val="left" w:pos="5245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426"/>
        <w:rPr/>
      </w:pPr>
      <w:r>
        <w:rPr>
          <w:rFonts w:ascii="Times New Roman" w:hAnsi="Times New Roman"/>
          <w:sz w:val="22"/>
          <w:szCs w:val="22"/>
        </w:rPr>
        <w:t xml:space="preserve">  </w:t>
      </w:r>
    </w:p>
    <w:p>
      <w:pPr>
        <w:pStyle w:val="Normal"/>
        <w:tabs>
          <w:tab w:val="left" w:pos="2016" w:leader="none"/>
          <w:tab w:val="left" w:pos="2835" w:leader="none"/>
        </w:tabs>
        <w:ind w:hanging="426"/>
        <w:jc w:val="both"/>
        <w:rPr/>
      </w:pPr>
      <w:r>
        <w:rPr>
          <w:sz w:val="22"/>
          <w:szCs w:val="22"/>
        </w:rPr>
        <w:t xml:space="preserve">          </w:t>
      </w:r>
    </w:p>
    <w:p>
      <w:pPr>
        <w:pStyle w:val="Tlotextu"/>
        <w:tabs>
          <w:tab w:val="left" w:pos="2016" w:leader="none"/>
          <w:tab w:val="left" w:pos="3168" w:leader="none"/>
          <w:tab w:val="left" w:pos="4320" w:leader="none"/>
          <w:tab w:val="left" w:pos="5245" w:leader="none"/>
          <w:tab w:val="left" w:pos="5472" w:leader="none"/>
          <w:tab w:val="left" w:pos="6624" w:leader="none"/>
          <w:tab w:val="left" w:pos="7776" w:leader="none"/>
          <w:tab w:val="left" w:pos="8928" w:leader="none"/>
        </w:tabs>
        <w:ind w:right="0" w:hanging="426"/>
        <w:rPr/>
      </w:pPr>
      <w:r>
        <w:rPr>
          <w:rFonts w:ascii="Times New Roman" w:hAnsi="Times New Roman"/>
          <w:sz w:val="22"/>
          <w:szCs w:val="22"/>
        </w:rPr>
        <w:tab/>
        <w:t xml:space="preserve">  ………………………………..</w:t>
        <w:tab/>
        <w:t xml:space="preserve">                                          …………………………………..</w:t>
      </w:r>
    </w:p>
    <w:p>
      <w:pPr>
        <w:pStyle w:val="Tlotextu"/>
        <w:ind w:right="0" w:hanging="426"/>
        <w:rPr/>
      </w:pPr>
      <w:r>
        <w:rPr>
          <w:rFonts w:ascii="Times New Roman" w:hAnsi="Times New Roman"/>
          <w:sz w:val="22"/>
          <w:szCs w:val="22"/>
        </w:rPr>
        <w:tab/>
        <w:t xml:space="preserve">         František Švarc, starosta</w:t>
        <w:tab/>
        <w:tab/>
        <w:tab/>
        <w:t xml:space="preserve">        Myron Gawdun, starosta</w:t>
      </w:r>
    </w:p>
    <w:p>
      <w:pPr>
        <w:pStyle w:val="Tlotextu"/>
        <w:ind w:right="0" w:hanging="426"/>
        <w:rPr/>
      </w:pPr>
      <w:r>
        <w:rPr>
          <w:rFonts w:ascii="Times New Roman" w:hAnsi="Times New Roman"/>
          <w:sz w:val="22"/>
          <w:szCs w:val="22"/>
        </w:rPr>
        <w:tab/>
        <w:t xml:space="preserve">                  poskytovatel</w:t>
        <w:tab/>
        <w:tab/>
        <w:tab/>
        <w:tab/>
      </w:r>
    </w:p>
    <w:p>
      <w:pPr>
        <w:pStyle w:val="Tlotextu"/>
        <w:ind w:right="0" w:hanging="426"/>
        <w:rPr/>
      </w:pPr>
      <w:r>
        <w:rPr>
          <w:rFonts w:ascii="Times New Roman" w:hAnsi="Times New Roman"/>
          <w:sz w:val="22"/>
          <w:szCs w:val="22"/>
        </w:rPr>
        <w:tab/>
        <w:tab/>
        <w:tab/>
        <w:tab/>
        <w:tab/>
        <w:t xml:space="preserve"> …………………………………..</w:t>
      </w:r>
    </w:p>
    <w:p>
      <w:pPr>
        <w:pStyle w:val="Tlotextu"/>
        <w:ind w:right="0" w:hanging="426"/>
        <w:rPr/>
      </w:pPr>
      <w:r>
        <w:rPr>
          <w:rFonts w:ascii="Times New Roman" w:hAnsi="Times New Roman"/>
          <w:sz w:val="22"/>
          <w:szCs w:val="22"/>
        </w:rPr>
        <w:tab/>
        <w:t xml:space="preserve">       </w:t>
        <w:tab/>
        <w:tab/>
        <w:tab/>
        <w:tab/>
        <w:t xml:space="preserve">        Milan Klivický, jednotel</w:t>
      </w:r>
    </w:p>
    <w:p>
      <w:pPr>
        <w:pStyle w:val="Tlotextu"/>
        <w:ind w:right="0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lotextu"/>
        <w:ind w:right="0" w:hanging="426"/>
        <w:rPr/>
      </w:pPr>
      <w:r>
        <w:rPr>
          <w:rFonts w:ascii="Times New Roman" w:hAnsi="Times New Roman"/>
          <w:sz w:val="22"/>
          <w:szCs w:val="22"/>
        </w:rPr>
        <w:tab/>
        <w:tab/>
        <w:tab/>
        <w:tab/>
        <w:tab/>
        <w:tab/>
      </w:r>
      <w:r>
        <w:rPr>
          <w:rFonts w:ascii="Times New Roman" w:hAnsi="Times New Roman"/>
          <w:sz w:val="22"/>
          <w:szCs w:val="22"/>
        </w:rPr>
        <w:t xml:space="preserve">                     </w:t>
      </w:r>
    </w:p>
    <w:sectPr>
      <w:footerReference w:type="default" r:id="rId2"/>
      <w:type w:val="nextPage"/>
      <w:pgSz w:w="11906" w:h="16838"/>
      <w:pgMar w:left="1418" w:right="1413" w:header="0" w:top="1418" w:footer="1418" w:bottom="197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0</w:t>
    </w:r>
    <w: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2"/>
        <w:b w:val="false"/>
        <w:szCs w:val="22"/>
        <w:bCs w:val="false"/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lowerLetter"/>
      <w:lvlText w:val="%3)"/>
      <w:lvlJc w:val="left"/>
      <w:pPr>
        <w:ind w:left="1080" w:hanging="720"/>
      </w:pPr>
      <w:rPr>
        <w:sz w:val="22"/>
        <w:szCs w:val="22"/>
        <w:rFonts w:ascii="Times New Roman" w:hAnsi="Times New Roman" w:cs="Times New Roman"/>
        <w:color w:val="00000A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lowerLetter"/>
      <w:lvlText w:val="%3)"/>
      <w:lvlJc w:val="left"/>
      <w:pPr>
        <w:ind w:left="1080" w:hanging="720"/>
      </w:pPr>
      <w:rPr>
        <w:sz w:val="22"/>
        <w:szCs w:val="22"/>
        <w:rFonts w:ascii="Times New Roman" w:hAnsi="Times New Roman" w:cs="Times New Roman"/>
        <w:color w:val="00000A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>
    <w:lvl w:ilvl="0">
      <w:start w:val="1"/>
      <w:numFmt w:val="decimal"/>
      <w:lvlText w:val="5.%1"/>
      <w:lvlJc w:val="left"/>
      <w:pPr>
        <w:ind w:left="502" w:hanging="360"/>
      </w:pPr>
      <w:rPr>
        <w:sz w:val="22"/>
        <w:i w:val="false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6.%1"/>
      <w:lvlJc w:val="left"/>
      <w:pPr>
        <w:ind w:left="644" w:hanging="360"/>
      </w:pPr>
      <w:rPr>
        <w:sz w:val="22"/>
        <w:i w:val="false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styleId="Normal" w:default="1">
    <w:name w:val="Normal"/>
    <w:qFormat/>
    <w:rsid w:val="003a6aa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semiHidden/>
    <w:unhideWhenUsed/>
    <w:rsid w:val="003a6aac"/>
    <w:rPr>
      <w:rFonts w:ascii="Arial" w:hAnsi="Arial" w:cs="Arial"/>
      <w:i w:val="false"/>
      <w:iCs w:val="false"/>
      <w:strike w:val="false"/>
      <w:dstrike w:val="false"/>
      <w:color w:val="0000FF"/>
      <w:sz w:val="14"/>
      <w:szCs w:val="14"/>
      <w:u w:val="none"/>
      <w:effect w:val="blinkBackground"/>
    </w:rPr>
  </w:style>
  <w:style w:type="character" w:styleId="TextpoznpodarouChar" w:customStyle="1">
    <w:name w:val="Text pozn. pod čarou Char"/>
    <w:basedOn w:val="DefaultParagraphFont"/>
    <w:link w:val="Textpoznpodarou"/>
    <w:semiHidden/>
    <w:qFormat/>
    <w:rsid w:val="003a6aac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kladntextChar" w:customStyle="1">
    <w:name w:val="Základní text Char"/>
    <w:basedOn w:val="DefaultParagraphFont"/>
    <w:link w:val="Zkladntext"/>
    <w:qFormat/>
    <w:rsid w:val="003a6aac"/>
    <w:rPr>
      <w:rFonts w:ascii="Courier New" w:hAnsi="Courier New" w:eastAsia="Times New Roman" w:cs="Times New Roman"/>
      <w:sz w:val="24"/>
      <w:szCs w:val="20"/>
      <w:lang w:eastAsia="cs-CZ"/>
    </w:rPr>
  </w:style>
  <w:style w:type="character" w:styleId="OdstavecseseznamemChar" w:customStyle="1">
    <w:name w:val="Odstavec se seznamem Char"/>
    <w:basedOn w:val="DefaultParagraphFont"/>
    <w:link w:val="Odstavecseseznamem"/>
    <w:uiPriority w:val="34"/>
    <w:qFormat/>
    <w:locked/>
    <w:rsid w:val="003a6aac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qFormat/>
    <w:rsid w:val="003a6aac"/>
    <w:rPr>
      <w:vertAlign w:val="superscript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763353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patChar" w:customStyle="1">
    <w:name w:val="Zápatí Char"/>
    <w:basedOn w:val="DefaultParagraphFont"/>
    <w:link w:val="Zpat"/>
    <w:uiPriority w:val="99"/>
    <w:qFormat/>
    <w:rsid w:val="00763353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eb3aee"/>
    <w:rPr>
      <w:rFonts w:ascii="Segoe UI" w:hAnsi="Segoe UI" w:eastAsia="Times New Roman" w:cs="Segoe UI"/>
      <w:sz w:val="18"/>
      <w:szCs w:val="18"/>
      <w:lang w:eastAsia="cs-CZ"/>
    </w:rPr>
  </w:style>
  <w:style w:type="character" w:styleId="TextvysvtlivekChar" w:customStyle="1">
    <w:name w:val="Text vysvětlivek Char"/>
    <w:basedOn w:val="DefaultParagraphFont"/>
    <w:link w:val="Textvysvtlivek"/>
    <w:uiPriority w:val="99"/>
    <w:semiHidden/>
    <w:qFormat/>
    <w:rsid w:val="00f03b12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Endnotereference">
    <w:name w:val="endnote reference"/>
    <w:basedOn w:val="DefaultParagraphFont"/>
    <w:uiPriority w:val="99"/>
    <w:semiHidden/>
    <w:unhideWhenUsed/>
    <w:qFormat/>
    <w:rsid w:val="00f03b12"/>
    <w:rPr>
      <w:vertAlign w:val="superscript"/>
    </w:rPr>
  </w:style>
  <w:style w:type="character" w:styleId="ListLabel1">
    <w:name w:val="ListLabel 1"/>
    <w:qFormat/>
    <w:rPr>
      <w:rFonts w:cs="Times New Roman"/>
      <w:b/>
      <w:sz w:val="22"/>
      <w:szCs w:val="22"/>
    </w:rPr>
  </w:style>
  <w:style w:type="character" w:styleId="ListLabel2">
    <w:name w:val="ListLabel 2"/>
    <w:qFormat/>
    <w:rPr>
      <w:rFonts w:eastAsia="Times New Roman" w:cs="Arial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ascii="Times New Roman" w:hAnsi="Times New Roman"/>
      <w:i w:val="false"/>
      <w:color w:val="00000A"/>
      <w:sz w:val="22"/>
    </w:rPr>
  </w:style>
  <w:style w:type="character" w:styleId="ListLabel5">
    <w:name w:val="ListLabel 5"/>
    <w:qFormat/>
    <w:rPr>
      <w:rFonts w:cs="Arial"/>
      <w:color w:val="00000A"/>
      <w:sz w:val="20"/>
      <w:szCs w:val="20"/>
    </w:rPr>
  </w:style>
  <w:style w:type="character" w:styleId="ListLabel6">
    <w:name w:val="ListLabel 6"/>
    <w:qFormat/>
    <w:rPr>
      <w:rFonts w:ascii="Times New Roman" w:hAnsi="Times New Roman" w:cs="Times New Roman"/>
      <w:color w:val="00000A"/>
      <w:sz w:val="22"/>
      <w:szCs w:val="22"/>
    </w:rPr>
  </w:style>
  <w:style w:type="character" w:styleId="ListLabel7">
    <w:name w:val="ListLabel 7"/>
    <w:qFormat/>
    <w:rPr>
      <w:rFonts w:cs="Times New Roman"/>
      <w:b w:val="false"/>
      <w:bCs w:val="false"/>
      <w:sz w:val="22"/>
      <w:szCs w:val="22"/>
    </w:rPr>
  </w:style>
  <w:style w:type="character" w:styleId="ListLabel8">
    <w:name w:val="ListLabel 8"/>
    <w:qFormat/>
    <w:rPr>
      <w:rFonts w:ascii="Times New Roman" w:hAnsi="Times New Roman"/>
      <w:i w:val="false"/>
      <w:color w:val="00000A"/>
      <w:sz w:val="22"/>
    </w:rPr>
  </w:style>
  <w:style w:type="character" w:styleId="ListLabel9">
    <w:name w:val="ListLabel 9"/>
    <w:qFormat/>
    <w:rPr>
      <w:rFonts w:ascii="Times New Roman" w:hAnsi="Times New Roman" w:cs="Times New Roman"/>
      <w:color w:val="00000A"/>
      <w:sz w:val="22"/>
      <w:szCs w:val="22"/>
    </w:rPr>
  </w:style>
  <w:style w:type="character" w:styleId="ListLabel10">
    <w:name w:val="ListLabel 10"/>
    <w:qFormat/>
    <w:rPr>
      <w:rFonts w:cs="Times New Roman"/>
      <w:b w:val="false"/>
      <w:bCs w:val="false"/>
      <w:sz w:val="22"/>
      <w:szCs w:val="22"/>
    </w:rPr>
  </w:style>
  <w:style w:type="character" w:styleId="ListLabel11">
    <w:name w:val="ListLabel 11"/>
    <w:qFormat/>
    <w:rPr>
      <w:rFonts w:ascii="Times New Roman" w:hAnsi="Times New Roman"/>
      <w:i w:val="false"/>
      <w:color w:val="00000A"/>
      <w:sz w:val="22"/>
    </w:rPr>
  </w:style>
  <w:style w:type="character" w:styleId="ListLabel12">
    <w:name w:val="ListLabel 12"/>
    <w:qFormat/>
    <w:rPr>
      <w:rFonts w:ascii="Times New Roman" w:hAnsi="Times New Roman" w:cs="Times New Roman"/>
      <w:color w:val="00000A"/>
      <w:sz w:val="22"/>
      <w:szCs w:val="22"/>
    </w:rPr>
  </w:style>
  <w:style w:type="character" w:styleId="ListLabel13">
    <w:name w:val="ListLabel 13"/>
    <w:qFormat/>
    <w:rPr>
      <w:rFonts w:cs="Times New Roman"/>
      <w:b w:val="false"/>
      <w:bCs w:val="false"/>
      <w:sz w:val="22"/>
      <w:szCs w:val="22"/>
    </w:rPr>
  </w:style>
  <w:style w:type="character" w:styleId="ListLabel14">
    <w:name w:val="ListLabel 14"/>
    <w:qFormat/>
    <w:rPr>
      <w:rFonts w:ascii="Times New Roman" w:hAnsi="Times New Roman"/>
      <w:i w:val="false"/>
      <w:color w:val="00000A"/>
      <w:sz w:val="22"/>
    </w:rPr>
  </w:style>
  <w:style w:type="character" w:styleId="ListLabel15">
    <w:name w:val="ListLabel 15"/>
    <w:qFormat/>
    <w:rPr>
      <w:rFonts w:ascii="Times New Roman" w:hAnsi="Times New Roman" w:cs="Times New Roman"/>
      <w:color w:val="00000A"/>
      <w:sz w:val="22"/>
      <w:szCs w:val="22"/>
    </w:rPr>
  </w:style>
  <w:style w:type="character" w:styleId="ListLabel16">
    <w:name w:val="ListLabel 16"/>
    <w:qFormat/>
    <w:rPr>
      <w:rFonts w:cs="Times New Roman"/>
      <w:b w:val="false"/>
      <w:bCs w:val="false"/>
      <w:sz w:val="22"/>
      <w:szCs w:val="22"/>
    </w:rPr>
  </w:style>
  <w:style w:type="character" w:styleId="ListLabel17">
    <w:name w:val="ListLabel 17"/>
    <w:qFormat/>
    <w:rPr>
      <w:rFonts w:ascii="Times New Roman" w:hAnsi="Times New Roman"/>
      <w:i w:val="false"/>
      <w:color w:val="00000A"/>
      <w:sz w:val="22"/>
    </w:rPr>
  </w:style>
  <w:style w:type="character" w:styleId="ListLabel18">
    <w:name w:val="ListLabel 18"/>
    <w:qFormat/>
    <w:rPr>
      <w:rFonts w:ascii="Times New Roman" w:hAnsi="Times New Roman" w:cs="Times New Roman"/>
      <w:color w:val="00000A"/>
      <w:sz w:val="22"/>
      <w:szCs w:val="22"/>
    </w:rPr>
  </w:style>
  <w:style w:type="character" w:styleId="ListLabel19">
    <w:name w:val="ListLabel 19"/>
    <w:qFormat/>
    <w:rPr>
      <w:rFonts w:cs="Times New Roman"/>
      <w:b w:val="false"/>
      <w:bCs w:val="false"/>
      <w:sz w:val="22"/>
      <w:szCs w:val="22"/>
    </w:rPr>
  </w:style>
  <w:style w:type="character" w:styleId="ListLabel20">
    <w:name w:val="ListLabel 20"/>
    <w:qFormat/>
    <w:rPr>
      <w:rFonts w:ascii="Times New Roman" w:hAnsi="Times New Roman"/>
      <w:i w:val="false"/>
      <w:color w:val="00000A"/>
      <w:sz w:val="22"/>
    </w:rPr>
  </w:style>
  <w:style w:type="character" w:styleId="ListLabel21">
    <w:name w:val="ListLabel 21"/>
    <w:qFormat/>
    <w:rPr>
      <w:rFonts w:ascii="Times New Roman" w:hAnsi="Times New Roman" w:cs="Times New Roman"/>
      <w:color w:val="00000A"/>
      <w:sz w:val="22"/>
      <w:szCs w:val="22"/>
    </w:rPr>
  </w:style>
  <w:style w:type="character" w:styleId="ListLabel22">
    <w:name w:val="ListLabel 22"/>
    <w:qFormat/>
    <w:rPr>
      <w:rFonts w:cs="Times New Roman"/>
      <w:b w:val="false"/>
      <w:bCs w:val="false"/>
      <w:sz w:val="22"/>
      <w:szCs w:val="22"/>
    </w:rPr>
  </w:style>
  <w:style w:type="character" w:styleId="ListLabel23">
    <w:name w:val="ListLabel 23"/>
    <w:qFormat/>
    <w:rPr>
      <w:rFonts w:ascii="Times New Roman" w:hAnsi="Times New Roman"/>
      <w:i w:val="false"/>
      <w:color w:val="00000A"/>
      <w:sz w:val="22"/>
    </w:rPr>
  </w:style>
  <w:style w:type="character" w:styleId="ListLabel24">
    <w:name w:val="ListLabel 24"/>
    <w:qFormat/>
    <w:rPr>
      <w:rFonts w:ascii="Times New Roman" w:hAnsi="Times New Roman" w:cs="Times New Roman"/>
      <w:color w:val="00000A"/>
      <w:sz w:val="22"/>
      <w:szCs w:val="22"/>
    </w:rPr>
  </w:style>
  <w:style w:type="character" w:styleId="ListLabel25">
    <w:name w:val="ListLabel 25"/>
    <w:qFormat/>
    <w:rPr>
      <w:rFonts w:cs="Times New Roman"/>
      <w:b w:val="false"/>
      <w:bCs w:val="false"/>
      <w:sz w:val="22"/>
      <w:szCs w:val="22"/>
    </w:rPr>
  </w:style>
  <w:style w:type="character" w:styleId="ListLabel26">
    <w:name w:val="ListLabel 26"/>
    <w:qFormat/>
    <w:rPr>
      <w:rFonts w:ascii="Times New Roman" w:hAnsi="Times New Roman"/>
      <w:i w:val="false"/>
      <w:color w:val="00000A"/>
      <w:sz w:val="22"/>
    </w:rPr>
  </w:style>
  <w:style w:type="character" w:styleId="ListLabel27">
    <w:name w:val="ListLabel 27"/>
    <w:qFormat/>
    <w:rPr>
      <w:rFonts w:ascii="Times New Roman" w:hAnsi="Times New Roman" w:cs="Times New Roman"/>
      <w:color w:val="00000A"/>
      <w:sz w:val="22"/>
      <w:szCs w:val="22"/>
    </w:rPr>
  </w:style>
  <w:style w:type="character" w:styleId="ListLabel28">
    <w:name w:val="ListLabel 28"/>
    <w:qFormat/>
    <w:rPr>
      <w:rFonts w:cs="Times New Roman"/>
      <w:b w:val="false"/>
      <w:bCs w:val="false"/>
      <w:sz w:val="22"/>
      <w:szCs w:val="22"/>
    </w:rPr>
  </w:style>
  <w:style w:type="character" w:styleId="ListLabel29">
    <w:name w:val="ListLabel 29"/>
    <w:qFormat/>
    <w:rPr>
      <w:rFonts w:ascii="Times New Roman" w:hAnsi="Times New Roman" w:cs="Times New Roman"/>
      <w:color w:val="00000A"/>
      <w:sz w:val="22"/>
      <w:szCs w:val="22"/>
    </w:rPr>
  </w:style>
  <w:style w:type="character" w:styleId="ListLabel30">
    <w:name w:val="ListLabel 30"/>
    <w:qFormat/>
    <w:rPr>
      <w:rFonts w:ascii="Times New Roman" w:hAnsi="Times New Roman"/>
      <w:i w:val="false"/>
      <w:color w:val="00000A"/>
      <w:sz w:val="22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Tělo textu"/>
    <w:basedOn w:val="Normal"/>
    <w:link w:val="ZkladntextChar"/>
    <w:unhideWhenUsed/>
    <w:rsid w:val="003a6aac"/>
    <w:pPr>
      <w:widowControl w:val="false"/>
      <w:tabs>
        <w:tab w:val="left" w:pos="2016" w:leader="none"/>
        <w:tab w:val="left" w:pos="3168" w:leader="none"/>
        <w:tab w:val="left" w:pos="4320" w:leader="none"/>
        <w:tab w:val="left" w:pos="5472" w:leader="none"/>
        <w:tab w:val="left" w:pos="6624" w:leader="none"/>
        <w:tab w:val="left" w:pos="7776" w:leader="none"/>
        <w:tab w:val="left" w:pos="8928" w:leader="none"/>
      </w:tabs>
      <w:ind w:right="144" w:hanging="0"/>
      <w:jc w:val="both"/>
    </w:pPr>
    <w:rPr>
      <w:rFonts w:ascii="Courier New" w:hAnsi="Courier New"/>
      <w:szCs w:val="20"/>
    </w:rPr>
  </w:style>
  <w:style w:type="paragraph" w:styleId="Seznam">
    <w:name w:val="Seznam"/>
    <w:basedOn w:val="Tlotextu"/>
    <w:pPr/>
    <w:rPr>
      <w:rFonts w:cs="Mang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Footnotetext">
    <w:name w:val="footnote text"/>
    <w:basedOn w:val="Normal"/>
    <w:link w:val="TextpoznpodarouChar"/>
    <w:semiHidden/>
    <w:unhideWhenUsed/>
    <w:qFormat/>
    <w:rsid w:val="003a6aac"/>
    <w:pPr/>
    <w:rPr>
      <w:sz w:val="20"/>
      <w:szCs w:val="20"/>
    </w:rPr>
  </w:style>
  <w:style w:type="paragraph" w:styleId="ListParagraph">
    <w:name w:val="List Paragraph"/>
    <w:basedOn w:val="Normal"/>
    <w:link w:val="OdstavecseseznamemChar"/>
    <w:uiPriority w:val="34"/>
    <w:qFormat/>
    <w:rsid w:val="003a6aac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Zhlav">
    <w:name w:val="Záhlaví"/>
    <w:basedOn w:val="Normal"/>
    <w:link w:val="ZhlavChar"/>
    <w:uiPriority w:val="99"/>
    <w:unhideWhenUsed/>
    <w:rsid w:val="00763353"/>
    <w:pPr>
      <w:tabs>
        <w:tab w:val="center" w:pos="4536" w:leader="none"/>
        <w:tab w:val="right" w:pos="9072" w:leader="none"/>
      </w:tabs>
    </w:pPr>
    <w:rPr/>
  </w:style>
  <w:style w:type="paragraph" w:styleId="Zpat">
    <w:name w:val="Zápatí"/>
    <w:basedOn w:val="Normal"/>
    <w:link w:val="ZpatChar"/>
    <w:uiPriority w:val="99"/>
    <w:unhideWhenUsed/>
    <w:rsid w:val="00763353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eb3aee"/>
    <w:pPr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TextvysvtlivekChar"/>
    <w:uiPriority w:val="99"/>
    <w:semiHidden/>
    <w:unhideWhenUsed/>
    <w:qFormat/>
    <w:rsid w:val="00f03b12"/>
    <w:pPr/>
    <w:rPr>
      <w:sz w:val="20"/>
      <w:szCs w:val="20"/>
    </w:rPr>
  </w:style>
  <w:style w:type="numbering" w:styleId="NoList" w:default="1">
    <w:name w:val="No List"/>
    <w:uiPriority w:val="99"/>
    <w:semiHidden/>
    <w:unhideWhenUsed/>
  </w:style>
  <w:style w:type="numbering" w:styleId="WW8Num6">
    <w:name w:val="WW8Num6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B724C-CEB3-4945-997E-176CBA95E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Application>LibreOffice/5.0.3.2$Windows_x86 LibreOffice_project/e5f16313668ac592c1bfb310f4390624e3dbfb75</Application>
  <Paragraphs>99</Paragraphs>
  <Company>Krajský úřad Zlínského kraje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2016-04-29T11:11:00Z</dcterms:created>
  <dc:creator>Koláčková Lucie</dc:creator>
  <dc:language>cs-CZ</dc:language>
  <cp:lastPrinted>2016-12-02T17:30:57Z</cp:lastPrinted>
  <dcterms:modified xsi:type="dcterms:W3CDTF">2016-12-09T15:50:29Z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Krajský úřad Zlínského kraje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