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00354F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4914BE" w:rsidRDefault="004914BE" w:rsidP="004914BE">
      <w:pPr>
        <w:jc w:val="right"/>
        <w:rPr>
          <w:rFonts w:ascii="Verdana" w:hAnsi="Verdana" w:cs="Tahoma"/>
        </w:rPr>
      </w:pPr>
    </w:p>
    <w:p w:rsidR="00C61485" w:rsidRPr="00E30C8D" w:rsidRDefault="004914BE" w:rsidP="004914BE">
      <w:pPr>
        <w:jc w:val="right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72B7FAEF" wp14:editId="0126A7D9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54F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4914BE" w:rsidRDefault="0000354F">
            <w:pPr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E</w:t>
            </w:r>
            <w:r w:rsidR="004914BE"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NVIREX, 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spol</w:t>
            </w:r>
            <w:r w:rsidR="004914BE">
              <w:rPr>
                <w:rFonts w:ascii="Verdana" w:hAnsi="Verdana" w:cs="Tahoma"/>
                <w:b/>
                <w:noProof/>
                <w:sz w:val="22"/>
                <w:szCs w:val="22"/>
              </w:rPr>
              <w:t>.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 s</w:t>
            </w:r>
            <w:r w:rsidR="004914BE"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r.o.</w:t>
            </w:r>
          </w:p>
          <w:p w:rsidR="004914BE" w:rsidRDefault="004914BE">
            <w:pPr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Petrovická 861</w:t>
            </w:r>
          </w:p>
          <w:p w:rsidR="00C61485" w:rsidRPr="00E30C8D" w:rsidRDefault="004914BE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592 31 </w:t>
            </w:r>
            <w:r w:rsidR="0000354F">
              <w:rPr>
                <w:rFonts w:ascii="Verdana" w:hAnsi="Verdana" w:cs="Tahoma"/>
                <w:b/>
                <w:noProof/>
                <w:sz w:val="22"/>
                <w:szCs w:val="22"/>
              </w:rPr>
              <w:t>Nové Město na Moravě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00354F">
        <w:rPr>
          <w:rFonts w:ascii="Verdana" w:hAnsi="Verdana" w:cs="Tahoma"/>
          <w:noProof/>
          <w:sz w:val="22"/>
          <w:szCs w:val="22"/>
        </w:rPr>
        <w:t>47914700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00354F">
        <w:rPr>
          <w:rFonts w:ascii="Verdana" w:hAnsi="Verdana" w:cs="Tahoma"/>
          <w:noProof/>
          <w:sz w:val="22"/>
          <w:szCs w:val="22"/>
        </w:rPr>
        <w:t>CZ47914700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4914BE">
      <w:pPr>
        <w:rPr>
          <w:rFonts w:ascii="Verdana" w:hAnsi="Verdana" w:cs="Tahoma"/>
        </w:rPr>
      </w:pPr>
      <w:r>
        <w:rPr>
          <w:rFonts w:ascii="Verdana" w:hAnsi="Verdana" w:cs="Tahoma"/>
        </w:rPr>
        <w:t>č.j.: MSNS/8580/2019/OMIRR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081FC8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00354F">
        <w:rPr>
          <w:rFonts w:ascii="Verdana" w:hAnsi="Verdana" w:cs="Tahoma"/>
          <w:b/>
          <w:noProof/>
        </w:rPr>
        <w:t>62/19/02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081FC8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00354F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5274"/>
        <w:gridCol w:w="160"/>
        <w:gridCol w:w="162"/>
        <w:gridCol w:w="2606"/>
      </w:tblGrid>
      <w:tr w:rsidR="00C61485" w:rsidRPr="00E30C8D" w:rsidTr="00344F87">
        <w:tc>
          <w:tcPr>
            <w:tcW w:w="7987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2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:rsidTr="00344F87">
        <w:trPr>
          <w:trHeight w:val="631"/>
        </w:trPr>
        <w:tc>
          <w:tcPr>
            <w:tcW w:w="7987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00354F" w:rsidP="0096529D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Objednáváme provedení </w:t>
            </w:r>
            <w:r w:rsidR="00344F87">
              <w:rPr>
                <w:rFonts w:ascii="Verdana" w:hAnsi="Verdana" w:cs="Tahoma"/>
                <w:noProof/>
              </w:rPr>
              <w:t>geotechnického,</w:t>
            </w:r>
            <w:r>
              <w:rPr>
                <w:rFonts w:ascii="Verdana" w:hAnsi="Verdana" w:cs="Tahoma"/>
                <w:noProof/>
              </w:rPr>
              <w:t xml:space="preserve"> hydrogeologického</w:t>
            </w:r>
            <w:r w:rsidR="0096529D">
              <w:rPr>
                <w:rFonts w:ascii="Verdana" w:hAnsi="Verdana" w:cs="Tahoma"/>
                <w:noProof/>
              </w:rPr>
              <w:t xml:space="preserve"> a ped</w:t>
            </w:r>
            <w:r w:rsidR="00344F87">
              <w:rPr>
                <w:rFonts w:ascii="Verdana" w:hAnsi="Verdana" w:cs="Tahoma"/>
                <w:noProof/>
              </w:rPr>
              <w:t>ologického</w:t>
            </w:r>
            <w:r>
              <w:rPr>
                <w:rFonts w:ascii="Verdana" w:hAnsi="Verdana" w:cs="Tahoma"/>
                <w:noProof/>
              </w:rPr>
              <w:t xml:space="preserve"> průzkumu na poz</w:t>
            </w:r>
            <w:r w:rsidR="00344F87">
              <w:rPr>
                <w:rFonts w:ascii="Verdana" w:hAnsi="Verdana" w:cs="Tahoma"/>
                <w:noProof/>
              </w:rPr>
              <w:t>emku parc.č. 549/61, k.ú. Světlá nad Sázavou dle cenové nabídky ze dne 29.4.2019:</w:t>
            </w:r>
          </w:p>
          <w:p w:rsidR="003E5F7B" w:rsidRDefault="003E5F7B" w:rsidP="003E5F7B">
            <w:pPr>
              <w:spacing w:after="0"/>
              <w:rPr>
                <w:rFonts w:ascii="Verdana" w:hAnsi="Verdana" w:cs="Tahoma"/>
                <w:noProof/>
              </w:rPr>
            </w:pPr>
          </w:p>
          <w:p w:rsidR="00344F87" w:rsidRDefault="00344F87" w:rsidP="0096529D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1. Geotechnický průzkum – provedení celkem 2 GT vrtů á 5 m (GT1 a GT4),</w:t>
            </w:r>
            <w:r w:rsidR="003E5F7B">
              <w:rPr>
                <w:rFonts w:ascii="Verdana" w:hAnsi="Verdana" w:cs="Tahoma"/>
                <w:noProof/>
              </w:rPr>
              <w:t xml:space="preserve"> v rámci průzkumu provést</w:t>
            </w:r>
            <w:r>
              <w:rPr>
                <w:rFonts w:ascii="Verdana" w:hAnsi="Verdana" w:cs="Tahoma"/>
                <w:noProof/>
              </w:rPr>
              <w:t xml:space="preserve"> </w:t>
            </w:r>
            <w:r w:rsidR="003E5F7B">
              <w:t>g</w:t>
            </w:r>
            <w:r w:rsidR="003E5F7B" w:rsidRPr="003E5F7B">
              <w:rPr>
                <w:rFonts w:ascii="Verdana" w:hAnsi="Verdana" w:cs="Tahoma"/>
                <w:noProof/>
              </w:rPr>
              <w:t>eomorfologické a hydrogeologické zhodnocení území a klimatických podmínek, provést geotechnické zatřídění zemin a hornin, včetně zkoušek (zejména CBR, vlhkost, objemová hmotnost, modul přetvárnosti a deformace, soudržnost a úhel vnitřního tření, poissonovo číslo), těžitelnost zemin a hornin, vodní režim, úroveň hladiny podzemní vody (pokud bude zastižena) a při nízkém modulu přetvárnosti provést vyhodnocení možnosti zlepšení zemin s určením vhodného pojiva a jeho obsahu pro dosažení Edef,2 min. 45 MPa.</w:t>
            </w:r>
          </w:p>
          <w:p w:rsidR="003E5F7B" w:rsidRDefault="003E5F7B" w:rsidP="003E5F7B">
            <w:pPr>
              <w:spacing w:after="0"/>
              <w:rPr>
                <w:rFonts w:ascii="Verdana" w:hAnsi="Verdana" w:cs="Tahoma"/>
                <w:noProof/>
              </w:rPr>
            </w:pPr>
          </w:p>
          <w:p w:rsidR="003E5F7B" w:rsidRDefault="003E5F7B" w:rsidP="003E5F7B">
            <w:pPr>
              <w:widowControl w:val="0"/>
              <w:tabs>
                <w:tab w:val="left" w:pos="552"/>
              </w:tabs>
              <w:suppressAutoHyphens w:val="0"/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2. Hydrogeologický průzkum - </w:t>
            </w:r>
            <w:r w:rsidRPr="003E5F7B">
              <w:rPr>
                <w:rFonts w:ascii="Verdana" w:hAnsi="Verdana" w:cs="Tahoma"/>
                <w:noProof/>
              </w:rPr>
              <w:t xml:space="preserve">v prostoru vrtané studny pro určení nezbytné hloubky studny, předpokládaná hloubka 50 m s vystrojením a nadzemní chráničkou. Ověřovací čerpací a stoupací zkouška v délce 8 hod s odběrem vzorku podzemní vody, analýza vzorku podzemní vody dle vyhlášky č. 252/2004 + radionuklidy. HG průzkum zahrnuje administrativní zajištění  před a v průběhu realizace </w:t>
            </w:r>
            <w:r>
              <w:rPr>
                <w:rFonts w:ascii="Verdana" w:hAnsi="Verdana" w:cs="Tahoma"/>
                <w:noProof/>
              </w:rPr>
              <w:t>HG průzkumu (</w:t>
            </w:r>
            <w:r w:rsidRPr="003E5F7B">
              <w:rPr>
                <w:rFonts w:ascii="Verdana" w:hAnsi="Verdana" w:cs="Tahoma"/>
                <w:noProof/>
              </w:rPr>
              <w:t>vypracování proj</w:t>
            </w:r>
            <w:r>
              <w:rPr>
                <w:rFonts w:ascii="Verdana" w:hAnsi="Verdana" w:cs="Tahoma"/>
                <w:noProof/>
              </w:rPr>
              <w:t>ektu hydrogeologického průzkumu,</w:t>
            </w:r>
            <w:r w:rsidRPr="003E5F7B">
              <w:rPr>
                <w:rFonts w:ascii="Verdana" w:hAnsi="Verdana" w:cs="Tahoma"/>
                <w:noProof/>
              </w:rPr>
              <w:t xml:space="preserve"> zaslání žádosti o </w:t>
            </w:r>
            <w:r>
              <w:rPr>
                <w:rFonts w:ascii="Verdana" w:hAnsi="Verdana" w:cs="Tahoma"/>
                <w:noProof/>
              </w:rPr>
              <w:t>vyjádření k HGP na krajský úřad,</w:t>
            </w:r>
            <w:r w:rsidRPr="003E5F7B">
              <w:rPr>
                <w:rFonts w:ascii="Verdana" w:hAnsi="Verdana" w:cs="Tahoma"/>
                <w:noProof/>
              </w:rPr>
              <w:t xml:space="preserve"> ohlášení činnosti prováděné hornickým způsobem příslušnému OBÚ</w:t>
            </w:r>
            <w:r>
              <w:rPr>
                <w:rFonts w:ascii="Verdana" w:hAnsi="Verdana" w:cs="Tahoma"/>
                <w:noProof/>
              </w:rPr>
              <w:t>,</w:t>
            </w:r>
            <w:r w:rsidRPr="003E5F7B">
              <w:rPr>
                <w:rFonts w:ascii="Verdana" w:hAnsi="Verdana" w:cs="Tahoma"/>
                <w:noProof/>
              </w:rPr>
              <w:t xml:space="preserve"> ohlášení geologických prací obecnímu úřadu</w:t>
            </w:r>
            <w:r>
              <w:rPr>
                <w:rFonts w:ascii="Verdana" w:hAnsi="Verdana" w:cs="Tahoma"/>
                <w:noProof/>
              </w:rPr>
              <w:t>,</w:t>
            </w:r>
            <w:r w:rsidRPr="003E5F7B">
              <w:rPr>
                <w:rFonts w:ascii="Verdana" w:hAnsi="Verdana" w:cs="Tahoma"/>
                <w:noProof/>
              </w:rPr>
              <w:t xml:space="preserve"> vyřízení povolení vodohospodářského orgánu ke geologickým prací, registrace geologických prací České geologické službě (Geofond Praha), souhlas podle par. 17 písm. i) vodního zákona</w:t>
            </w:r>
            <w:r>
              <w:rPr>
                <w:rFonts w:ascii="Verdana" w:hAnsi="Verdana" w:cs="Tahoma"/>
                <w:noProof/>
              </w:rPr>
              <w:t>)</w:t>
            </w:r>
          </w:p>
          <w:p w:rsidR="003E5F7B" w:rsidRDefault="003E5F7B" w:rsidP="003E5F7B">
            <w:pPr>
              <w:widowControl w:val="0"/>
              <w:tabs>
                <w:tab w:val="left" w:pos="552"/>
              </w:tabs>
              <w:suppressAutoHyphens w:val="0"/>
              <w:spacing w:after="0"/>
              <w:jc w:val="both"/>
              <w:rPr>
                <w:rFonts w:ascii="Verdana" w:hAnsi="Verdana" w:cs="Tahoma"/>
                <w:noProof/>
              </w:rPr>
            </w:pPr>
          </w:p>
          <w:p w:rsidR="003E5F7B" w:rsidRDefault="000E7DAF" w:rsidP="003E5F7B">
            <w:pPr>
              <w:widowControl w:val="0"/>
              <w:tabs>
                <w:tab w:val="left" w:pos="552"/>
              </w:tabs>
              <w:suppressAutoHyphens w:val="0"/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3. Ped</w:t>
            </w:r>
            <w:r w:rsidR="003E5F7B">
              <w:rPr>
                <w:rFonts w:ascii="Verdana" w:hAnsi="Verdana" w:cs="Tahoma"/>
                <w:noProof/>
              </w:rPr>
              <w:t>ologický průzkum – 3 sondy, hloubka 1 m</w:t>
            </w:r>
          </w:p>
          <w:p w:rsidR="003E5F7B" w:rsidRDefault="003E5F7B" w:rsidP="003E5F7B">
            <w:pPr>
              <w:widowControl w:val="0"/>
              <w:tabs>
                <w:tab w:val="left" w:pos="552"/>
              </w:tabs>
              <w:suppressAutoHyphens w:val="0"/>
              <w:spacing w:after="0"/>
              <w:jc w:val="both"/>
              <w:rPr>
                <w:rFonts w:ascii="Verdana" w:hAnsi="Verdana" w:cs="Tahoma"/>
                <w:noProof/>
              </w:rPr>
            </w:pPr>
          </w:p>
          <w:p w:rsidR="003E5F7B" w:rsidRDefault="000E7DAF" w:rsidP="003E5F7B">
            <w:pPr>
              <w:widowControl w:val="0"/>
              <w:tabs>
                <w:tab w:val="left" w:pos="552"/>
              </w:tabs>
              <w:suppressAutoHyphens w:val="0"/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Celkem bez DPH</w:t>
            </w:r>
          </w:p>
          <w:p w:rsidR="000E7DAF" w:rsidRDefault="000E7DAF" w:rsidP="003E5F7B">
            <w:pPr>
              <w:widowControl w:val="0"/>
              <w:tabs>
                <w:tab w:val="left" w:pos="552"/>
              </w:tabs>
              <w:suppressAutoHyphens w:val="0"/>
              <w:spacing w:after="0"/>
              <w:jc w:val="both"/>
              <w:rPr>
                <w:rFonts w:ascii="Verdana" w:hAnsi="Verdana" w:cs="Tahoma"/>
                <w:noProof/>
              </w:rPr>
            </w:pPr>
          </w:p>
          <w:p w:rsidR="003E5F7B" w:rsidRPr="00E30C8D" w:rsidRDefault="000E7DAF" w:rsidP="000E7DAF">
            <w:pPr>
              <w:widowControl w:val="0"/>
              <w:tabs>
                <w:tab w:val="left" w:pos="552"/>
              </w:tabs>
              <w:suppressAutoHyphens w:val="0"/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1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2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Default="00C61485" w:rsidP="003E5F7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E5F7B" w:rsidRDefault="000E7DAF" w:rsidP="003E5F7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41 400,00</w:t>
            </w: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123 700,00</w:t>
            </w: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Default="003E5F7B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E7DAF" w:rsidRDefault="000E7DAF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E7DAF" w:rsidRDefault="000E7DAF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E7DAF" w:rsidRDefault="000E7DAF" w:rsidP="003E5F7B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7 000,00</w:t>
            </w:r>
          </w:p>
          <w:p w:rsidR="000E7DAF" w:rsidRDefault="000E7DAF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E7DAF" w:rsidRDefault="000E7DAF" w:rsidP="003E5F7B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172 100,00</w:t>
            </w:r>
          </w:p>
          <w:p w:rsidR="000E7DAF" w:rsidRDefault="000E7DAF" w:rsidP="003E5F7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E5F7B" w:rsidRPr="00E30C8D" w:rsidRDefault="000E7DAF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36 141,00</w:t>
            </w:r>
          </w:p>
        </w:tc>
      </w:tr>
      <w:tr w:rsidR="00C61485" w:rsidRPr="00E30C8D" w:rsidTr="00344F87">
        <w:tc>
          <w:tcPr>
            <w:tcW w:w="7987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0E7DAF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00354F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208 241,00</w:t>
            </w:r>
          </w:p>
        </w:tc>
      </w:tr>
      <w:tr w:rsidR="00C61485" w:rsidRPr="00E30C8D" w:rsidTr="00344F87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43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2768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344F8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344F8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00354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6. 5. 2019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00354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Default="00081FC8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</w:p>
    <w:p w:rsidR="000E7DAF" w:rsidRDefault="000E7DAF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1. geotechnický a pedologický průzkum </w:t>
      </w:r>
      <w:r>
        <w:rPr>
          <w:rFonts w:ascii="Verdana" w:hAnsi="Verdana" w:cs="Tahoma"/>
        </w:rPr>
        <w:tab/>
        <w:t>do 30.6.2019</w:t>
      </w:r>
    </w:p>
    <w:p w:rsidR="000E7DAF" w:rsidRPr="00E30C8D" w:rsidRDefault="000E7DAF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2. hydrogeologický průzkum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do 30.9.2019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00354F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00354F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00354F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00354F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00354F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081FC8">
        <w:rPr>
          <w:rFonts w:ascii="Verdana" w:hAnsi="Verdana" w:cs="Tahoma"/>
          <w:b/>
        </w:rPr>
        <w:t>_______________________________</w:t>
      </w:r>
    </w:p>
    <w:p w:rsidR="007E1437" w:rsidRPr="00E30C8D" w:rsidRDefault="007E1437">
      <w:pPr>
        <w:rPr>
          <w:rFonts w:ascii="Verdana" w:hAnsi="Verdana" w:cs="Tahoma"/>
        </w:rPr>
      </w:pPr>
      <w:bookmarkStart w:id="0" w:name="_GoBack"/>
      <w:bookmarkEnd w:id="0"/>
    </w:p>
    <w:sectPr w:rsidR="007E1437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3A" w:rsidRDefault="0035553A">
      <w:pPr>
        <w:spacing w:after="0"/>
      </w:pPr>
      <w:r>
        <w:separator/>
      </w:r>
    </w:p>
  </w:endnote>
  <w:endnote w:type="continuationSeparator" w:id="0">
    <w:p w:rsidR="0035553A" w:rsidRDefault="00355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3A" w:rsidRDefault="0035553A">
      <w:pPr>
        <w:spacing w:after="0"/>
      </w:pPr>
      <w:r>
        <w:separator/>
      </w:r>
    </w:p>
  </w:footnote>
  <w:footnote w:type="continuationSeparator" w:id="0">
    <w:p w:rsidR="0035553A" w:rsidRDefault="003555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C21A9"/>
    <w:multiLevelType w:val="hybridMultilevel"/>
    <w:tmpl w:val="022CB94C"/>
    <w:lvl w:ilvl="0" w:tplc="57CEE0A6">
      <w:start w:val="1"/>
      <w:numFmt w:val="bullet"/>
      <w:lvlText w:val=""/>
      <w:lvlJc w:val="left"/>
      <w:pPr>
        <w:tabs>
          <w:tab w:val="num" w:pos="1047"/>
        </w:tabs>
        <w:ind w:left="1104" w:firstLine="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64"/>
        </w:tabs>
        <w:ind w:left="68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84"/>
        </w:tabs>
        <w:ind w:left="7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4F"/>
    <w:rsid w:val="0000354F"/>
    <w:rsid w:val="00013840"/>
    <w:rsid w:val="00034B7C"/>
    <w:rsid w:val="00081FC8"/>
    <w:rsid w:val="000E7DAF"/>
    <w:rsid w:val="001413BE"/>
    <w:rsid w:val="002B23E9"/>
    <w:rsid w:val="00344F87"/>
    <w:rsid w:val="0035553A"/>
    <w:rsid w:val="003E5F7B"/>
    <w:rsid w:val="004914BE"/>
    <w:rsid w:val="004A754C"/>
    <w:rsid w:val="00520F76"/>
    <w:rsid w:val="00615D35"/>
    <w:rsid w:val="00623906"/>
    <w:rsid w:val="006948A1"/>
    <w:rsid w:val="007C0F21"/>
    <w:rsid w:val="007E1437"/>
    <w:rsid w:val="0096529D"/>
    <w:rsid w:val="00B336D0"/>
    <w:rsid w:val="00BC5896"/>
    <w:rsid w:val="00C61485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FA90-3D76-427E-B2A1-852509E8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42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10</cp:revision>
  <cp:lastPrinted>2019-05-06T06:33:00Z</cp:lastPrinted>
  <dcterms:created xsi:type="dcterms:W3CDTF">2019-05-06T05:49:00Z</dcterms:created>
  <dcterms:modified xsi:type="dcterms:W3CDTF">2019-05-06T06:42:00Z</dcterms:modified>
</cp:coreProperties>
</file>