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Veřejnoprávní smlouva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o poskytnutí účelové dotace z rozpočtu Městské části Praha - Vinoř 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číslo: 1962/2016-125</w:t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(dále jen „smlouva“)</w:t>
      </w:r>
    </w:p>
    <w:p>
      <w:pPr>
        <w:pStyle w:val="Tlotextu"/>
        <w:ind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jc w:val="center"/>
        <w:rPr/>
      </w:pPr>
      <w:r>
        <w:rPr>
          <w:rFonts w:ascii="Times New Roman" w:hAnsi="Times New Roman"/>
          <w:sz w:val="22"/>
          <w:szCs w:val="22"/>
        </w:rPr>
        <w:t>mezi: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Poskytovatel dotace: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Městská část Praha-Vinoř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Bohdanečská 97, 190 17, Praha 9-Vinoř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IČ 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DIČ CZ00240982</w:t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zastoupená starostou Františkem Švarcem</w:t>
        <w:tab/>
        <w:tab/>
        <w:tab/>
        <w:tab/>
        <w:tab/>
        <w:tab/>
      </w:r>
    </w:p>
    <w:p>
      <w:pPr>
        <w:pStyle w:val="ListParagraph"/>
        <w:tabs>
          <w:tab w:val="left" w:pos="2016" w:leader="none"/>
        </w:tabs>
        <w:ind w:left="0" w:hanging="0"/>
        <w:jc w:val="both"/>
        <w:rPr/>
      </w:pPr>
      <w:r>
        <w:rPr>
          <w:rFonts w:ascii="Times New Roman" w:hAnsi="Times New Roman"/>
          <w:sz w:val="22"/>
          <w:szCs w:val="22"/>
        </w:rPr>
        <w:t>bankovní spojení: ČSOB</w:t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číslo účtu: 274958902/0300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/>
      </w:pPr>
      <w:r>
        <w:rPr>
          <w:rFonts w:ascii="Times New Roman" w:hAnsi="Times New Roman"/>
          <w:sz w:val="22"/>
          <w:szCs w:val="22"/>
        </w:rPr>
        <w:t>(dále jen „</w:t>
      </w:r>
      <w:r>
        <w:rPr>
          <w:rFonts w:ascii="Times New Roman" w:hAnsi="Times New Roman"/>
          <w:b/>
          <w:sz w:val="22"/>
          <w:szCs w:val="22"/>
        </w:rPr>
        <w:t>poskytovatel“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 xml:space="preserve">Příjemce dotace: </w:t>
        <w:tab/>
        <w:tab/>
        <w:tab/>
        <w:tab/>
      </w:r>
    </w:p>
    <w:p>
      <w:pPr>
        <w:pStyle w:val="Normal"/>
        <w:tabs>
          <w:tab w:val="left" w:pos="2016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Tělocvičná jednota Sokol Vinoř</w:t>
      </w:r>
    </w:p>
    <w:p>
      <w:pPr>
        <w:pStyle w:val="Normal"/>
        <w:tabs>
          <w:tab w:val="left" w:pos="2016" w:leader="none"/>
        </w:tabs>
        <w:jc w:val="both"/>
        <w:rPr/>
      </w:pPr>
      <w:r>
        <w:rPr>
          <w:b/>
          <w:sz w:val="22"/>
          <w:szCs w:val="22"/>
        </w:rPr>
        <w:t>pobočný spolek</w:t>
      </w:r>
    </w:p>
    <w:p>
      <w:pPr>
        <w:pStyle w:val="ListParagraph"/>
        <w:tabs>
          <w:tab w:val="left" w:pos="2016" w:leader="none"/>
        </w:tabs>
        <w:ind w:left="0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IČ 49281771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Klenovská 35, 190 17, Praha 9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zastoupená starostou Ing. Myronem Gawdunem a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jednatelem Milanem Klivickým</w:t>
        <w:tab/>
        <w:tab/>
        <w:tab/>
        <w:tab/>
        <w:tab/>
        <w:t xml:space="preserve"> </w:t>
        <w:tab/>
        <w:tab/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bankovní spojení: Česká spořitelna</w:t>
        <w:tab/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číslo účtu: 247588379/0800</w:t>
      </w:r>
    </w:p>
    <w:p>
      <w:pPr>
        <w:pStyle w:val="Normal"/>
        <w:tabs>
          <w:tab w:val="left" w:pos="2016" w:leader="none"/>
        </w:tabs>
        <w:ind w:hanging="2520"/>
        <w:jc w:val="both"/>
        <w:rPr/>
      </w:pPr>
      <w:r>
        <w:rPr>
          <w:sz w:val="22"/>
          <w:szCs w:val="22"/>
        </w:rPr>
        <w:tab/>
        <w:t>(dále jen „</w:t>
      </w:r>
      <w:r>
        <w:rPr>
          <w:b/>
          <w:sz w:val="22"/>
          <w:szCs w:val="22"/>
        </w:rPr>
        <w:t>příjemce“</w:t>
      </w:r>
      <w:r>
        <w:rPr>
          <w:sz w:val="22"/>
          <w:szCs w:val="22"/>
        </w:rPr>
        <w:t>)</w:t>
      </w:r>
    </w:p>
    <w:p>
      <w:pPr>
        <w:pStyle w:val="Normal"/>
        <w:tabs>
          <w:tab w:val="left" w:pos="2016" w:leader="none"/>
        </w:tabs>
        <w:ind w:hanging="0"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ab/>
        <w:t xml:space="preserve">uzavírají níže uvedeného dne, měsíce a roku dle ustanovení § 159 a násl. zákona </w:t>
        <w:br/>
        <w:t xml:space="preserve">č. 500/2004 Sb., správní řád, ve znění pozdějších předpisů a v souladu se zákonem č. 250/2000 Sb., </w:t>
        <w:br/>
        <w:t>o rozpočtových pravidlech územních rozpočtů, ve znění pozdějších předpisů a zákonem č. 131/2000 Sb., o hlavním městě Praze, ve znění pozdějších předpisů tuto smlouvu.</w:t>
      </w:r>
    </w:p>
    <w:p>
      <w:pPr>
        <w:pStyle w:val="Normal"/>
        <w:tabs>
          <w:tab w:val="left" w:pos="2016" w:leader="none"/>
        </w:tabs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016" w:leader="none"/>
        </w:tabs>
        <w:jc w:val="center"/>
        <w:rPr/>
      </w:pPr>
      <w:r>
        <w:rPr>
          <w:b/>
          <w:sz w:val="22"/>
          <w:szCs w:val="22"/>
        </w:rPr>
        <w:t>I.</w:t>
      </w:r>
    </w:p>
    <w:p>
      <w:pPr>
        <w:pStyle w:val="Normal"/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>
      <w:pPr>
        <w:pStyle w:val="Normal"/>
        <w:tabs>
          <w:tab w:val="left" w:pos="2016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2016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 xml:space="preserve">1.1 Usnesením Zastupitelstva městské části Praha – Vinoř č. Z282/11/16C ze dne  3.11.2016 bylo schváleno poskytnou účelovou dotaci (dále jen „dotace“) z rozpočtu Městské části Praha – Vinoř ve výši 93.000,- Kč (slovy: devadesáttřitisíc korun českých)  na </w:t>
      </w:r>
      <w:bookmarkStart w:id="2" w:name="__DdeLink__3851_1565970094"/>
      <w:bookmarkStart w:id="3" w:name="__DdeLink__2041_783050871"/>
      <w:bookmarkEnd w:id="3"/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>ú</w:t>
      </w:r>
      <w:bookmarkEnd w:id="2"/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 xml:space="preserve">hradu nákladů spojených </w:t>
      </w:r>
      <w:bookmarkStart w:id="4" w:name="__DdeLink__2792_2072270855"/>
      <w:bookmarkEnd w:id="4"/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 xml:space="preserve">s opravami na fotbalovém hřišti – kácení stromů, vodoměrná šachta, vč. montážních prací. </w:t>
      </w:r>
    </w:p>
    <w:p>
      <w:pPr>
        <w:pStyle w:val="ListParagraph"/>
        <w:widowControl/>
        <w:numPr>
          <w:ilvl w:val="0"/>
          <w:numId w:val="0"/>
        </w:numPr>
        <w:tabs>
          <w:tab w:val="left" w:pos="2016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cs-CZ"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720" w:hanging="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ascii="Times New Roman" w:hAnsi="Times New Roman" w:eastAsiaTheme="minorHAnsi"/>
          <w:color w:val="00000A"/>
          <w:sz w:val="22"/>
          <w:szCs w:val="22"/>
          <w:lang w:val="cs-CZ" w:eastAsia="en-US" w:bidi="ar-SA"/>
        </w:rPr>
        <w:t xml:space="preserve">Poskytovatel poskytne příjemci dotaci za podmínek uvedených v Článcích II. až III. této smlouvy. </w:t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420"/>
        <w:jc w:val="both"/>
        <w:rPr>
          <w:rFonts w:ascii="Times New Roman" w:hAnsi="Times New Roman" w:eastAsia="Calibri" w:cs="Times New Roman" w:eastAsia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2"/>
          <w:szCs w:val="22"/>
          <w:lang w:val="cs-CZ"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left" w:pos="2016" w:leader="none"/>
        </w:tabs>
        <w:ind w:left="0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0"/>
        <w:jc w:val="center"/>
        <w:rPr/>
      </w:pPr>
      <w:r>
        <w:rPr>
          <w:b/>
          <w:sz w:val="22"/>
          <w:szCs w:val="22"/>
        </w:rPr>
        <w:t xml:space="preserve">II. </w:t>
      </w:r>
    </w:p>
    <w:p>
      <w:pPr>
        <w:pStyle w:val="Normal"/>
        <w:tabs>
          <w:tab w:val="left" w:pos="2016" w:leader="none"/>
        </w:tabs>
        <w:ind w:hanging="425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Splatnost peněžních prostředků </w:t>
      </w:r>
    </w:p>
    <w:p>
      <w:pPr>
        <w:pStyle w:val="Normal"/>
        <w:tabs>
          <w:tab w:val="left" w:pos="2016" w:leader="none"/>
        </w:tabs>
        <w:ind w:hanging="425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numPr>
          <w:ilvl w:val="1"/>
          <w:numId w:val="1"/>
        </w:numPr>
        <w:tabs>
          <w:tab w:val="left" w:pos="2016" w:leader="none"/>
        </w:tabs>
        <w:overflowPunct w:val="true"/>
        <w:bidi w:val="0"/>
        <w:spacing w:lineRule="auto" w:line="240" w:before="0" w:after="0"/>
        <w:ind w:left="360" w:right="0" w:hanging="340"/>
        <w:jc w:val="both"/>
        <w:textAlignment w:val="baseline"/>
        <w:rPr/>
      </w:pPr>
      <w:r>
        <w:rPr>
          <w:rFonts w:eastAsia="Calibri" w:cs="Times New Roman" w:eastAsiaTheme="minorHAnsi"/>
          <w:color w:val="00000A"/>
          <w:sz w:val="22"/>
          <w:szCs w:val="22"/>
          <w:lang w:val="cs-CZ" w:eastAsia="en-US" w:bidi="ar-SA"/>
        </w:rPr>
        <w:t>Poskytovatel se zavazuje poskytnout příjemci dotaci za účelem uvedeným v článku I. na účet příjemce uvedený v záhlaví této smlouvy na základě předložené žádosti ze dne 24.10.2016 a dokladů připojených k žádosti a to do 30-ti kalendářních dnů od popisu této smlouvy oběma smluvními stranami.</w:t>
      </w:r>
    </w:p>
    <w:p>
      <w:pPr>
        <w:pStyle w:val="Normal"/>
        <w:tabs>
          <w:tab w:val="left" w:pos="2016" w:leader="none"/>
        </w:tabs>
        <w:overflowPunct w:val="true"/>
        <w:ind w:hanging="425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425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>
      <w:pPr>
        <w:pStyle w:val="Normal"/>
        <w:tabs>
          <w:tab w:val="left" w:pos="2016" w:leader="none"/>
        </w:tabs>
        <w:ind w:hanging="425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Podmínky udělení peněžních prostředků</w:t>
      </w:r>
    </w:p>
    <w:p>
      <w:pPr>
        <w:pStyle w:val="Normal"/>
        <w:tabs>
          <w:tab w:val="left" w:pos="2016" w:leader="none"/>
        </w:tabs>
        <w:ind w:hanging="425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425"/>
        <w:jc w:val="both"/>
        <w:rPr/>
      </w:pPr>
      <w:r>
        <w:rPr>
          <w:sz w:val="22"/>
          <w:szCs w:val="22"/>
        </w:rPr>
        <w:t>3.1  Musí být jednoznačně prokazatelné, že finanční prostředky příjemce dotace použil na úhradu nákladů v souladu s účelem dotace dle čl. I této smlouvy. Doklady prokazující využití dotace musí být v účetnictví příjemce viditelně označeny „Dotace Městské části Praha - Vinoř“ (označeny musí být již originály dokladů).</w:t>
      </w:r>
      <w:r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 xml:space="preserve">Příjemce je povinen umožnit poskytovateli na základě jeho požadavku provedení kontroly všech prvotních účetních dokladů za účelem prověření předloženého vyúčtování projektu. Poskytovatel bude vykonávat u příjemce kontrolu, vyplývající ze zákona č. 320/2001 Sb., o finanční kontrole ve veřejné správě, ve znění pozdějších předpisů. </w:t>
      </w:r>
    </w:p>
    <w:p>
      <w:pPr>
        <w:pStyle w:val="Normal"/>
        <w:tabs>
          <w:tab w:val="left" w:pos="2016" w:leader="none"/>
        </w:tabs>
        <w:ind w:left="0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0"/>
        <w:jc w:val="center"/>
        <w:rPr/>
      </w:pPr>
      <w:r>
        <w:rPr>
          <w:b/>
          <w:sz w:val="22"/>
          <w:szCs w:val="22"/>
        </w:rPr>
        <w:t xml:space="preserve">IV. </w:t>
      </w:r>
    </w:p>
    <w:p>
      <w:pPr>
        <w:pStyle w:val="Normal"/>
        <w:tabs>
          <w:tab w:val="left" w:pos="2016" w:leader="none"/>
        </w:tabs>
        <w:ind w:hanging="425"/>
        <w:jc w:val="center"/>
        <w:rPr/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Sankce</w:t>
      </w:r>
    </w:p>
    <w:p>
      <w:pPr>
        <w:pStyle w:val="Normal"/>
        <w:tabs>
          <w:tab w:val="left" w:pos="2016" w:leader="none"/>
        </w:tabs>
        <w:ind w:hanging="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016" w:leader="none"/>
        </w:tabs>
        <w:ind w:hanging="426"/>
        <w:jc w:val="both"/>
        <w:rPr/>
      </w:pPr>
      <w:r>
        <w:rPr>
          <w:sz w:val="22"/>
          <w:szCs w:val="22"/>
        </w:rPr>
        <w:t>4.1</w:t>
        <w:tab/>
      </w:r>
      <w:r>
        <w:rPr>
          <w:rFonts w:eastAsia="Calibri" w:eastAsiaTheme="minorHAnsi"/>
          <w:sz w:val="22"/>
          <w:szCs w:val="22"/>
          <w:lang w:eastAsia="en-US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>
      <w:pPr>
        <w:pStyle w:val="Normal"/>
        <w:tabs>
          <w:tab w:val="left" w:pos="2016" w:leader="none"/>
        </w:tabs>
        <w:ind w:hanging="426"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Tlotextu"/>
        <w:ind w:right="0" w:hanging="425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V.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5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Ukončení smlouvy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Smlouvu lze ukončit na základě písemné dohody obou smluvních stran nebo písemnou výpovědí Smlouvy, a to za podmínek dále stanovených. 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může Smlouvu vypovědět jak před proplacením, tak i po proplacení dotace. 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/>
      </w:pPr>
      <w:r>
        <w:rPr>
          <w:rFonts w:ascii="Times New Roman" w:hAnsi="Times New Roman"/>
          <w:sz w:val="22"/>
          <w:szCs w:val="22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>
      <w:pPr>
        <w:pStyle w:val="Tlotextu"/>
        <w:numPr>
          <w:ilvl w:val="0"/>
          <w:numId w:val="0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svým jednáním poruší rozpočtovou kázeň dle zákona č. 250/2000 Sb., o rozpočtových pravidlech územních rozpočtů, ve znění pozdějších předpisů,  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/>
      </w:pPr>
      <w:r>
        <w:rPr>
          <w:rFonts w:cs="Times New Roman" w:ascii="Times New Roman" w:hAnsi="Times New Roman"/>
          <w:sz w:val="22"/>
          <w:szCs w:val="22"/>
        </w:rPr>
        <w:t>poruší pravidla veřejné podpory,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bylo zahájeno insolvenční řízení podle zákona č. 182/2006 Sb., o úpadku a způsobech jeho řešení, ve znění pozdějších předpisů,  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příjemce uvedl nepravdivé, neúplné nebo zkreslené údaje, na které se váže uzavření této Smlouvy,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je v likvidaci, 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změní právní formu a stane se tak nezpůsobilým příjemcem dotace pro danou oblast podpory, </w:t>
      </w:r>
    </w:p>
    <w:p>
      <w:pPr>
        <w:pStyle w:val="ListParagraph"/>
        <w:numPr>
          <w:ilvl w:val="2"/>
          <w:numId w:val="2"/>
        </w:numPr>
        <w:tabs>
          <w:tab w:val="left" w:pos="2016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opakovaně neplní povinnosti stanovené Smlouvou, i když byl k jejich nápravě vyzván poskytovatelem. </w:t>
      </w:r>
    </w:p>
    <w:p>
      <w:pPr>
        <w:pStyle w:val="ListParagraph"/>
        <w:tabs>
          <w:tab w:val="left" w:pos="2016" w:leader="none"/>
        </w:tabs>
        <w:ind w:left="108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Výpověď Smlouvy musí být učiněna písemně a musí v ní být uvedeny důvody jejího udělení. 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Výpovědní lhůta činí jeden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Dohoda o ukončení Smlouvy nabývá účinnosti dnem připsání vrácených peněžních prostředků na účet poskytovatele, nedohodnou-li se smluvní strany jinak.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>
      <w:pPr>
        <w:pStyle w:val="Tlotextu"/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3"/>
        </w:numPr>
        <w:tabs>
          <w:tab w:val="left" w:pos="0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left="502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ind w:right="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VII.</w:t>
      </w:r>
    </w:p>
    <w:p>
      <w:pPr>
        <w:pStyle w:val="Tlotextu"/>
        <w:ind w:right="0" w:hanging="425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Závěrečná ustanovení</w:t>
      </w:r>
    </w:p>
    <w:p>
      <w:pPr>
        <w:pStyle w:val="Tlotextu"/>
        <w:ind w:right="0" w:hanging="426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nabývá účinnosti dnem jejího podpisu oběma smluvními stranami.</w:t>
      </w:r>
    </w:p>
    <w:p>
      <w:pPr>
        <w:pStyle w:val="Tlotextu"/>
        <w:tabs>
          <w:tab w:val="left" w:pos="426" w:leader="none"/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/>
      </w:pPr>
      <w:r>
        <w:rPr>
          <w:rFonts w:ascii="Times New Roman" w:hAnsi="Times New Roman"/>
          <w:sz w:val="22"/>
          <w:szCs w:val="22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>
      <w:pPr>
        <w:pStyle w:val="Tlotextu"/>
        <w:ind w:left="218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bezvýhradně souhlasí se zveřejněním všech údajů obsažených v této smlouvě.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/>
      </w:pPr>
      <w:r>
        <w:rPr>
          <w:rFonts w:ascii="Times New Roman" w:hAnsi="Times New Roman"/>
          <w:sz w:val="22"/>
          <w:szCs w:val="22"/>
        </w:rPr>
        <w:t>Smluvní strany výslovně souhlasí s tím, aby tato smlouva byla uvedena v evidenci smluv vedené Městskou částí Praha – Vinoř.</w:t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rPr/>
      </w:pPr>
      <w:r>
        <w:rPr>
          <w:rFonts w:ascii="Times New Roman" w:hAnsi="Times New Roman"/>
          <w:sz w:val="22"/>
          <w:szCs w:val="22"/>
        </w:rPr>
        <w:t>Smlouva je vyhotovena ve dvou stejnopisech, z nichž poskytovatel obdrží 1 vyhotovení a příjemce  1 vyhotovení.</w:t>
      </w:r>
    </w:p>
    <w:p>
      <w:pPr>
        <w:pStyle w:val="Tlotextu"/>
        <w:numPr>
          <w:ilvl w:val="0"/>
          <w:numId w:val="0"/>
        </w:numPr>
        <w:ind w:right="14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numPr>
          <w:ilvl w:val="0"/>
          <w:numId w:val="4"/>
        </w:numPr>
        <w:ind w:left="644" w:right="0" w:hanging="426"/>
        <w:rPr/>
      </w:pPr>
      <w:r>
        <w:rPr>
          <w:rFonts w:ascii="Times New Roman" w:hAnsi="Times New Roman"/>
          <w:sz w:val="22"/>
          <w:szCs w:val="22"/>
        </w:rPr>
        <w:t xml:space="preserve">Smluvní strany svými podpisy stvrzují, že smlouva byla sjednána na základě jejich pravé a svobodné vůle, nikoli v tísni za nápadně nevýhodných podmínek. </w:t>
      </w:r>
    </w:p>
    <w:p>
      <w:pPr>
        <w:pStyle w:val="Tlotextu"/>
        <w:numPr>
          <w:ilvl w:val="0"/>
          <w:numId w:val="0"/>
        </w:numPr>
        <w:ind w:left="644"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widowControl w:val="false"/>
        <w:numPr>
          <w:ilvl w:val="0"/>
          <w:numId w:val="0"/>
        </w:numPr>
        <w:tabs>
          <w:tab w:val="left" w:pos="2016" w:leader="none"/>
          <w:tab w:val="left" w:pos="3168" w:leader="none"/>
          <w:tab w:val="left" w:pos="4320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bidi w:val="0"/>
        <w:spacing w:lineRule="auto" w:line="240" w:before="0" w:after="0"/>
        <w:ind w:left="170" w:right="0" w:hanging="39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>V  Praze  dne 5. prosince 2016</w:t>
        <w:tab/>
        <w:tab/>
        <w:tab/>
        <w:tab/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Za poskytovatele:</w:t>
        <w:tab/>
        <w:tab/>
        <w:tab/>
        <w:tab/>
        <w:tab/>
        <w:t>Za příjemce: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 xml:space="preserve">  </w:t>
      </w:r>
    </w:p>
    <w:p>
      <w:pPr>
        <w:pStyle w:val="Normal"/>
        <w:tabs>
          <w:tab w:val="left" w:pos="2016" w:leader="none"/>
          <w:tab w:val="left" w:pos="2835" w:leader="none"/>
        </w:tabs>
        <w:ind w:hanging="426"/>
        <w:jc w:val="both"/>
        <w:rPr/>
      </w:pPr>
      <w:r>
        <w:rPr>
          <w:sz w:val="22"/>
          <w:szCs w:val="22"/>
        </w:rPr>
        <w:t xml:space="preserve">          </w:t>
      </w:r>
    </w:p>
    <w:p>
      <w:pPr>
        <w:pStyle w:val="Tlotextu"/>
        <w:tabs>
          <w:tab w:val="left" w:pos="2016" w:leader="none"/>
          <w:tab w:val="left" w:pos="3168" w:leader="none"/>
          <w:tab w:val="left" w:pos="4320" w:leader="none"/>
          <w:tab w:val="left" w:pos="5245" w:leader="none"/>
          <w:tab w:val="left" w:pos="5472" w:leader="none"/>
          <w:tab w:val="left" w:pos="6624" w:leader="none"/>
          <w:tab w:val="left" w:pos="7776" w:leader="none"/>
          <w:tab w:val="left" w:pos="8928" w:leader="none"/>
        </w:tabs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………………………………..</w:t>
        <w:tab/>
        <w:t xml:space="preserve">                                         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František Švarc, starosta</w:t>
        <w:tab/>
        <w:tab/>
        <w:tab/>
        <w:t xml:space="preserve">        Myron Gawdun, starosta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           poskytovatel</w:t>
        <w:tab/>
        <w:tab/>
        <w:tab/>
        <w:tab/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 xml:space="preserve"> …………………………………..</w:t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 xml:space="preserve">       </w:t>
        <w:tab/>
        <w:tab/>
        <w:tab/>
        <w:tab/>
        <w:t xml:space="preserve">        Milan Klivický, jednotel</w:t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</w:p>
    <w:p>
      <w:pPr>
        <w:pStyle w:val="Tlotextu"/>
        <w:ind w:right="0" w:hanging="0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lotextu"/>
        <w:ind w:right="0" w:hanging="426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                     </w:t>
      </w:r>
    </w:p>
    <w:sectPr>
      <w:footerReference w:type="default" r:id="rId2"/>
      <w:type w:val="nextPage"/>
      <w:pgSz w:w="11906" w:h="16838"/>
      <w:pgMar w:left="1418" w:right="1413" w:header="0" w:top="1418" w:footer="1418" w:bottom="19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b w:val="false"/>
        <w:szCs w:val="22"/>
        <w:bCs w:val="false"/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lowerLetter"/>
      <w:lvlText w:val="%3)"/>
      <w:lvlJc w:val="left"/>
      <w:pPr>
        <w:ind w:left="1080" w:hanging="720"/>
      </w:pPr>
      <w:rPr>
        <w:sz w:val="22"/>
        <w:szCs w:val="22"/>
        <w:rFonts w:ascii="Times New Roman" w:hAnsi="Times New Roman" w:cs="Times New Roman"/>
        <w:color w:val="00000A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lvl w:ilvl="0">
      <w:start w:val="1"/>
      <w:numFmt w:val="decimal"/>
      <w:lvlText w:val="5.%1"/>
      <w:lvlJc w:val="left"/>
      <w:pPr>
        <w:ind w:left="502" w:hanging="360"/>
      </w:pPr>
      <w:rPr>
        <w:sz w:val="22"/>
        <w:i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6.%1"/>
      <w:lvlJc w:val="left"/>
      <w:pPr>
        <w:ind w:left="644" w:hanging="360"/>
      </w:pPr>
      <w:rPr>
        <w:sz w:val="22"/>
        <w:i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a6aa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semiHidden/>
    <w:unhideWhenUsed/>
    <w:rsid w:val="003a6aac"/>
    <w:rPr>
      <w:rFonts w:ascii="Arial" w:hAnsi="Arial" w:cs="Arial"/>
      <w:i w:val="false"/>
      <w:iCs w:val="false"/>
      <w:strike w:val="false"/>
      <w:dstrike w:val="false"/>
      <w:color w:val="0000FF"/>
      <w:sz w:val="14"/>
      <w:szCs w:val="14"/>
      <w:u w:val="none"/>
      <w:effect w:val="blinkBackground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3a6aa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3a6aac"/>
    <w:rPr>
      <w:rFonts w:ascii="Courier New" w:hAnsi="Courier New" w:eastAsia="Times New Roman" w:cs="Times New Roman"/>
      <w:sz w:val="24"/>
      <w:szCs w:val="20"/>
      <w:lang w:eastAsia="cs-CZ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3a6aac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qFormat/>
    <w:rsid w:val="003a6aa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76335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3aee"/>
    <w:rPr>
      <w:rFonts w:ascii="Segoe UI" w:hAnsi="Segoe UI" w:eastAsia="Times New Roman" w:cs="Segoe UI"/>
      <w:sz w:val="18"/>
      <w:szCs w:val="18"/>
      <w:lang w:eastAsia="cs-CZ"/>
    </w:rPr>
  </w:style>
  <w:style w:type="character" w:styleId="TextvysvtlivekChar" w:customStyle="1">
    <w:name w:val="Text vysvětlivek Char"/>
    <w:basedOn w:val="DefaultParagraphFont"/>
    <w:link w:val="Textvysvtlivek"/>
    <w:uiPriority w:val="99"/>
    <w:semiHidden/>
    <w:qFormat/>
    <w:rsid w:val="00f03b1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f03b12"/>
    <w:rPr>
      <w:vertAlign w:val="superscript"/>
    </w:rPr>
  </w:style>
  <w:style w:type="character" w:styleId="ListLabel1">
    <w:name w:val="ListLabel 1"/>
    <w:qFormat/>
    <w:rPr>
      <w:rFonts w:cs="Times New Roman"/>
      <w:b/>
      <w:sz w:val="22"/>
      <w:szCs w:val="22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/>
      <w:i w:val="false"/>
      <w:color w:val="00000A"/>
      <w:sz w:val="22"/>
    </w:rPr>
  </w:style>
  <w:style w:type="character" w:styleId="ListLabel5">
    <w:name w:val="ListLabel 5"/>
    <w:qFormat/>
    <w:rPr>
      <w:rFonts w:cs="Arial"/>
      <w:color w:val="00000A"/>
      <w:sz w:val="20"/>
      <w:szCs w:val="20"/>
    </w:rPr>
  </w:style>
  <w:style w:type="character" w:styleId="ListLabel6">
    <w:name w:val="ListLabel 6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7">
    <w:name w:val="ListLabel 7"/>
    <w:qFormat/>
    <w:rPr>
      <w:rFonts w:cs="Times New Roman"/>
      <w:b w:val="false"/>
      <w:bCs w:val="false"/>
      <w:sz w:val="22"/>
      <w:szCs w:val="22"/>
    </w:rPr>
  </w:style>
  <w:style w:type="character" w:styleId="ListLabel8">
    <w:name w:val="ListLabel 8"/>
    <w:qFormat/>
    <w:rPr>
      <w:rFonts w:ascii="Times New Roman" w:hAnsi="Times New Roman"/>
      <w:i w:val="false"/>
      <w:color w:val="00000A"/>
      <w:sz w:val="22"/>
    </w:rPr>
  </w:style>
  <w:style w:type="character" w:styleId="ListLabel9">
    <w:name w:val="ListLabel 9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0">
    <w:name w:val="ListLabel 10"/>
    <w:qFormat/>
    <w:rPr>
      <w:rFonts w:cs="Times New Roman"/>
      <w:b w:val="false"/>
      <w:bCs w:val="false"/>
      <w:sz w:val="22"/>
      <w:szCs w:val="22"/>
    </w:rPr>
  </w:style>
  <w:style w:type="character" w:styleId="ListLabel11">
    <w:name w:val="ListLabel 11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2">
    <w:name w:val="ListLabel 12"/>
    <w:qFormat/>
    <w:rPr>
      <w:rFonts w:ascii="Times New Roman" w:hAnsi="Times New Roman"/>
      <w:i w:val="false"/>
      <w:color w:val="00000A"/>
      <w:sz w:val="22"/>
    </w:rPr>
  </w:style>
  <w:style w:type="character" w:styleId="ListLabel13">
    <w:name w:val="ListLabel 13"/>
    <w:qFormat/>
    <w:rPr>
      <w:rFonts w:cs="Times New Roman"/>
      <w:b w:val="false"/>
      <w:bCs w:val="false"/>
      <w:sz w:val="22"/>
      <w:szCs w:val="22"/>
    </w:rPr>
  </w:style>
  <w:style w:type="character" w:styleId="ListLabel14">
    <w:name w:val="ListLabel 14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5">
    <w:name w:val="ListLabel 15"/>
    <w:qFormat/>
    <w:rPr>
      <w:rFonts w:ascii="Times New Roman" w:hAnsi="Times New Roman"/>
      <w:i w:val="false"/>
      <w:color w:val="00000A"/>
      <w:sz w:val="22"/>
    </w:rPr>
  </w:style>
  <w:style w:type="character" w:styleId="ListLabel16">
    <w:name w:val="ListLabel 16"/>
    <w:qFormat/>
    <w:rPr>
      <w:rFonts w:cs="Times New Roman"/>
      <w:b w:val="false"/>
      <w:bCs w:val="false"/>
      <w:sz w:val="22"/>
      <w:szCs w:val="22"/>
    </w:rPr>
  </w:style>
  <w:style w:type="character" w:styleId="ListLabel17">
    <w:name w:val="ListLabel 17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18">
    <w:name w:val="ListLabel 18"/>
    <w:qFormat/>
    <w:rPr>
      <w:rFonts w:ascii="Times New Roman" w:hAnsi="Times New Roman"/>
      <w:i w:val="false"/>
      <w:color w:val="00000A"/>
      <w:sz w:val="22"/>
    </w:rPr>
  </w:style>
  <w:style w:type="character" w:styleId="ListLabel19">
    <w:name w:val="ListLabel 19"/>
    <w:qFormat/>
    <w:rPr>
      <w:rFonts w:cs="Times New Roman"/>
      <w:b w:val="false"/>
      <w:bCs w:val="false"/>
      <w:sz w:val="22"/>
      <w:szCs w:val="22"/>
    </w:rPr>
  </w:style>
  <w:style w:type="character" w:styleId="ListLabel20">
    <w:name w:val="ListLabel 20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21">
    <w:name w:val="ListLabel 21"/>
    <w:qFormat/>
    <w:rPr>
      <w:rFonts w:ascii="Times New Roman" w:hAnsi="Times New Roman"/>
      <w:i w:val="false"/>
      <w:color w:val="00000A"/>
      <w:sz w:val="22"/>
    </w:rPr>
  </w:style>
  <w:style w:type="character" w:styleId="ListLabel22">
    <w:name w:val="ListLabel 22"/>
    <w:qFormat/>
    <w:rPr>
      <w:rFonts w:cs="Times New Roman"/>
      <w:b w:val="false"/>
      <w:bCs w:val="false"/>
      <w:sz w:val="22"/>
      <w:szCs w:val="22"/>
    </w:rPr>
  </w:style>
  <w:style w:type="character" w:styleId="ListLabel23">
    <w:name w:val="ListLabel 23"/>
    <w:qFormat/>
    <w:rPr>
      <w:rFonts w:ascii="Times New Roman" w:hAnsi="Times New Roman" w:cs="Times New Roman"/>
      <w:color w:val="00000A"/>
      <w:sz w:val="22"/>
      <w:szCs w:val="22"/>
    </w:rPr>
  </w:style>
  <w:style w:type="character" w:styleId="ListLabel24">
    <w:name w:val="ListLabel 24"/>
    <w:qFormat/>
    <w:rPr>
      <w:rFonts w:ascii="Times New Roman" w:hAnsi="Times New Roman"/>
      <w:i w:val="false"/>
      <w:color w:val="00000A"/>
      <w:sz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unhideWhenUsed/>
    <w:rsid w:val="003a6aac"/>
    <w:pPr>
      <w:widowControl w:val="false"/>
      <w:tabs>
        <w:tab w:val="left" w:pos="2016" w:leader="none"/>
        <w:tab w:val="left" w:pos="3168" w:leader="none"/>
        <w:tab w:val="left" w:pos="4320" w:leader="none"/>
        <w:tab w:val="left" w:pos="5472" w:leader="none"/>
        <w:tab w:val="left" w:pos="6624" w:leader="none"/>
        <w:tab w:val="left" w:pos="7776" w:leader="none"/>
        <w:tab w:val="left" w:pos="8928" w:leader="none"/>
      </w:tabs>
      <w:ind w:right="144" w:hanging="0"/>
      <w:jc w:val="both"/>
    </w:pPr>
    <w:rPr>
      <w:rFonts w:ascii="Courier New" w:hAnsi="Courier New"/>
      <w:szCs w:val="20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xtpoznpodarouChar"/>
    <w:semiHidden/>
    <w:unhideWhenUsed/>
    <w:qFormat/>
    <w:rsid w:val="003a6aac"/>
    <w:pPr/>
    <w:rPr>
      <w:sz w:val="20"/>
      <w:szCs w:val="20"/>
    </w:rPr>
  </w:style>
  <w:style w:type="paragraph" w:styleId="ListParagraph">
    <w:name w:val="List Paragraph"/>
    <w:basedOn w:val="Normal"/>
    <w:link w:val="OdstavecseseznamemChar"/>
    <w:uiPriority w:val="34"/>
    <w:qFormat/>
    <w:rsid w:val="003a6aac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Zhlav">
    <w:name w:val="Záhlaví"/>
    <w:basedOn w:val="Normal"/>
    <w:link w:val="Zhlav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unhideWhenUsed/>
    <w:rsid w:val="00763353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3aee"/>
    <w:pPr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vysvtlivekChar"/>
    <w:uiPriority w:val="99"/>
    <w:semiHidden/>
    <w:unhideWhenUsed/>
    <w:qFormat/>
    <w:rsid w:val="00f03b12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6">
    <w:name w:val="WW8Num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724C-CEB3-4945-997E-176CBA95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LibreOffice/5.0.3.2$Windows_x86 LibreOffice_project/e5f16313668ac592c1bfb310f4390624e3dbfb75</Application>
  <Paragraphs>85</Paragraphs>
  <Company>Krajský úřad Zlínského kraje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2016-04-29T11:11:00Z</dcterms:created>
  <dc:creator>Koláčková Lucie</dc:creator>
  <dc:language>cs-CZ</dc:language>
  <cp:lastPrinted>2016-12-02T16:46:44Z</cp:lastPrinted>
  <dcterms:modified xsi:type="dcterms:W3CDTF">2016-12-09T15:35:07Z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