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068" w:left="1372" w:right="1322" w:bottom="130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framePr w:w="8690" w:h="1015" w:wrap="none" w:vAnchor="text" w:hAnchor="page" w:x="1827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7</w:t>
      </w:r>
      <w:bookmarkEnd w:id="0"/>
      <w:bookmarkEnd w:id="1"/>
    </w:p>
    <w:p>
      <w:pPr>
        <w:pStyle w:val="Style7"/>
        <w:keepNext w:val="0"/>
        <w:keepLines w:val="0"/>
        <w:framePr w:w="8690" w:h="1015" w:wrap="none" w:vAnchor="text" w:hAnchor="page" w:x="1827" w:y="2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smlouvě „Asfaltová směs určená pro strojní zpracování, Část II - cestmistrovství</w:t>
      </w:r>
    </w:p>
    <w:p>
      <w:pPr>
        <w:pStyle w:val="Style7"/>
        <w:keepNext w:val="0"/>
        <w:keepLines w:val="0"/>
        <w:framePr w:w="8690" w:h="1015" w:wrap="none" w:vAnchor="text" w:hAnchor="page" w:x="1827" w:y="21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Chotěboř", uzavřené dne 24. 6. 2010</w:t>
      </w:r>
    </w:p>
    <w:p>
      <w:pPr>
        <w:pStyle w:val="Style9"/>
        <w:keepNext/>
        <w:keepLines/>
        <w:framePr w:w="230" w:h="342" w:wrap="none" w:vAnchor="text" w:hAnchor="page" w:x="5863" w:y="1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  <w:bookmarkEnd w:id="2"/>
    </w:p>
    <w:p>
      <w:pPr>
        <w:pStyle w:val="Style11"/>
        <w:keepNext/>
        <w:keepLines/>
        <w:framePr w:w="6386" w:h="752" w:wrap="none" w:vAnchor="text" w:hAnchor="page" w:x="1395" w:y="195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3"/>
      <w:bookmarkEnd w:id="4"/>
    </w:p>
    <w:p>
      <w:pPr>
        <w:pStyle w:val="Style7"/>
        <w:keepNext w:val="0"/>
        <w:keepLines w:val="0"/>
        <w:framePr w:w="6386" w:h="752" w:wrap="none" w:vAnchor="text" w:hAnchor="page" w:x="1395" w:y="1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Kosovská 1122/16, 586 01 Jihlava</w:t>
      </w:r>
    </w:p>
    <w:p>
      <w:pPr>
        <w:pStyle w:val="Style11"/>
        <w:keepNext/>
        <w:keepLines/>
        <w:framePr w:w="1282" w:h="342" w:wrap="none" w:vAnchor="text" w:hAnchor="page" w:x="1388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  <w:bookmarkEnd w:id="5"/>
      <w:bookmarkEnd w:id="6"/>
    </w:p>
    <w:p>
      <w:pPr>
        <w:pStyle w:val="Style11"/>
        <w:keepNext/>
        <w:keepLines/>
        <w:framePr w:w="4673" w:h="342" w:wrap="none" w:vAnchor="text" w:hAnchor="page" w:x="3533" w:y="2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Janem Míkou, MBA, ředitelem organizace</w:t>
      </w:r>
      <w:bookmarkEnd w:id="7"/>
      <w:bookmarkEnd w:id="8"/>
    </w:p>
    <w:p>
      <w:pPr>
        <w:pStyle w:val="Style7"/>
        <w:keepNext w:val="0"/>
        <w:keepLines w:val="0"/>
        <w:framePr w:w="1778" w:h="342" w:wrap="none" w:vAnchor="text" w:hAnchor="page" w:x="1406" w:y="3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framePr w:w="3182" w:h="342" w:wrap="none" w:vAnchor="text" w:hAnchor="page" w:x="3537" w:y="3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Komerční banka, a.s., číslo účtu:</w:t>
      </w:r>
    </w:p>
    <w:p>
      <w:pPr>
        <w:pStyle w:val="Style7"/>
        <w:keepNext w:val="0"/>
        <w:keepLines w:val="0"/>
        <w:framePr w:w="3420" w:h="756" w:wrap="none" w:vAnchor="text" w:hAnchor="page" w:x="1406" w:y="3605"/>
        <w:widowControl w:val="0"/>
        <w:shd w:val="clear" w:color="auto" w:fill="auto"/>
        <w:tabs>
          <w:tab w:pos="205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000 90 450</w:t>
      </w:r>
    </w:p>
    <w:p>
      <w:pPr>
        <w:pStyle w:val="Style7"/>
        <w:keepNext w:val="0"/>
        <w:keepLines w:val="0"/>
        <w:framePr w:w="3420" w:h="756" w:wrap="none" w:vAnchor="text" w:hAnchor="page" w:x="1406" w:y="3605"/>
        <w:widowControl w:val="0"/>
        <w:shd w:val="clear" w:color="auto" w:fill="auto"/>
        <w:tabs>
          <w:tab w:pos="20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CZ00090450</w:t>
      </w:r>
    </w:p>
    <w:p>
      <w:pPr>
        <w:pStyle w:val="Style7"/>
        <w:keepNext w:val="0"/>
        <w:keepLines w:val="0"/>
        <w:framePr w:w="3506" w:h="752" w:wrap="none" w:vAnchor="text" w:hAnchor="page" w:x="1395" w:y="4429"/>
        <w:widowControl w:val="0"/>
        <w:shd w:val="clear" w:color="auto" w:fill="auto"/>
        <w:tabs>
          <w:tab w:pos="214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7"/>
        <w:keepNext w:val="0"/>
        <w:keepLines w:val="0"/>
        <w:framePr w:w="3506" w:h="752" w:wrap="none" w:vAnchor="text" w:hAnchor="page" w:x="1395" w:y="4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jedné, jako kupující)</w:t>
      </w:r>
    </w:p>
    <w:tbl>
      <w:tblPr>
        <w:tblOverlap w:val="never"/>
        <w:jc w:val="left"/>
        <w:tblLayout w:type="fixed"/>
      </w:tblPr>
      <w:tblGrid>
        <w:gridCol w:w="454"/>
        <w:gridCol w:w="1130"/>
        <w:gridCol w:w="774"/>
      </w:tblGrid>
      <w:tr>
        <w:trPr>
          <w:trHeight w:val="4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358" w:h="1609" w:wrap="none" w:vAnchor="text" w:hAnchor="page" w:x="8026" w:y="4022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2358" w:h="1609" w:wrap="none" w:vAnchor="text" w:hAnchor="page" w:x="8026" w:y="40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2358" w:h="1609" w:wrap="none" w:vAnchor="text" w:hAnchor="page" w:x="8026" w:y="40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CUVri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2358" w:h="1609" w:wrap="none" w:vAnchor="text" w:hAnchor="page" w:x="8026" w:y="40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2 % -04-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2358" w:h="1609" w:wrap="none" w:vAnchor="text" w:hAnchor="page" w:x="8026" w:y="40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2019 '■.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2358" w:h="1609" w:wrap="none" w:vAnchor="text" w:hAnchor="page" w:x="8026" w:y="40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ČJ.: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2358" w:h="1609" w:wrap="none" w:vAnchor="text" w:hAnchor="page" w:x="8026" w:y="40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úcTc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 Xl /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2358" w:h="1609" w:wrap="none" w:vAnchor="text" w:hAnchor="page" w:x="8026" w:y="40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li: K- /■</w:t>
            </w:r>
          </w:p>
        </w:tc>
      </w:tr>
    </w:tbl>
    <w:p>
      <w:pPr>
        <w:framePr w:w="2358" w:h="1609" w:wrap="none" w:vAnchor="text" w:hAnchor="page" w:x="8026" w:y="4022"/>
        <w:widowControl w:val="0"/>
        <w:spacing w:line="1" w:lineRule="exact"/>
      </w:pPr>
    </w:p>
    <w:p>
      <w:pPr>
        <w:pStyle w:val="Style11"/>
        <w:keepNext/>
        <w:keepLines/>
        <w:framePr w:w="4176" w:h="760" w:wrap="none" w:vAnchor="text" w:hAnchor="page" w:x="1402" w:y="564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M-SILNICE, a.s.</w:t>
      </w:r>
      <w:bookmarkEnd w:id="10"/>
      <w:bookmarkEnd w:id="9"/>
    </w:p>
    <w:p>
      <w:pPr>
        <w:pStyle w:val="Style7"/>
        <w:keepNext w:val="0"/>
        <w:keepLines w:val="0"/>
        <w:framePr w:w="4176" w:h="760" w:wrap="none" w:vAnchor="text" w:hAnchor="page" w:x="1402" w:y="5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Husova 1697, 530 03 Pardubice</w:t>
      </w:r>
    </w:p>
    <w:p>
      <w:pPr>
        <w:pStyle w:val="Style11"/>
        <w:keepNext/>
        <w:keepLines/>
        <w:framePr w:w="2934" w:h="641" w:wrap="none" w:vAnchor="text" w:hAnchor="page" w:x="1373" w:y="648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  <w:bookmarkEnd w:id="11"/>
      <w:bookmarkEnd w:id="12"/>
    </w:p>
    <w:p>
      <w:pPr>
        <w:pStyle w:val="Style19"/>
        <w:keepNext w:val="0"/>
        <w:keepLines w:val="0"/>
        <w:framePr w:w="2934" w:h="641" w:wrap="none" w:vAnchor="text" w:hAnchor="page" w:x="1373" w:y="6481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 &amp;</w:t>
        <w:tab/>
        <w:t>pověření</w:t>
      </w:r>
    </w:p>
    <w:p>
      <w:pPr>
        <w:pStyle w:val="Style19"/>
        <w:keepNext w:val="0"/>
        <w:keepLines w:val="0"/>
        <w:framePr w:w="4673" w:h="302" w:wrap="none" w:vAnchor="text" w:hAnchor="page" w:x="5906" w:y="65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místopředsedou představenstva, na základě písemného</w:t>
      </w:r>
    </w:p>
    <w:p>
      <w:pPr>
        <w:pStyle w:val="Style7"/>
        <w:keepNext w:val="0"/>
        <w:keepLines w:val="0"/>
        <w:framePr w:w="1778" w:h="756" w:wrap="none" w:vAnchor="text" w:hAnchor="page" w:x="1406" w:y="7298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framePr w:w="1778" w:h="756" w:wrap="none" w:vAnchor="text" w:hAnchor="page" w:x="1406" w:y="72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7"/>
        <w:keepNext w:val="0"/>
        <w:keepLines w:val="0"/>
        <w:framePr w:w="2117" w:h="342" w:wrap="none" w:vAnchor="text" w:hAnchor="page" w:x="3533" w:y="7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spořitelna, a.s.</w:t>
      </w:r>
    </w:p>
    <w:p>
      <w:pPr>
        <w:pStyle w:val="Style7"/>
        <w:keepNext w:val="0"/>
        <w:keepLines w:val="0"/>
        <w:framePr w:w="295" w:h="342" w:wrap="none" w:vAnchor="text" w:hAnchor="page" w:x="1413" w:y="8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framePr w:w="1159" w:h="342" w:wrap="none" w:vAnchor="text" w:hAnchor="page" w:x="3533" w:y="8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421 96 868</w:t>
      </w:r>
    </w:p>
    <w:p>
      <w:pPr>
        <w:pStyle w:val="Style7"/>
        <w:keepNext w:val="0"/>
        <w:keepLines w:val="0"/>
        <w:framePr w:w="446" w:h="342" w:wrap="none" w:vAnchor="text" w:hAnchor="page" w:x="1413" w:y="8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framePr w:w="1282" w:h="342" w:wrap="none" w:vAnchor="text" w:hAnchor="page" w:x="3541" w:y="8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CZ42196868</w:t>
      </w:r>
    </w:p>
    <w:p>
      <w:pPr>
        <w:pStyle w:val="Style7"/>
        <w:keepNext w:val="0"/>
        <w:keepLines w:val="0"/>
        <w:framePr w:w="9158" w:h="3161" w:wrap="none" w:vAnchor="text" w:hAnchor="page" w:x="1399" w:y="895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zapsaná v obchodním rejstříku, vedeném Městským soudem v Praze oddíl B, vložka 6556 (na straně druhé jako prodávající).</w:t>
      </w:r>
    </w:p>
    <w:p>
      <w:pPr>
        <w:pStyle w:val="Style11"/>
        <w:keepNext/>
        <w:keepLines/>
        <w:framePr w:w="9158" w:h="3161" w:wrap="none" w:vAnchor="text" w:hAnchor="page" w:x="1399" w:y="895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  <w:bookmarkEnd w:id="13"/>
      <w:bookmarkEnd w:id="14"/>
    </w:p>
    <w:p>
      <w:pPr>
        <w:pStyle w:val="Style7"/>
        <w:keepNext w:val="0"/>
        <w:keepLines w:val="0"/>
        <w:framePr w:w="9158" w:h="3161" w:wrap="none" w:vAnchor="text" w:hAnchor="page" w:x="1399" w:y="895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tímto v souladu s odstavcem 11.2. Článku 11. Závěrečná ustanovení shora citované smlouvy a na základě závěrů jednání o úpravě kupních cen dohodly úpravě stávající kupní smlouvy.</w:t>
      </w:r>
    </w:p>
    <w:p>
      <w:pPr>
        <w:pStyle w:val="Style11"/>
        <w:keepNext/>
        <w:keepLines/>
        <w:framePr w:w="9158" w:h="3161" w:wrap="none" w:vAnchor="text" w:hAnchor="page" w:x="1399" w:y="895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  <w:bookmarkEnd w:id="15"/>
      <w:bookmarkEnd w:id="16"/>
    </w:p>
    <w:p>
      <w:pPr>
        <w:pStyle w:val="Style7"/>
        <w:keepNext w:val="0"/>
        <w:keepLines w:val="0"/>
        <w:framePr w:w="9158" w:h="3161" w:wrap="none" w:vAnchor="text" w:hAnchor="page" w:x="1399" w:y="895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za plnění sjednané v odstavci 3.1. Článku 3 Cena za plnění stávající smlouvy se pro rok 2019 nahrazují novými cenami takto: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4199890</wp:posOffset>
            </wp:positionH>
            <wp:positionV relativeFrom="paragraph">
              <wp:posOffset>2343150</wp:posOffset>
            </wp:positionV>
            <wp:extent cx="286385" cy="29273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86385" cy="292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8" w:left="1372" w:right="1322" w:bottom="130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75"/>
        <w:gridCol w:w="3215"/>
      </w:tblGrid>
      <w:tr>
        <w:trPr>
          <w:trHeight w:val="4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Asfaltová směs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tunu v Kč bez DPH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ACO11+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1.510,-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ACP16+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1.380,-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ACL 16+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1.380,-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ACP 22+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1.380,-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  <w:bookmarkEnd w:id="17"/>
      <w:bookmarkEnd w:id="1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se nemění a zůstávají v platnosti.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  <w:bookmarkEnd w:id="19"/>
      <w:bookmarkEnd w:id="20"/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nedílnou součástí stávající smlouvy.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nabývá platnosti dnem podpisu oběma smluvními stranami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výslovně souhlasí se zveřejněním dodatku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Účastnící se dohodly, že zákonnou povinnost dle § 5 odst. 2 zákona č. 340/2015 Sb., v platném znění (zákon o registru smluv) splní kupující.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after="66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čtyřech stejnopisech, z nichž každý účastník smlouvy obdrží po dvou vyhotoveních. Všechna vyhotovení mají platnost originálu.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34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Hradci Králové dne 23. 04. 2019</w:t>
        <w:tab/>
        <w:t>V Jihlavě dne 30. IU 2019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346" w:val="left"/>
        </w:tabs>
        <w:bidi w:val="0"/>
        <w:spacing w:before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4237990</wp:posOffset>
                </wp:positionH>
                <wp:positionV relativeFrom="paragraph">
                  <wp:posOffset>1117600</wp:posOffset>
                </wp:positionV>
                <wp:extent cx="1223010" cy="57150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3010" cy="571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 Mika, MBA ředitel organizace,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3.69999999999999pt;margin-top:88.pt;width:96.299999999999997pt;height:45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Mika, MBA ředitel organizace,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  <w:tab/>
        <w:t xml:space="preserve">Kupující: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místopředseda představenstva na základě písemného pověření</w:t>
      </w:r>
    </w:p>
    <w:sectPr>
      <w:footnotePr>
        <w:pos w:val="pageBottom"/>
        <w:numFmt w:val="decimal"/>
        <w:numRestart w:val="continuous"/>
      </w:footnotePr>
      <w:pgSz w:w="11900" w:h="16840"/>
      <w:pgMar w:top="2001" w:left="1274" w:right="1483" w:bottom="200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3454400</wp:posOffset>
              </wp:positionH>
              <wp:positionV relativeFrom="page">
                <wp:posOffset>9861550</wp:posOffset>
              </wp:positionV>
              <wp:extent cx="717550" cy="9842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755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72.pt;margin-top:776.5pt;width:56.5pt;height:7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9806305</wp:posOffset>
              </wp:positionV>
              <wp:extent cx="5820410" cy="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204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99999999999997pt;margin-top:772.14999999999998pt;width:458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457200</wp:posOffset>
              </wp:positionV>
              <wp:extent cx="5728970" cy="1574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28970" cy="157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Číslo smlouvy prodávajícího: 15-1/PRO/2010/003</w:t>
                            <w:tab/>
                            <w:t>Číslo smlouvy kupujícího: 157/KSÚSV/HB/10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150000000000006pt;margin-top:36.pt;width:451.10000000000002pt;height:12.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Číslo smlouvy prodávajícího: 15-1/PRO/2010/003</w:t>
                      <w:tab/>
                      <w:t>Číslo smlouvy kupujícího: 157/KSÚSV/HB/10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711835</wp:posOffset>
              </wp:positionV>
              <wp:extent cx="546798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6798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5pt;margin-top:56.049999999999997pt;width:430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Číslo nadpisu #2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2">
    <w:name w:val="Nadpis #2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Jiné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line="264" w:lineRule="auto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Číslo nadpisu #2"/>
    <w:basedOn w:val="Normal"/>
    <w:link w:val="CharStyle10"/>
    <w:pPr>
      <w:widowControl w:val="0"/>
      <w:shd w:val="clear" w:color="auto" w:fill="FFFFFF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spacing w:after="10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/Relationships>
</file>