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70" w:left="1325" w:right="1345" w:bottom="97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Krajská správa a údržba silnic Vysočiny, příspěvková organizace: Číslo smlouvy Obec Ostrov: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</w:t>
      </w:r>
      <w:bookmarkEnd w:id="4"/>
      <w:bookmarkEnd w:id="5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společném zadání veřejných zadavatelů</w:t>
      </w:r>
      <w:bookmarkEnd w:id="6"/>
      <w:bookmarkEnd w:id="7"/>
    </w:p>
    <w:p>
      <w:pPr>
        <w:widowControl w:val="0"/>
        <w:spacing w:line="1" w:lineRule="exact"/>
      </w:pPr>
      <w:r>
        <mc:AlternateContent>
          <mc:Choice Requires="wps">
            <w:drawing>
              <wp:anchor distT="76200" distB="821055" distL="0" distR="0" simplePos="0" relativeHeight="125829378" behindDoc="0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76200</wp:posOffset>
                </wp:positionV>
                <wp:extent cx="804545" cy="3289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Obec Ostrov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7.599999999999994pt;margin-top:6.pt;width:63.350000000000001pt;height:25.899999999999999pt;z-index:-125829375;mso-wrap-distance-left:0;mso-wrap-distance-top:6.pt;mso-wrap-distance-right:0;mso-wrap-distance-bottom:64.650000000000006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Obec Ostrov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9235" distB="822960" distL="0" distR="0" simplePos="0" relativeHeight="125829380" behindDoc="0" locked="0" layoutInCell="1" allowOverlap="1">
                <wp:simplePos x="0" y="0"/>
                <wp:positionH relativeFrom="page">
                  <wp:posOffset>2218690</wp:posOffset>
                </wp:positionH>
                <wp:positionV relativeFrom="paragraph">
                  <wp:posOffset>229235</wp:posOffset>
                </wp:positionV>
                <wp:extent cx="1051560" cy="1739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58401 Ostrov 36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74.69999999999999pt;margin-top:18.050000000000001pt;width:82.799999999999997pt;height:13.699999999999999pt;z-index:-125829373;mso-wrap-distance-left:0;mso-wrap-distance-top:18.050000000000001pt;mso-wrap-distance-right:0;mso-wrap-distance-bottom:64.799999999999997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58401 Ostrov 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7670" distB="335915" distL="0" distR="0" simplePos="0" relativeHeight="125829382" behindDoc="0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407670</wp:posOffset>
                </wp:positionV>
                <wp:extent cx="722630" cy="48260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482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Zastoupená: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7.599999999999994pt;margin-top:32.100000000000001pt;width:56.899999999999999pt;height:38.pt;z-index:-125829371;mso-wrap-distance-left:0;mso-wrap-distance-top:32.100000000000001pt;mso-wrap-distance-right:0;mso-wrap-distance-bottom:26.44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Zastoupená: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2175" distB="0" distL="0" distR="0" simplePos="0" relativeHeight="125829384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892175</wp:posOffset>
                </wp:positionV>
                <wp:extent cx="1840230" cy="33401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0230" cy="334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4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Datová schránka:</w:t>
                              <w:tab/>
                              <w:t>fbjav3k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(dálejen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„zadavatelč.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2‘j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7.400000000000006pt;margin-top:70.25pt;width:144.90000000000001pt;height:26.300000000000001pt;z-index:-125829369;mso-wrap-distance-left:0;mso-wrap-distance-top:70.25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4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Datová schránka:</w:t>
                        <w:tab/>
                        <w:t>fbjav3k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(dálejen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„zadavatelč.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2‘j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7670" distB="313055" distL="0" distR="0" simplePos="0" relativeHeight="125829386" behindDoc="0" locked="0" layoutInCell="1" allowOverlap="1">
                <wp:simplePos x="0" y="0"/>
                <wp:positionH relativeFrom="page">
                  <wp:posOffset>2216150</wp:posOffset>
                </wp:positionH>
                <wp:positionV relativeFrom="paragraph">
                  <wp:posOffset>407670</wp:posOffset>
                </wp:positionV>
                <wp:extent cx="1751330" cy="50546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1330" cy="5054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Janem Rajdlem, starostou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00580007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není plátce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74.5pt;margin-top:32.100000000000001pt;width:137.90000000000001pt;height:39.799999999999997pt;z-index:-125829367;mso-wrap-distance-left:0;mso-wrap-distance-top:32.100000000000001pt;mso-wrap-distance-right:0;mso-wrap-distance-bottom:24.64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Janem Rajdlem, starostou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00580007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není plátce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62280" distB="530860" distL="0" distR="0" simplePos="0" relativeHeight="125829388" behindDoc="0" locked="0" layoutInCell="1" allowOverlap="1">
                <wp:simplePos x="0" y="0"/>
                <wp:positionH relativeFrom="page">
                  <wp:posOffset>5311140</wp:posOffset>
                </wp:positionH>
                <wp:positionV relativeFrom="paragraph">
                  <wp:posOffset>462280</wp:posOffset>
                </wp:positionV>
                <wp:extent cx="962660" cy="23304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266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i? 8 'ÍH“ '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8.19999999999999pt;margin-top:36.399999999999999pt;width:75.799999999999997pt;height:18.350000000000001pt;z-index:-125829365;mso-wrap-distance-left:0;mso-wrap-distance-top:36.399999999999999pt;mso-wrap-distance-right:0;mso-wrap-distance-bottom:41.799999999999997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i? 8 'ÍH“ 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10540" distB="130175" distL="0" distR="0" simplePos="0" relativeHeight="125829390" behindDoc="0" locked="0" layoutInCell="1" allowOverlap="1">
                <wp:simplePos x="0" y="0"/>
                <wp:positionH relativeFrom="page">
                  <wp:posOffset>6335395</wp:posOffset>
                </wp:positionH>
                <wp:positionV relativeFrom="paragraph">
                  <wp:posOffset>510540</wp:posOffset>
                </wp:positionV>
                <wp:extent cx="297180" cy="58547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718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/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‘íy‘7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98.85000000000002pt;margin-top:40.200000000000003pt;width:23.399999999999999pt;height:46.100000000000001pt;z-index:-125829363;mso-wrap-distance-left:0;mso-wrap-distance-top:40.200000000000003pt;mso-wrap-distance-right:0;mso-wrap-distance-bottom:10.2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/</w:t>
                      </w:r>
                      <w:bookmarkEnd w:id="0"/>
                      <w:bookmarkEnd w:id="1"/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‘íy‘7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tbl>
      <w:tblPr>
        <w:tblOverlap w:val="never"/>
        <w:jc w:val="left"/>
        <w:tblLayout w:type="fixed"/>
      </w:tblPr>
      <w:tblGrid>
        <w:gridCol w:w="1847"/>
        <w:gridCol w:w="4374"/>
      </w:tblGrid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1122/16,586 01 Jihlava</w:t>
            </w:r>
          </w:p>
        </w:tc>
      </w:tr>
      <w:tr>
        <w:trPr>
          <w:trHeight w:val="7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 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Janem Míkou, MBA, ředitelem 00090450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tabs>
          <w:tab w:pos="21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  <w:tab/>
        <w:t>3qdnp8g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„zadavatel 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Č.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1“)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(společně také 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„zadavatelé“)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v souladu s ust. § 2716 a násl. zákona Č. 89/2012 Sb., občanský zákoník, (dále jen „občanský zákoník“) a ust. § 7 odst. 1) a 2) zákona č. 134/25016 Sb., o zadávání veřejných zakázek, (dále jen „ZZVZ“), tuto smlouvu: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9" w:val="left"/>
        </w:tabs>
        <w:bidi w:val="0"/>
        <w:spacing w:before="0" w:after="100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této smlouvy je úprava vzájemných práv a povinností zadavatelů k třetím osobám a k sobě navzájem v souvislosti se společným zadáním veřejné zakázky na vypracování společné projektové dokumentace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„III/01832 křiž. 11/150 - Ostrov“,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stavební práce spočívající v rekonstrukci silnice v průtahu obcí včetně odvodnění silnice, úpravu napojení křižovatky 11/150 a zřízení nových chodníků a veřejného osvětlení ve staničení km 0,000 - 0,250 v rozsahu dle technických podmínek: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0" w:val="left"/>
        </w:tabs>
        <w:bidi w:val="0"/>
        <w:spacing w:before="0" w:after="100" w:line="266" w:lineRule="auto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diagnostického průzkumu vozovky silnice včetně návrhu variant rekonstrukce vozovky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0" w:val="left"/>
        </w:tabs>
        <w:bidi w:val="0"/>
        <w:spacing w:before="0" w:after="100" w:line="266" w:lineRule="auto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předmětného území (výškopisné a polohopisné zaměření) v potřebném rozsahu rekonstrukce průtahu silnice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0" w:val="left"/>
        </w:tabs>
        <w:bidi w:val="0"/>
        <w:spacing w:before="0" w:after="100" w:line="266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(DÚR)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0" w:val="left"/>
        </w:tabs>
        <w:bidi w:val="0"/>
        <w:spacing w:before="0" w:after="100" w:line="266" w:lineRule="auto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pravomocných územních rozhodnutí (ÚR), včetně všech požadovaných příloh, dokladů a vyjádření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0" w:val="left"/>
        </w:tabs>
        <w:bidi w:val="0"/>
        <w:spacing w:before="0" w:after="100" w:line="266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0" w:val="left"/>
        </w:tabs>
        <w:bidi w:val="0"/>
        <w:spacing w:before="0" w:after="100" w:line="276" w:lineRule="auto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potřebných pravomocných stavebních povolení (SP), včetně všech požadovaných příloh, dokladů a vyjádření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3" w:val="left"/>
        </w:tabs>
        <w:bidi w:val="0"/>
        <w:spacing w:before="0" w:line="252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provádění stavby (PDPS) včetně oceněných a neoceněných soupisů prací zvlášť pro oba zadavatele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3" w:val="left"/>
        </w:tabs>
        <w:bidi w:val="0"/>
        <w:spacing w:before="0" w:line="252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3" w:val="left"/>
        </w:tabs>
        <w:bidi w:val="0"/>
        <w:spacing w:before="0" w:after="50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při realizaci stavby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plnění předmětu smlouvy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0" w:val="left"/>
        </w:tabs>
        <w:bidi w:val="0"/>
        <w:spacing w:before="0" w:line="262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na financování veřejné zakázky na vypracování projektové dokumentace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„III/01832 křiž. 11/150 - Ostrov“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budou podílet v rozsahu prací vymezených kalkulací projekčních prací pro jednotlivé investory, kterými budou zadavatel č. 1 a zadavatel č. 2 dle samostatné smlouvy o dílo uzavřené s uchazečem vybraným na základě výběrového řízení na tuto veřejnou zakázku.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0" w:val="left"/>
        </w:tabs>
        <w:bidi w:val="0"/>
        <w:spacing w:before="0" w:line="257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Veřejná zakázka na vypracování projektové dokumentace bude zadávána jako veřejná zakázka malého rozsahu mimo režim zákona č. 134/2016 Sb., o zadávání veřejných zakázek, v platném znění (dále zákon nebo ZZVZ).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0" w:val="left"/>
        </w:tabs>
        <w:bidi w:val="0"/>
        <w:spacing w:before="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veřejné zakázky bude vypracování společné projektové dokumentace na stavební práce spočívající v rekonstrukci silnice v průtahu obcí včetně odvodnění silnice, úpravu napojení křižovatky II/150 a zřízení nových chodníků a veřejného osvětlení v rozsahu dle technických podmínek a rozdělení na jednotlivé stavební objekty v rámci projektové dokumentace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„III/01832 křiž. 11/150 - Ostrov“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to v členění: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ě.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projektových prací na: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3" w:val="left"/>
        </w:tabs>
        <w:bidi w:val="0"/>
        <w:spacing w:before="0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diagnostického průzkumu vozovky silnice včetně návrhu variant rekonstrukce vozovky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3" w:val="left"/>
        </w:tabs>
        <w:bidi w:val="0"/>
        <w:spacing w:before="0" w:line="26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předmětného území (výškopisné a polohopisné zaměření) v potřebném rozsahu rekonstrukce průtahu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3" w:val="left"/>
        </w:tabs>
        <w:bidi w:val="0"/>
        <w:spacing w:before="0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(DÚR) v rozsahu dle technických podmínek v zadávací dokumentaci včetně zajištění pravomocných územních rozhodnutí - dle kalkulace projekčních prací pro stavební práce KSÚSV (poměrná část KSÚSV), týkající se rekonstrukce silnice v průtahu včetně odvodnění silnice a úpravu napojení křižovatky 11/150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3" w:val="left"/>
        </w:tabs>
        <w:bidi w:val="0"/>
        <w:spacing w:before="0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 a vypracování projektové dokumentace pro provádění stavby (PDPS) v rozsahu dle technických podmínek v zadávací dokumentaci včetně zajištění pravomocných stavebních povolení (SP) - dle kalkulace projekčních prací pro stavební práce KSUSV (poměrná část KSUSV), týkající se rekonstrukce silnice v průtahu včetně odvodnění silnice a úpravu napojení křižovatky 11/150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3" w:val="left"/>
        </w:tabs>
        <w:bidi w:val="0"/>
        <w:spacing w:before="0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oceněných a neoceněných soupisů prací týkající se rekonstrukce silnice v průtahu včetně odvodnění silnice a úpravu napojení křižovatky 11/150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3" w:val="left"/>
        </w:tabs>
        <w:bidi w:val="0"/>
        <w:spacing w:before="0" w:line="269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UR a SP k příslušnému stavebnímu úřadu včetně všech požadovaných příloh, týkající se rekonstrukce silnice v průtahu včetně odvodnění silnice a úpravu napojení křižovatky 11/150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3" w:val="left"/>
        </w:tabs>
        <w:bidi w:val="0"/>
        <w:spacing w:before="0" w:line="262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v předpokládaném rozsahu dle technických podmínek v zadávací dokumentaci - dle kalkulace projekčních prací pro stavební práce KSÚSV (poměrná část KSÚSV), týkající se rekonstrukce silníce v průtahu včetně odvodnění silnice a úpravu napojení křižovatky 11/150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projektových prací na: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38" w:val="left"/>
        </w:tabs>
        <w:bidi w:val="0"/>
        <w:spacing w:before="0" w:after="100" w:line="269" w:lineRule="auto"/>
        <w:ind w:left="10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(DUR) v rozsahu dle technických podmínek v zadávací dokumentaci včetně zajištění pravomocných územních rozhodnutí - dle kalkulace projekčních prací pro stavební práce Obce Ostrov (poměrná část Obce Ostrov), týkající se zřízení nových chodníků a veřejného osvětlení ve staničení km 0,000 - 0,250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38" w:val="left"/>
        </w:tabs>
        <w:bidi w:val="0"/>
        <w:spacing w:before="0" w:after="100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 a vypracování projektové dokumentace pro provádění stavby (PDPS) v rozsahu dle technických podmínek v zadávací dokumentaci včetně zajištění pravomocných stavebních povolení (SP) - dle kalkulace projekčních prací pro stavební práce Obce Ostrov (poměrná Část Obce Ostrov), týkající se zřízení nových chodníků a veřejného osvětlení ve staničení km 0,000 - 0,250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38" w:val="left"/>
        </w:tabs>
        <w:bidi w:val="0"/>
        <w:spacing w:before="0" w:after="100" w:line="27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oceněných a neoceněných soupisů prací týkající se zřízení nových chodníků a veřejného osvětlení ve staničení km 0,000 - 0,250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38" w:val="left"/>
        </w:tabs>
        <w:bidi w:val="0"/>
        <w:spacing w:before="0" w:after="100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příloh, týkající se zřízení nových chodníků a veřejného osvětlení ve staničení km 0,000 - 0,250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38" w:val="left"/>
        </w:tabs>
        <w:bidi w:val="0"/>
        <w:spacing w:before="0" w:after="100" w:line="269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v předpokládaném rozsahu dle technických podmínek v zadávací dokumentaci - dle kalkulace projekčních prací pro stavební práce Obce Ostrov (poměrná část Obce Ostrov), týkající se zřízení nových chodníků a veřejného osvětlení ve staničení km 0,000 - 0,250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1" w:val="left"/>
        </w:tabs>
        <w:bidi w:val="0"/>
        <w:spacing w:before="0" w:after="100" w:line="262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ve výzvě k podání nabídky a v základních údajích Zadávací dokumentace bude stanovena povinnost podat nabídku na celý předmět veřejné zakázky, který bude mimo jiné obsahovat dva samostatné návrhy smluv o dílo - se zadavatelem č. 1 a zadavatelem č. 2, včetně plných mocí.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1" w:val="left"/>
        </w:tabs>
        <w:bidi w:val="0"/>
        <w:spacing w:before="0" w:after="100" w:line="266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zadávací řízení bude realizováno prostřednictvím veřejné zakázky rozdělené na části v jednom zadávacím řízení. Zadávací řízení nebude rozděleno na části analogicky ve smyslu § 35 a § 101 ZZVZ. Tam, kde je dále ve smlouvě uvedeno dělení plnění veřejné zakázky na částí, se rozumí pouze dělem na dílčí plnění podle zadavatelů.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1" w:val="left"/>
        </w:tabs>
        <w:bidi w:val="0"/>
        <w:spacing w:before="0" w:after="100" w:line="257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zadavatelskou činnost v tomto zadávacím řízení bude vykonávat zadavatel č. 1.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1" w:val="left"/>
        </w:tabs>
        <w:bidi w:val="0"/>
        <w:spacing w:before="0" w:after="10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místem pro podání nabídek a stejně tak místem konání jednání hodnotící komise bude sídlo zadavatele č. 1. Zadavatel č. 1 bude při své zadavatelské činnosti postupovat podle § 6 zákona a podle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1" w:val="left"/>
        </w:tabs>
        <w:bidi w:val="0"/>
        <w:spacing w:before="0" w:after="100" w:line="262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zadavatel č. 2 vypracuje všechny součásti zadávací dokumentace vztahující se k vlastní části veřejné zakázky a v dostatečném předstihu před zahájením zadávacího řízení předají tyto podklady zadavateli č. 1.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1" w:val="left"/>
        </w:tabs>
        <w:bidi w:val="0"/>
        <w:spacing w:before="0" w:after="100" w:line="259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Posouzení kvalifikace dodavatelů, posouzení a hodnocení nabídek provede hodnotící komise složená ze zástupců zadavatele č. 1 a 2.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2" w:val="left"/>
        </w:tabs>
        <w:bidi w:val="0"/>
        <w:spacing w:before="0" w:after="100" w:line="266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některý z dodavatelů nesplní požadovanou kvalifikaci nebo požadavky zadávací dokumentace, bude ze zadávacího řízení vyloučen. Tím není dotčeno právo zadavatele nebo hodnotící komise požadovat po uchazečích objasnění předložených informací a dokladů nebo předložení dalších dodatečných dokladů či informací, dovolují-li to podmínky zadávací dokumentace. Zadavatel č. 1 u vyřazené nabídky vyhotoví rozhodnutí o vyloučení, které zašle uchazečům, jejichž nabídka byla vyřazena na základě závěrů posouzení kvalifikace a z hlediska splnění požadavků zadavatele z důvodů stanovených zákonem.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2" w:val="left"/>
        </w:tabs>
        <w:bidi w:val="0"/>
        <w:spacing w:before="0" w:after="100" w:line="269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rozhodnutí o výběru nejvhodnější nabídky vydá zadavatel č. 1 a doručí uchazečům oznámení o výběru nej vhodnější nabídky. Zadavatel Č. 1 zajistí rovněž zveřejnění výsledků zadávacího řízení na svém profilu.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9" w:val="left"/>
        </w:tabs>
        <w:bidi w:val="0"/>
        <w:spacing w:before="0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vybranou projekční kanceláří smlouvu o dílo na projektové práce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„III/01832 křiž. 11/150 - Ostrov“,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budou tyto činnosti týkající se rekonstrukce silnice v průtahu včetně odvodnění silnice a úprava napojení křižovatky 11/150: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 w:after="160" w:line="233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diagnostického průzkumu vozovky silnice včetně návrhu variant rekonstrukce vozovky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 w:after="16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předmětného území (výškopisné a polohopisné zaměření) v potřebném rozsahu rekonstrukce průtahu silnice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 w:line="257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(DÚR) včetně zajištění pravomocných územních rozhodnutí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 w:after="160" w:line="252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pravomocných stavebních povolení (SP), včetně všech požadovaných příloh, dokladů a vyjádření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provádění stavby (PDPS)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oceněných a neoceněných soupisů prací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 w:line="262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UR a SP k příslušnému stavebnímu úřadu včetně všech požadovaných příloh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při realizaci stavby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9" w:val="left"/>
        </w:tabs>
        <w:bidi w:val="0"/>
        <w:spacing w:before="0" w:line="262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vybranou projekční kanceláří smlouvu o dílo na projektové práce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„III/01832 křiž. 11/150 - Ostrov“,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budou tyto činnosti týkající se zřízení nových chodníků a veřejného osvětlení ve staničení km 0,000 - 0,250: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27" w:val="left"/>
        </w:tabs>
        <w:bidi w:val="0"/>
        <w:spacing w:before="0" w:line="259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(DÚR) včetně zajištění pravomocných územních rozhodnutí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27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27" w:val="left"/>
        </w:tabs>
        <w:bidi w:val="0"/>
        <w:spacing w:before="0" w:line="26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pravomocných stavebních povolení (SP), včetně všech požadovaných příloh, dokladů a vyjádření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27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provádění stavby (PDPS)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27" w:val="left"/>
        </w:tabs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oceněných a neoceněných soupisů prací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27" w:val="left"/>
        </w:tabs>
        <w:bidi w:val="0"/>
        <w:spacing w:before="0" w:line="26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27" w:val="left"/>
        </w:tabs>
        <w:bidi w:val="0"/>
        <w:spacing w:before="0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při realizaci stavby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9" w:val="left"/>
        </w:tabs>
        <w:bidi w:val="0"/>
        <w:spacing w:before="0" w:line="266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Zadavatelem, který je pověřen vystupovat za sdružené zadavatele navenek vůči třetím osobám a informačnímu systému, je zadavatel č. 1.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9" w:val="left"/>
        </w:tabs>
        <w:bidi w:val="0"/>
        <w:spacing w:before="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nastanou důvody ke zrušení zadávacího řízení, třebaže by se dotýkaly pouze jedné nebo více částí předmětu veřejné zakázky, vydá na základě rozhodnutí obou zadavatelů oznámení o zrušení zadávacího řízení zadavatel č. 1.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99" w:val="left"/>
        </w:tabs>
        <w:bidi w:val="0"/>
        <w:spacing w:before="0" w:line="271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2 je v rámci akce na vypracování projektové dokumentace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„III/01832 křiž. 11/150 - Ostrov“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povinen: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27" w:val="left"/>
        </w:tabs>
        <w:bidi w:val="0"/>
        <w:spacing w:before="0"/>
        <w:ind w:left="1020" w:right="0" w:hanging="4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70" w:left="1325" w:right="1345" w:bottom="979" w:header="14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zadat zpracování společné projektové dokumentace na rekonstrukci silnice v průtahu obcí včetně odvodnění silnice, úpravu napojení křižovatky 11/150 (podíl KSÚSV) a zřízení nových chodníků a veřejného osvětlení ve staničení km 0,000 - 0,250 (podíl Obce Ostrov)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8" w:val="left"/>
        </w:tabs>
        <w:bidi w:val="0"/>
        <w:spacing w:before="0" w:after="100" w:line="27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uhradit cenu za projektovou dokumentaci týkající se zřízení nových chodníků a veřejného osvětlení ve stanicení km 0,000 - 0,250, v rozsahu prací vymezených kalkulací projekčních prací za Obec Ostrov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8" w:val="left"/>
        </w:tabs>
        <w:bidi w:val="0"/>
        <w:spacing w:before="0" w:after="100" w:line="27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zajistit majetkoprávní vypořádání vlastníků pozemků dotčených stavebními objekty Obce Ostrov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8" w:val="left"/>
        </w:tabs>
        <w:bidi w:val="0"/>
        <w:spacing w:before="0" w:after="100" w:line="26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odsouhlasit projektovou dokumentaci týkající se zřízení nových chodníků a veřejného osvětlení ve stanicení km 0,000 - 0,250, před jejím odevzdáním a uhrazením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8" w:val="left"/>
        </w:tabs>
        <w:bidi w:val="0"/>
        <w:spacing w:before="0" w:after="100" w:line="271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účastnit se výrobních výborů, TDK a jednám v rámci zpracování projektové dokumentace spolu se zadavatelem č. 1 (KSÚSV)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8" w:val="left"/>
        </w:tabs>
        <w:bidi w:val="0"/>
        <w:spacing w:before="0" w:after="100" w:line="26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uhradit případné správní poplatky za stavební objekty Obce Ostrov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8" w:val="left"/>
        </w:tabs>
        <w:bidi w:val="0"/>
        <w:spacing w:before="0" w:after="100" w:line="26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spolupracovat při sestavení základních podmínek zadávací dokumentace (zejména: technické podmínky k projektu, obchodní podmínky, kvalifikace a způsob hodnocení) s odpovědnými pracovníky zadavatele č. 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Odpovědnými pracovníky zadavatele č, 1 pro tyto účely jsou: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02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020" w:right="0" w:firstLine="1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referent oddělení investiční výstavby, Krajská správa a údržba silnic Vysočiny, příspěvková organizace, ředitelství Jihlava, Kosovská 1122/16; tel.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81" w:val="left"/>
        </w:tabs>
        <w:bidi w:val="0"/>
        <w:spacing w:before="0" w:after="100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nebo</w:t>
        <w:tab/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02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zadání veřejné zakázky: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020" w:right="0" w:firstLine="1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 zakázek investiční výstavby, Krajská správa a údržba silnic Vysočiny, příspěvková organizace, ředitelství Jihlava, Kosovská 1122/16; tel.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81" w:val="left"/>
        </w:tabs>
        <w:bidi w:val="0"/>
        <w:spacing w:before="0" w:after="100" w:line="266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nebe</w:t>
        <w:tab/>
        <w:t>e-mail: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8" w:val="left"/>
        </w:tabs>
        <w:bidi w:val="0"/>
        <w:spacing w:before="0" w:after="100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nominovat své zástupce (Členy a jejich náhradníky) do hodnotící komise nejpozději k termínu zahájení zadávacího řízení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38" w:val="left"/>
        </w:tabs>
        <w:bidi w:val="0"/>
        <w:spacing w:before="0" w:after="100" w:line="26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informovat zadavatele č. 1 o všech podstatných skutečnostech, majících vliv na průběh zadávacího řízení a jeho zákonnost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32" w:val="left"/>
        </w:tabs>
        <w:bidi w:val="0"/>
        <w:spacing w:before="0" w:after="10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 provádění úkonů související s posouzením a hodnocením nabídek bude jmenována komise, jejíž úkony v zadávacím řízení se považují za úkony zadavatele. Práva a povinnosti členů komise budou součástí jmenování této komise. Zadavatelé se dohodli na následujícím složení hodnotící komise: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81" w:val="left"/>
        </w:tabs>
        <w:bidi w:val="0"/>
        <w:spacing w:before="0" w:after="0" w:line="266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Č.l</w:t>
        <w:tab/>
        <w:t>3 členové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81" w:val="left"/>
        </w:tabs>
        <w:bidi w:val="0"/>
        <w:spacing w:before="0" w:after="100" w:line="266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č.2</w:t>
        <w:tab/>
        <w:t>2 členové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32" w:val="left"/>
        </w:tabs>
        <w:bidi w:val="0"/>
        <w:spacing w:before="0" w:after="10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povinni: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38" w:val="left"/>
        </w:tabs>
        <w:bidi w:val="0"/>
        <w:spacing w:before="0" w:after="100" w:line="26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harmonogram zadání veřejné zakázky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38" w:val="left"/>
        </w:tabs>
        <w:bidi w:val="0"/>
        <w:spacing w:before="0" w:after="100" w:line="266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zadávací podmínky veřejné soutěže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38" w:val="left"/>
        </w:tabs>
        <w:bidi w:val="0"/>
        <w:spacing w:before="0" w:after="380" w:line="259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 sí navzájem veškerou nezbytnou a požadovanou součinnost, zejména pokud jde o výměnu relevantních dokumentů, podávání vysvětlení a písemných stanovisek a vlastní uzavření smlouvy o dílo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Zásady jednání zadavatelů a osob za nejednajících, odpovědnost zadavatelů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9" w:val="left"/>
        </w:tabs>
        <w:bidi w:val="0"/>
        <w:spacing w:before="0" w:after="100" w:line="271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čestně prohlašují, že zachovají mlčenlivost o všech skutečnostech, o kterých se dozvěděli v souvislosti s touto veřejnou zakázkou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9" w:val="left"/>
        </w:tabs>
        <w:bidi w:val="0"/>
        <w:spacing w:before="0" w:after="10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 zajistit nepodjatost a závazek mlčenlivosti a vyloučení střetu zájmů u všech osob, které pověří činnostmi souvisejícími s realizací této veřejné zakázky.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9" w:val="left"/>
        </w:tabs>
        <w:bidi w:val="0"/>
        <w:spacing w:before="0" w:after="340" w:line="259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úkony, které činí vlastním jménem a výlučně na svůj účet.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8183" w:val="left"/>
        </w:tabs>
        <w:bidi w:val="0"/>
        <w:spacing w:before="0" w:after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společném zadání veřejných zadavatelů</w:t>
        <w:tab/>
        <w:t xml:space="preserve">Stránka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7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akce: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Vypracování PD „111/01832 křiž. 11/150 - Ostrov“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59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části zadávací dokumentace, která má být zadávána pouze ve prospěch jednoho ze zúčastněných zadavatelů.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59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 společné části zadávací dokumentace a společné zákonné postupy v průběhu zadávacího řízení odpovídají zúčastnění zadavatelé společně. V případě prodlení v úkonech zadavatele případně porušení zákona a smluvních povinností nese veškeré důsledky tohoto prodlení nebo porušení ten ze zadavatelů, který svým jednáním toto prodlení nebo porušení způsobil.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62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Sankce, jakož i jiné náhrady škody způsobené porušením § 6 zákona nebo této smlouvy, případně napadením postupu zadavatele námitkou či podáním návrhu ze strany některého z účastníků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59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Každý zadavatel nese náklady svého zastoupení v souvislosti se svou odpovědností za zákonný průběh zadávacího řízení v řízení před orgánem dohledu nebo soudem.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after="480" w:line="262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závazku ze smlouvy budou realizovány samostatně dotčeným zadavatelem, za podmínek stanovených analogicky v ust. § 222 ZZVZ, mimo působnost této smlouvy. Mezi zadavateli se sjednává, že pro stanovení původní hodnoty závazku ze smlouvy ve smyslu ust. § 222 ZZVZ budou pro každou z Částí použity hodnoty náležící dotčené Části na základě výsledků zadávacího řízení.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trvání smlouvy</w:t>
      </w:r>
    </w:p>
    <w:p>
      <w:pPr>
        <w:pStyle w:val="Style6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568" w:val="left"/>
        </w:tabs>
        <w:bidi w:val="0"/>
        <w:spacing w:before="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se uzavírá na dobu určitou, a to od nabytí účinnosti této smlouvy až do doby splnění účelu této smlouvy a vypořádání všech závazků z této smlouvy plynoucích. V případě, že nebude zadávací řízení zahájeno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31.12.2020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pozbývá tato smlouva platnosti k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1.1.2021.</w:t>
      </w:r>
    </w:p>
    <w:p>
      <w:pPr>
        <w:pStyle w:val="Style6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568" w:val="left"/>
        </w:tabs>
        <w:bidi w:val="0"/>
        <w:spacing w:before="0" w:after="36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dílčí termíny procesu zadání této veřejné zakázky dohodnou zadavatelé v harmonogramu zadání veřej né zakázky a v j ednotli 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dodatečné informace) je oprávněný pracovník zadavatele č. 1 oprávněn určit termíny v řádech hodin.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a placení</w:t>
      </w:r>
    </w:p>
    <w:p>
      <w:pPr>
        <w:pStyle w:val="Style6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568" w:val="left"/>
        </w:tabs>
        <w:bidi w:val="0"/>
        <w:spacing w:before="0" w:after="48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případné náklady spojené s účastí členů hodnotící komise na jednání ponese každý ze zadavatelů v rozsahu nákladů požadovaných jednotlivými členy, které do hodnotící komise jmenoval. Náklady spojené s účastí člena, který má příslušnou odbornost ve vztahu k předmětu plnění veřejné zakázky a není zástupcem žádného ze zadavatelů ve smyslu zákona, hradí zadavatelé rovným dílem.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68" w:val="left"/>
        </w:tabs>
        <w:bidi w:val="0"/>
        <w:spacing w:before="0" w:line="276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smluvními stranami se sjednává, že pro společné zadání veřejné zakázky na stavební práce platí v plném rozsahu všechna ustanovení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8" w:val="left"/>
        </w:tabs>
        <w:bidi w:val="0"/>
        <w:spacing w:before="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Obdrží-li zadavatel č. 2 jakýkoliv doklad nebo dokument vztahující se k zadání této veřejné zakázky, je povinen bezodkladně poskytnout dokument v originále zadavateli č. 1.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místa sdružených zadavatelů a jejich odpovědní pracovníci jsou: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082" w:val="left"/>
        </w:tabs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1213485</wp:posOffset>
                </wp:positionH>
                <wp:positionV relativeFrom="margin">
                  <wp:posOffset>485140</wp:posOffset>
                </wp:positionV>
                <wp:extent cx="864235" cy="173990"/>
                <wp:wrapSquare wrapText="righ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42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Zadavatel č. 1: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95.549999999999997pt;margin-top:38.200000000000003pt;width:68.049999999999997pt;height:13.699999999999999pt;z-index:-12582936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Zadavatel č. 1: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, referent oddělení zakázek investiční výstavby; Krajská správa a údržba silnic Vysočiny, příspěvková organizace, ředitelství Jihlava, Kosovská 1122/16; tel.</w:t>
        <w:tab/>
        <w:t>nebo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700" w:val="left"/>
        </w:tabs>
        <w:bidi w:val="0"/>
        <w:spacing w:before="0" w:after="260" w:line="240" w:lineRule="auto"/>
        <w:ind w:left="1720" w:right="0" w:firstLine="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; e-mail: &lt;</w:t>
        <w:tab/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fksusv.cz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4313" w:val="left"/>
        </w:tabs>
        <w:bidi w:val="0"/>
        <w:spacing w:before="0" w:after="100" w:line="240" w:lineRule="auto"/>
        <w:ind w:left="2020" w:right="0" w:firstLine="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starosta; tel.</w:t>
        <w:tab/>
        <w:t>; e-mail: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7" w:val="left"/>
        </w:tabs>
        <w:bidi w:val="0"/>
        <w:spacing w:before="0" w:after="100" w:line="276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Archivaci zadávací dokumentace dle požadavků zákona a jiných právních předpisů zajišťuje zadavatel č. 1.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7" w:val="left"/>
        </w:tabs>
        <w:bidi w:val="0"/>
        <w:spacing w:before="0" w:after="10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společně odpovídají za průběh zadávacího řízení ve smyslu § 6 zákona až do přidělení zakázky, případně do vypořádání námitek uchazečů proti rozhodnutí o přidělení zakázky. Vzniklé náklady s výjimkou nákladů dle ČI. 6., sankce, náhrady škody způsobené porušením zákona nebo této smlouvy nebo napadením postupu zadavatele některého z uchazečů hradí zadavatelé v poměru daném dílčími předpokládanými hodnotami veřejné zakázky. Každý sdružený zadavatel nese náklady svého zastoupení v souvislosti se svou odpovědností za zákonný průběh zadávacího řízení v řízení před orgánem dohledu nebo soudem.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7" w:val="left"/>
        </w:tabs>
        <w:bidi w:val="0"/>
        <w:spacing w:before="0" w:after="100" w:line="257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smlouvy se dohodli, že ostatní skutečnosti neupravené touto smlouvou se řídí občanským zákoníkem.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7" w:val="left"/>
        </w:tabs>
        <w:bidi w:val="0"/>
        <w:spacing w:before="0" w:after="100" w:line="259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měnit a doplňovat pouze písemnými vzestupně číslovanými dodatky se souhlasem obou zadavatelů.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7" w:val="left"/>
        </w:tabs>
        <w:bidi w:val="0"/>
        <w:spacing w:before="0" w:after="100" w:line="271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Tato smlouva je vyhotovena ve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čtyřech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stejnopisech s platností originálu, z nichž po jejím podpisu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každý ze zadavatelů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obdrží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dva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stejnopisy.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7" w:val="left"/>
        </w:tabs>
        <w:bidi w:val="0"/>
        <w:spacing w:before="0" w:after="100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platností dnem jejího oboustranného podpisu zástupci smluvních stran a účinnosti dnem uveřejnění v informačním systému veřejné správy - Registru smluv. Tuto povinnost splní zadavatel č. 1.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67" w:val="left"/>
        </w:tabs>
        <w:bidi w:val="0"/>
        <w:spacing w:before="0" w:after="500" w:line="257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projednána zastupitelstvem Obce Ostrov a byla schválena dne 5. 4. 2019 usnesením č. 9.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570" w:left="1325" w:right="1345" w:bottom="979" w:header="0" w:footer="3" w:gutter="0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228600" distB="4445" distL="114300" distR="3147695" simplePos="0" relativeHeight="125829394" behindDoc="0" locked="0" layoutInCell="1" allowOverlap="1">
                <wp:simplePos x="0" y="0"/>
                <wp:positionH relativeFrom="page">
                  <wp:posOffset>911860</wp:posOffset>
                </wp:positionH>
                <wp:positionV relativeFrom="margin">
                  <wp:posOffset>6099810</wp:posOffset>
                </wp:positionV>
                <wp:extent cx="2059940" cy="41592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9940" cy="4159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zadavatele č. 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6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Jihlavě, dne:</w:t>
                              <w:tab/>
                              <w:t>fy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1.799999999999997pt;margin-top:480.30000000000001pt;width:162.19999999999999pt;height:32.75pt;z-index:-125829359;mso-wrap-distance-left:9.pt;mso-wrap-distance-top:18.pt;mso-wrap-distance-right:247.84999999999999pt;mso-wrap-distance-bottom:0.3499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zadavatele č. 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Jihlavě, dne:</w:t>
                        <w:tab/>
                        <w:t>fy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37490" distB="0" distL="3170555" distR="114300" simplePos="0" relativeHeight="125829396" behindDoc="0" locked="0" layoutInCell="1" allowOverlap="1">
                <wp:simplePos x="0" y="0"/>
                <wp:positionH relativeFrom="page">
                  <wp:posOffset>3968115</wp:posOffset>
                </wp:positionH>
                <wp:positionV relativeFrom="margin">
                  <wp:posOffset>6108700</wp:posOffset>
                </wp:positionV>
                <wp:extent cx="2037080" cy="41148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7080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zadavatele č. 2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6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 Ostrově, dne: /(£’ 4 -</w:t>
                              <w:tab/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1*7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12.44999999999999pt;margin-top:481.pt;width:160.40000000000001pt;height:32.399999999999999pt;z-index:-125829357;mso-wrap-distance-left:249.65000000000001pt;mso-wrap-distance-top:18.69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zadavatele č. 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 Ostrově, dne: /(£’ 4 -</w:t>
                        <w:tab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1*7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 1 x plná moc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1" w:after="10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69" w:left="0" w:right="0" w:bottom="126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85"/>
        <w:gridCol w:w="2624"/>
      </w:tblGrid>
      <w:tr>
        <w:trPr>
          <w:trHeight w:val="50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 Mika, MBA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 příspěvkové organizace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 Rajdl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starosta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69" w:left="1242" w:right="1456" w:bottom="12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PLNÁ MOC</w:t>
      </w:r>
      <w:bookmarkEnd w:id="8"/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udělená dle ustanovení § 441 a následující občanského zákoníku</w:t>
      </w:r>
    </w:p>
    <w:tbl>
      <w:tblPr>
        <w:tblOverlap w:val="never"/>
        <w:jc w:val="left"/>
        <w:tblLayout w:type="fixed"/>
      </w:tblPr>
      <w:tblGrid>
        <w:gridCol w:w="1645"/>
        <w:gridCol w:w="6696"/>
      </w:tblGrid>
      <w:tr>
        <w:trPr>
          <w:trHeight w:val="2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Zmocnítel: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Obec Ostrov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584 01 Ostrov 36</w:t>
            </w:r>
          </w:p>
        </w:tc>
      </w:tr>
      <w:tr>
        <w:trPr>
          <w:trHeight w:val="10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Janem Rajdlem, starostou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00580007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není plátce DPH</w:t>
            </w:r>
          </w:p>
        </w:tc>
      </w:tr>
      <w:tr>
        <w:trPr>
          <w:trHeight w:val="50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Zmocněnec: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Janem Míkou, MBA, ředitelem organizace 00090450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Níže podepsaný zmocnítel (zadavatel Č. 2) zmocňuje touto plnou mocí zmocněnce (zadavatele č. 1) Krajskou správu a údržbu silnic Vysočiny, příspěvkovou organizaci v souvislosti se společným zadáním veřejné zakázky na vypracování společné projektové dokumentace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„III/01832 křiž. 11/150 - Ostrov“,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zastupování ve všech úkonech, které jsou nezbytné nebo vhodné k řádnému provedení zadávacího řízení na veřejnou zakázku na: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„III/01832 křiž. 11/150 - Ostrov“</w:t>
      </w:r>
      <w:bookmarkEnd w:id="10"/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 uzavřené Smlouvy o společném zadání veřejných zadavatelů ze dne 5.4.2019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Zmocnítel: Obec Ostrov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Ostrově dne: 16. 4. 2019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8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Rajdl</w:t>
        <w:br/>
        <w:t>starosta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Zmocněnec: Krajská správa a údržba silnic Vysočiny, příspěvková organizace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 w:line="25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Mika, MBA</w:t>
        <w:br/>
        <w:t>ředitel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zastoupení zmocnitele v plném rozsahu přijímá.</w:t>
      </w:r>
    </w:p>
    <w:sectPr>
      <w:footerReference w:type="default" r:id="rId8"/>
      <w:footnotePr>
        <w:pos w:val="pageBottom"/>
        <w:numFmt w:val="decimal"/>
        <w:numRestart w:val="continuous"/>
      </w:footnotePr>
      <w:pgSz w:w="11900" w:h="16840"/>
      <w:pgMar w:top="1135" w:left="1239" w:right="1456" w:bottom="1135" w:header="707" w:footer="70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6088380</wp:posOffset>
              </wp:positionH>
              <wp:positionV relativeFrom="page">
                <wp:posOffset>10135235</wp:posOffset>
              </wp:positionV>
              <wp:extent cx="594360" cy="869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436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9.39999999999998pt;margin-top:798.04999999999995pt;width:46.799999999999997pt;height:6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10155555</wp:posOffset>
              </wp:positionV>
              <wp:extent cx="2690495" cy="2374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90495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Smlouva o společném zadání veřejných zadavatelů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akce: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Vypracování PD „III/01832 křiž. 11/150 - Ostrov“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69.900000000000006pt;margin-top:799.64999999999998pt;width:211.84999999999999pt;height:18.69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Smlouva o společném zadání veřejných zadavatelů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akce: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Vypracování PD „III/01832 křiž. 11/150 - Ostrov“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6088380</wp:posOffset>
              </wp:positionH>
              <wp:positionV relativeFrom="page">
                <wp:posOffset>10135235</wp:posOffset>
              </wp:positionV>
              <wp:extent cx="594360" cy="8699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436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79.39999999999998pt;margin-top:798.04999999999995pt;width:46.799999999999997pt;height:6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10155555</wp:posOffset>
              </wp:positionV>
              <wp:extent cx="2690495" cy="23749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90495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Smlouva o společném zadání veřejných zadavatelů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akce: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Vypracování PD „III/01832 křiž. 11/150 - Ostrov“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69.900000000000006pt;margin-top:799.64999999999998pt;width:211.84999999999999pt;height:18.69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Smlouva o společném zadání veřejných zadavatelů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akce: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Vypracování PD „III/01832 křiž. 11/150 - Ostrov“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,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5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Nadpis #2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8">
    <w:name w:val="Titulek tabulky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Jiné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after="120"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1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  <w:spacing w:after="40"/>
      <w:ind w:left="193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Jiné"/>
    <w:basedOn w:val="Normal"/>
    <w:link w:val="CharStyle23"/>
    <w:pPr>
      <w:widowControl w:val="0"/>
      <w:shd w:val="clear" w:color="auto" w:fill="FFFFFF"/>
      <w:spacing w:after="120"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spacing w:after="50"/>
      <w:ind w:left="290" w:hanging="29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