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D73C2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217F0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VŠEOBECNÉ PODMÍNKY PRODEJE AUTOMOBILŮ</w:t>
      </w:r>
      <w:r w:rsidRPr="00217F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17F0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ZNA</w:t>
      </w:r>
      <w:r w:rsidRPr="00217F07">
        <w:rPr>
          <w:rFonts w:ascii="Times New Roman" w:hAnsi="Times New Roman" w:cs="Times New Roman"/>
          <w:color w:val="000000"/>
          <w:sz w:val="28"/>
          <w:szCs w:val="28"/>
          <w:u w:val="single"/>
        </w:rPr>
        <w:t>Č</w:t>
      </w:r>
      <w:r w:rsidRPr="00217F0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KY TOYOTA</w:t>
      </w:r>
    </w:p>
    <w:p w14:paraId="12BEBD6F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14:paraId="3A760AA4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I</w:t>
      </w:r>
    </w:p>
    <w:p w14:paraId="5D82FBB6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Všeobecná ustanovení</w:t>
      </w:r>
    </w:p>
    <w:p w14:paraId="04FF4F8F" w14:textId="77777777" w:rsidR="00217F07" w:rsidRPr="00217F07" w:rsidRDefault="00217F0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Tyto podmínky platí pro všechny kupní smlouvy uzavřené mezi autorizovaným prodejcem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(dále jen „prodávající“) a zákazníkem (dále jen „kupující“), při prodeji osobních a užitkových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automobilů značky TOYOTA a tvoří jejich nedílnou součást.</w:t>
      </w:r>
    </w:p>
    <w:p w14:paraId="519BDDA4" w14:textId="77777777" w:rsid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Budou-li Všeobecné podmínky v rozporu s kupní smlouvou, platí ustanovení kupní smlouvy.</w:t>
      </w:r>
    </w:p>
    <w:p w14:paraId="6392BB5C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AB003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II</w:t>
      </w:r>
    </w:p>
    <w:p w14:paraId="73AF12AB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Vznik a ú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innost smlouvy</w:t>
      </w:r>
    </w:p>
    <w:p w14:paraId="1E6C1113" w14:textId="77777777" w:rsid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Kupní smlouva nabývá platnosti a účinnosti dnem podpisu oběma smluvními stranami.</w:t>
      </w:r>
    </w:p>
    <w:p w14:paraId="32D7CF8F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269A2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III</w:t>
      </w:r>
    </w:p>
    <w:p w14:paraId="3ADB26AC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Kupní cena</w:t>
      </w:r>
    </w:p>
    <w:p w14:paraId="04675E84" w14:textId="77777777" w:rsidR="00217F07" w:rsidRDefault="00217F0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Kupní cenou se rozumí kupní cena automobilu a jeho příslušenství platná v den podpisu kupní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smlouvy dle ceníku prodávajícího pro příslušné období, není-li písemně sjednáno jinak.</w:t>
      </w:r>
    </w:p>
    <w:p w14:paraId="0CA1B31E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12C1D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IV</w:t>
      </w:r>
    </w:p>
    <w:p w14:paraId="54E62070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Platební podmínky</w:t>
      </w:r>
    </w:p>
    <w:p w14:paraId="1B77429B" w14:textId="77777777" w:rsidR="00217F07" w:rsidRDefault="00217F0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1. Není-li písemně sjednáno jinak, kupující uhradí nejpozději do 7 dnů od podpisu kupní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smlouvy zálohu ve výši dohodnuté v kupní smlouvě s ohledem na typ/model automobilu a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jeho příslušenství, a to převodem na účet prodávajícího, příp. v hotovosti.</w:t>
      </w:r>
    </w:p>
    <w:p w14:paraId="4942E696" w14:textId="77777777" w:rsidR="00E56177" w:rsidRPr="00217F07" w:rsidRDefault="00E56177" w:rsidP="00AC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7F2E5" w14:textId="15AA6833" w:rsidR="00217F07" w:rsidRDefault="00217F0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2. Kupující uhradí zbývající část kupní ceny nejpozději v den, který bude prodávajícím určen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kupujícímu oznámen jako den pro odevzdání automobilu kupujícímu, a to převodem na účet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prodávajícího; v okamžiku odevzdání automobilu kupujícímu musí být příslušná částka již na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účet připsána.</w:t>
      </w:r>
    </w:p>
    <w:p w14:paraId="5FBDF795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FF868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V</w:t>
      </w:r>
    </w:p>
    <w:p w14:paraId="6679691F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Výhrada vlastnictví</w:t>
      </w:r>
    </w:p>
    <w:p w14:paraId="5AC2C511" w14:textId="77777777" w:rsid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Automobil zůstává ve vlastnictví prodávajícího až do úplného zaplacení kupní ceny.</w:t>
      </w:r>
    </w:p>
    <w:p w14:paraId="7D0F1236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3A972E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VI</w:t>
      </w:r>
    </w:p>
    <w:p w14:paraId="50C69966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Dodací podmínky</w:t>
      </w:r>
    </w:p>
    <w:p w14:paraId="1B5E66E9" w14:textId="71C2BD86" w:rsidR="00217F07" w:rsidRDefault="00217F0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1. Povinnost odevzdat automobil kupujícímu je prodávajícím splněna dnem, kdy je automobil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připraven k převzetí v provozovně prodávajícího. Před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pokládaný termín dodání je pouze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orientační a o přesném termínu dodání bude prodávající vhodným způsobem kupujícího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informovat. V případě, že prodávající překročí předpokládaný termín dodání o více než 8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týdnů, je kupující oprávněn od kupní smlouvy odstoupit. V případě prodlení kupujícího se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splněním jakéhokoli závazku vyplývajícího z kupní smlouvy se předpokládaný termín dodání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posunuje, a to o dobu trvání takového prodlení.</w:t>
      </w:r>
    </w:p>
    <w:p w14:paraId="0F9EC680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F2DBA" w14:textId="7655DE67" w:rsidR="00217F07" w:rsidRDefault="00217F0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2. Kupující je povinen automobil převzít nejpozději do 10 dnů ode dne, který prodávající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kupujícímu oznámí jako den pro odevzdání automobilu kupujícímu.</w:t>
      </w:r>
    </w:p>
    <w:p w14:paraId="753A1794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5610D9" w14:textId="1EB15629" w:rsidR="00217F07" w:rsidRDefault="00217F0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3. Automobil bude odevzdán na základě předávacího protokolu, podepsaného oběma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smluvními stranami.</w:t>
      </w:r>
    </w:p>
    <w:p w14:paraId="7AD11D82" w14:textId="417A28C9" w:rsidR="00217F07" w:rsidRDefault="00217F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660BC6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VII</w:t>
      </w:r>
    </w:p>
    <w:p w14:paraId="3CDE7509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z vadného pln</w:t>
      </w:r>
      <w:r w:rsidRPr="00217F07">
        <w:rPr>
          <w:rFonts w:ascii="Times New Roman" w:hAnsi="Times New Roman" w:cs="Times New Roman"/>
          <w:b/>
          <w:color w:val="000000"/>
          <w:sz w:val="24"/>
          <w:szCs w:val="24"/>
        </w:rPr>
        <w:t>ě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 a záruka za jakost</w:t>
      </w:r>
    </w:p>
    <w:p w14:paraId="5404F0DE" w14:textId="36799D10" w:rsid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1. Kupující je povinen při převzetí prohlédnout automobil a případné zjevné vady či chybějící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vybavení nebo příslušenství zaznamenat do předávacího protokolu. Později uplatněné právo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nebude uznáno.</w:t>
      </w:r>
    </w:p>
    <w:p w14:paraId="5C994B0A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6792B" w14:textId="518F1244" w:rsidR="00217F07" w:rsidRDefault="00217F0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2. Záruka za jakost a její podmínky jsou stanoveny v těchto Všeobecných podmínkách a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servisní a záruční knížce k automobilu (dále jen servisní knížka). Podmínky stanovené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s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ervisní knížce jsou pro kupujícího závazné a jsou součástí kupní smlouvy. Kupující má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r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ámci záruky za jakost právo pouze na odstranění vady opravou a nemůže zejména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odstoupit od kupní smlouvy, požadovat výměnu automobilu, slevu z kupní ceny, nebo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náklady spojené s 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platněním práva ze záruky nebo vzniklé v souvislosti s vadou automobilu.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D33AD7" w14:textId="77777777" w:rsidR="00217F07" w:rsidRPr="00217F07" w:rsidRDefault="00217F0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2A1363EB" w14:textId="6234F11F" w:rsidR="00217F07" w:rsidRPr="00217F07" w:rsidRDefault="00E56177" w:rsidP="0015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. Tento odstavec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. se použije pouze v případě, je-li kupujícím spotřebitel. Aniž by byla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dotčena jiná ustanovení zákona týkající se zákonných práv z vadného plnění, dalších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zákonných práv kupujícího, která se ke koupi automobilu vážou, a poskytnutá záruka za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jakost automobilu, prodávající v rámci své zákonné odpovědnosti za vady odpovídá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kupujícímu, že automobil při</w:t>
      </w:r>
      <w:r w:rsidR="008537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převzetí nemá vady.</w:t>
      </w:r>
    </w:p>
    <w:p w14:paraId="3696D12A" w14:textId="5529AA3A" w:rsidR="00217F07" w:rsidRDefault="00217F0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Kupující je oprávněn uplatnit právo z vady, která se vyskytne u automobilu, v době dvaceti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čtyř měsíců od převzetí. Nemá-li automobil vlastnosti stanovené v § 2161 občanského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zákoníku, může kupující požadovat i dodání nového automobilu bez vad, </w:t>
      </w:r>
      <w:r w:rsidRPr="00853724">
        <w:rPr>
          <w:rFonts w:ascii="Times New Roman" w:hAnsi="Times New Roman" w:cs="Times New Roman"/>
          <w:color w:val="000000"/>
          <w:sz w:val="24"/>
          <w:szCs w:val="24"/>
        </w:rPr>
        <w:t>pokud to není</w:t>
      </w:r>
      <w:r w:rsidR="00AC398D" w:rsidRPr="0085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724">
        <w:rPr>
          <w:rFonts w:ascii="Times New Roman" w:hAnsi="Times New Roman" w:cs="Times New Roman"/>
          <w:color w:val="000000"/>
          <w:sz w:val="24"/>
          <w:szCs w:val="24"/>
        </w:rPr>
        <w:t>vzhledem k povaze vady nepřiměřené,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 ale pokud se vada týká pouze součásti automobilu,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může kupující požadovat jen výměnu součásti; není-li to možné, může odstoupit od smlouvy.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Je-li to však vzhledem k povaze vady neúměrné, zejména lze-li vadu odstranit bez zbytečného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odkladu, má kupující právo na bezplatné odstranění vady. Právo na dodání nového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automobilu, nebo výměnu součásti má kupující i v případě odstranitelné vady, pokud nemůže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automobil řádně užívat pro opakovaný výskyt vady po opravě nebo pro větší počet vad. V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takovém případě má kupující i právo od smlouvy odstoupit. Neodstoupí-li kupující od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smlouvy nebo neuplatní-li právo na dodání nového automobilu bez vad, na výměnu jeho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součásti nebo na opravu automobilu, může požadovat přiměřenou slevu. Právo z vadného plnění kupujícímu nenáleží, pokud kupující před převzetím automobilu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věděl, že automobil má vadu, anebo pokud kupující vadu sám způsobil. Má-li automobil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vadu, z níž je prodávající zavázán, a jedná-li se o automobil prodávaný za nižší cenu nebo 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použitý </w:t>
      </w:r>
      <w:r w:rsidRPr="00853724">
        <w:rPr>
          <w:rFonts w:ascii="Times New Roman" w:hAnsi="Times New Roman" w:cs="Times New Roman"/>
          <w:color w:val="000000"/>
          <w:sz w:val="24"/>
          <w:szCs w:val="24"/>
        </w:rPr>
        <w:t>automobil, má kupující místo práva na výměnu automobilu právo na přiměřenou</w:t>
      </w:r>
      <w:r w:rsidR="00AC398D" w:rsidRPr="0085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724">
        <w:rPr>
          <w:rFonts w:ascii="Times New Roman" w:hAnsi="Times New Roman" w:cs="Times New Roman"/>
          <w:color w:val="000000"/>
          <w:sz w:val="24"/>
          <w:szCs w:val="24"/>
        </w:rPr>
        <w:t>slevu. Práva z vady se up</w:t>
      </w:r>
      <w:r w:rsidR="00853724" w:rsidRPr="00853724">
        <w:rPr>
          <w:rFonts w:ascii="Times New Roman" w:hAnsi="Times New Roman" w:cs="Times New Roman"/>
          <w:color w:val="000000"/>
          <w:sz w:val="24"/>
          <w:szCs w:val="24"/>
        </w:rPr>
        <w:t>latňují u prodávajícího, nebo v </w:t>
      </w:r>
      <w:r w:rsidRPr="00853724">
        <w:rPr>
          <w:rFonts w:ascii="Times New Roman" w:hAnsi="Times New Roman" w:cs="Times New Roman"/>
          <w:color w:val="000000"/>
          <w:sz w:val="24"/>
          <w:szCs w:val="24"/>
        </w:rPr>
        <w:t>případě opravy, u kterékoli</w:t>
      </w:r>
      <w:r w:rsidR="00AC398D" w:rsidRPr="0085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724">
        <w:rPr>
          <w:rFonts w:ascii="Times New Roman" w:hAnsi="Times New Roman" w:cs="Times New Roman"/>
          <w:color w:val="000000"/>
          <w:sz w:val="24"/>
          <w:szCs w:val="24"/>
        </w:rPr>
        <w:t>autorizované opravny vozidel Toyota, která je prodávajícím určena k provedení opravy a</w:t>
      </w:r>
      <w:r w:rsidR="00AC398D" w:rsidRPr="008537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53724">
        <w:rPr>
          <w:rFonts w:ascii="Times New Roman" w:hAnsi="Times New Roman" w:cs="Times New Roman"/>
          <w:color w:val="000000"/>
          <w:sz w:val="24"/>
          <w:szCs w:val="24"/>
        </w:rPr>
        <w:t>která je v místě prodávajícího nebo v místě pro kupujícího bližším.</w:t>
      </w:r>
    </w:p>
    <w:p w14:paraId="24E29CD3" w14:textId="77777777" w:rsidR="00AC398D" w:rsidRDefault="00AC398D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E1FD6" w14:textId="1B478EDB" w:rsidR="00217F07" w:rsidRDefault="00E5617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. Je-li kupujícím spotřebitel, prodávající mu potvrdí písemně, kdy právo z vadného plnění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uplatnil, co je obsahem reklamace, jaký způsob vyřízení reklamace spotřebitel požaduje, dále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mu vydá potvrzení o datu a způsobu vyřízení reklamace včetně potvrzení o provedení opravy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době jejího trvání, případně písemné odůvodnění zamítnutí reklamace. Prodávající rozhodne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o reklamaci spotřebitele ihned, ve složitých případech do tří pracovních dní. </w:t>
      </w:r>
      <w:r w:rsidR="00217F07" w:rsidRPr="00031D09">
        <w:rPr>
          <w:rFonts w:ascii="Times New Roman" w:hAnsi="Times New Roman" w:cs="Times New Roman"/>
          <w:color w:val="000000"/>
          <w:sz w:val="24"/>
          <w:szCs w:val="24"/>
        </w:rPr>
        <w:t>Do této lhůty se</w:t>
      </w:r>
      <w:r w:rsidR="00AC398D" w:rsidRPr="00031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031D09">
        <w:rPr>
          <w:rFonts w:ascii="Times New Roman" w:hAnsi="Times New Roman" w:cs="Times New Roman"/>
          <w:color w:val="000000"/>
          <w:sz w:val="24"/>
          <w:szCs w:val="24"/>
        </w:rPr>
        <w:t>nezapočítává doba přiměřená potřebná k odbornému posouzení vady. Reklamace spotřebitele</w:t>
      </w:r>
      <w:r w:rsidR="00AC398D" w:rsidRPr="00031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031D09">
        <w:rPr>
          <w:rFonts w:ascii="Times New Roman" w:hAnsi="Times New Roman" w:cs="Times New Roman"/>
          <w:color w:val="000000"/>
          <w:sz w:val="24"/>
          <w:szCs w:val="24"/>
        </w:rPr>
        <w:t>bude vyřízena bez zbytečného odkladu, nejpozději do 30-ti dnů ode dne uplatnění reklamace,</w:t>
      </w:r>
      <w:r w:rsidR="00AC398D" w:rsidRPr="00031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031D09">
        <w:rPr>
          <w:rFonts w:ascii="Times New Roman" w:hAnsi="Times New Roman" w:cs="Times New Roman"/>
          <w:color w:val="000000"/>
          <w:sz w:val="24"/>
          <w:szCs w:val="24"/>
        </w:rPr>
        <w:t>pokud nebude jiné dohody stran.</w:t>
      </w:r>
    </w:p>
    <w:p w14:paraId="59E802BF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4227B" w14:textId="3A745E5E" w:rsidR="00217F07" w:rsidRDefault="00E5617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. V případě, že kupující není spotřebitelem, prodávající reklamaci vyřídí dle svých možností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a charakteru vady co nejdříve. Toto neplatí, jestliže kupujícím je spotřebitel.</w:t>
      </w:r>
    </w:p>
    <w:p w14:paraId="281BB3AF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D9ACA3" w14:textId="62B5A774" w:rsidR="00217F07" w:rsidRDefault="00E5617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. Kupující je povinen automobil důkladně zkontrolovat a prohlédnout při jeho převzetí 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neprodleně oznámit prodávajícímu při převzetí automobilu zjištěné vady nebo poškození.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Ostatní vady musí kupující oznámit prodávajícímu bezodkladně po jejich zjištění (poté, co je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kupující mohl při dostatečné péči zjistit). V případě nesplnění kterékoliv povinnosti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kupujícího dle tohoto odstavce, nebude právo z vadného plnění kupujícímu přiznáno.</w:t>
      </w:r>
    </w:p>
    <w:p w14:paraId="5BC0AAB3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B4AB94" w14:textId="66AF8230" w:rsidR="00217F07" w:rsidRDefault="00E5617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. Výrobci vozidel Toyota (dále jen výrobce) a dovozci vozidel Toyota (dle jen dovozce) je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vyhrazeno právo provádět u vozu bez předchozího upozornění změny v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technických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parametrech, konstrukci, vybavení, použitých materiálech, vnějším provedení, barevném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odstínu, nebo jiné úpravy v rozsahu povoleném příslušnými ustanoveními obecně závazných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právních předpisů, vyjma podstatných změn vlastností a výbavy, výslovně uvedených v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kupní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smlouvě. Kupní smlouva je prodávajícím splněna řádně, pokud dodaný vůz odpovídá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schválenému typu vozidla dle příslušného osvědčení o technické způsobilosti typu vozidla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platného v den odevzdání.</w:t>
      </w:r>
    </w:p>
    <w:p w14:paraId="02274627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B10FE" w14:textId="550864FE" w:rsidR="00217F07" w:rsidRDefault="00E5617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. Použití značek, číselných nebo slovních označení apod. dovozcem, výrobcem nebo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prodávajícím k označení automobilu neurčuje jakost a provedení, a z jejich použití nevznikají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kupujícímu žádná oprávnění.</w:t>
      </w:r>
    </w:p>
    <w:p w14:paraId="35A7D6E3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3E5FB" w14:textId="67ECE508" w:rsidR="00217F07" w:rsidRDefault="00E56177" w:rsidP="00AC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. Veškeré údaje o vzhledu, vybavení, výkonu, rozměrech, hmotnosti, konstrukci, použitých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materiálech a ostatní údaje, udávané nebo publikované k reklamním a propagačním účelům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dovozcem, výrobcem nebo prodávajícím, mají vždy jen přibližnou a ilustrativní povahu 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nejsou závaznými údaji o vlastnostech a jakosti automobilu, vyjma technických dat a údajů,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uvedených v základním technickém popisu (technický průkaz) automobilu. Údaje o emisích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CO2 a o spotřebě pohonných hmot odpovídají závěrům měření dle příslušných směrnic 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nařízení EU nebo předpisů EHK (tzv. Evropský jízdní cyklus) ke stanovení spotřeby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pohonných hmot a provozní spotřeba se může lišit v závislosti na různých okolnostech, jako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jsou např. klimatické podmínky, rychlostní profil, osobnost řidiče, odpor vzduchu, dynamika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F07" w:rsidRPr="00217F07">
        <w:rPr>
          <w:rFonts w:ascii="Times New Roman" w:hAnsi="Times New Roman" w:cs="Times New Roman"/>
          <w:color w:val="000000"/>
          <w:sz w:val="24"/>
          <w:szCs w:val="24"/>
        </w:rPr>
        <w:t>jízdy, naložení vozu, použité pneumatiky, zapnuté spotřebiče apod.</w:t>
      </w:r>
    </w:p>
    <w:p w14:paraId="256AC2C6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EF1B0" w14:textId="77777777" w:rsidR="00217F07" w:rsidRPr="00E56177" w:rsidRDefault="00217F07" w:rsidP="00E56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177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VIII</w:t>
      </w:r>
    </w:p>
    <w:p w14:paraId="374A928D" w14:textId="77777777" w:rsidR="00217F07" w:rsidRPr="00E56177" w:rsidRDefault="00217F07" w:rsidP="00E56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p</w:t>
      </w:r>
      <w:r w:rsidRPr="00E56177">
        <w:rPr>
          <w:rFonts w:ascii="Times New Roman" w:hAnsi="Times New Roman" w:cs="Times New Roman"/>
          <w:b/>
          <w:color w:val="000000"/>
          <w:sz w:val="24"/>
          <w:szCs w:val="24"/>
        </w:rPr>
        <w:t>ř</w:t>
      </w: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porušení smlouvy</w:t>
      </w:r>
    </w:p>
    <w:p w14:paraId="052D382A" w14:textId="2AC7C89D" w:rsidR="00217F07" w:rsidRDefault="00217F07" w:rsidP="0015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1. Je-li kupující v prodlení s převzetím automobilu a není-li jeho prodlení způsobeno</w:t>
      </w:r>
      <w:r w:rsidR="00AC3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okolnostmi na straně prodávajícího, je prodávající oprávněn účtovat skladné ve výši</w:t>
      </w:r>
      <w:r w:rsidR="00593944">
        <w:rPr>
          <w:rFonts w:ascii="Times New Roman" w:hAnsi="Times New Roman" w:cs="Times New Roman"/>
          <w:color w:val="000000"/>
          <w:sz w:val="24"/>
          <w:szCs w:val="24"/>
        </w:rPr>
        <w:t xml:space="preserve"> 0,-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Kč za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každý den prodlení, počínaje stanoveným dnem převzetí automobilu.</w:t>
      </w:r>
    </w:p>
    <w:p w14:paraId="32D047F9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C1553" w14:textId="2E350561" w:rsidR="00217F07" w:rsidRDefault="00217F07" w:rsidP="0015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2. V případě prodlení kupujícího se zaplacením ceny (nebo části) příp. se splněním jiné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povinnosti z kupní smlouvy, je prodávající oprávněn odepřít předání automobilu kupujícímu,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to po celou dobu prodlení kupujícího, aniž by se dostal do prodlení s předáním.</w:t>
      </w:r>
    </w:p>
    <w:p w14:paraId="2B0B067E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7D3BD" w14:textId="0298AAF0" w:rsidR="00217F07" w:rsidRDefault="00217F07" w:rsidP="0015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3. Je-li kupující v prodlení s plněním jakýchkoli povinností vyplývajících z kupní smlouvy po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dobu delší než 30 dnů, je prodávající oprávněn od smlouvy odstoupit. V případě, že kupující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splnění některé povinnosti výslovně odepře, nebo je-li s přihlédnutím ke konkrétním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okolnostem patrné, že kupující povinnost nemůže splnit, nebo nezaplatí včas dohodnutou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zálohu na kupní cenu automobilu, nepoužije se předchozí věta a prodávající je oprávněn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odstoupit od smlouvy okamžitě.</w:t>
      </w:r>
    </w:p>
    <w:p w14:paraId="08D2BD06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08168" w14:textId="2708C366" w:rsidR="00217F07" w:rsidRDefault="00217F07" w:rsidP="0015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4. Je-li kupující v prodlení s plněním jakýchkoli povinností vyplývajících z kupní smlouvy po</w:t>
      </w:r>
      <w:r w:rsidR="008537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dobu delší než 30 dnů, může prodávající vedle úplné náhrady škody, požadovat po kupujícím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smluvní pokutu ve výši zálohy na kupní cenu automobilu uvedené v kupní smlouvě.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Prodávající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může </w:t>
      </w:r>
      <w:r w:rsidRPr="00853724">
        <w:rPr>
          <w:rFonts w:ascii="Times New Roman" w:hAnsi="Times New Roman" w:cs="Times New Roman"/>
          <w:color w:val="000000"/>
          <w:sz w:val="24"/>
          <w:szCs w:val="24"/>
        </w:rPr>
        <w:t>smluvní pokutu započíst proti nároku kupujícího na vrácení zálohy na kupní</w:t>
      </w:r>
      <w:r w:rsidR="0015257C" w:rsidRPr="0085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724">
        <w:rPr>
          <w:rFonts w:ascii="Times New Roman" w:hAnsi="Times New Roman" w:cs="Times New Roman"/>
          <w:color w:val="000000"/>
          <w:sz w:val="24"/>
          <w:szCs w:val="24"/>
        </w:rPr>
        <w:t>cenu automobilu. Toto ustanovení zůstává v platnosti a účinnosti i po ukončení kupní</w:t>
      </w:r>
      <w:r w:rsidR="0015257C" w:rsidRPr="0085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724">
        <w:rPr>
          <w:rFonts w:ascii="Times New Roman" w:hAnsi="Times New Roman" w:cs="Times New Roman"/>
          <w:color w:val="000000"/>
          <w:sz w:val="24"/>
          <w:szCs w:val="24"/>
        </w:rPr>
        <w:t>smlouvy.</w:t>
      </w:r>
    </w:p>
    <w:p w14:paraId="5E85B002" w14:textId="77777777" w:rsidR="0015257C" w:rsidRPr="00217F07" w:rsidRDefault="0015257C" w:rsidP="0015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87C93" w14:textId="1DBC3B9B" w:rsidR="00217F07" w:rsidRDefault="00217F07" w:rsidP="0015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5. Odstoupením prodávajícího od smlouvy z důvodu prodlení kupujícího není dotčen nárok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prodávajícího na úplnou náhradu vzniklé škody.</w:t>
      </w:r>
    </w:p>
    <w:p w14:paraId="5B8FFBA0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51C5D" w14:textId="77777777" w:rsidR="00217F07" w:rsidRPr="00E56177" w:rsidRDefault="00217F07" w:rsidP="00E56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177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IX.</w:t>
      </w:r>
    </w:p>
    <w:p w14:paraId="680E038F" w14:textId="77777777" w:rsidR="00217F07" w:rsidRPr="00E56177" w:rsidRDefault="00E56177" w:rsidP="00E56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Informace pro spot</w:t>
      </w:r>
      <w:r w:rsidRPr="00E56177">
        <w:rPr>
          <w:rFonts w:ascii="Times New Roman" w:hAnsi="Times New Roman" w:cs="Times New Roman"/>
          <w:b/>
          <w:color w:val="000000"/>
          <w:sz w:val="24"/>
          <w:szCs w:val="24"/>
        </w:rPr>
        <w:t>ř</w:t>
      </w: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ebitele o mimosoudním </w:t>
      </w:r>
      <w:r w:rsidRPr="00E56177">
        <w:rPr>
          <w:rFonts w:ascii="Times New Roman" w:hAnsi="Times New Roman" w:cs="Times New Roman"/>
          <w:b/>
          <w:color w:val="000000"/>
          <w:sz w:val="24"/>
          <w:szCs w:val="24"/>
        </w:rPr>
        <w:t>ř</w:t>
      </w: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ešení</w:t>
      </w:r>
    </w:p>
    <w:p w14:paraId="7CAB74BD" w14:textId="77777777" w:rsidR="00217F07" w:rsidRPr="00E56177" w:rsidRDefault="00E56177" w:rsidP="00E56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</w:t>
      </w:r>
      <w:r w:rsidRPr="00E56177">
        <w:rPr>
          <w:rFonts w:ascii="Times New Roman" w:hAnsi="Times New Roman" w:cs="Times New Roman"/>
          <w:b/>
          <w:color w:val="000000"/>
          <w:sz w:val="24"/>
          <w:szCs w:val="24"/>
        </w:rPr>
        <w:t>ř</w:t>
      </w: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ebitelských spor</w:t>
      </w:r>
      <w:r w:rsidRPr="00E56177">
        <w:rPr>
          <w:rFonts w:ascii="Times New Roman" w:hAnsi="Times New Roman" w:cs="Times New Roman"/>
          <w:b/>
          <w:color w:val="000000"/>
          <w:sz w:val="24"/>
          <w:szCs w:val="24"/>
        </w:rPr>
        <w:t>ů</w:t>
      </w:r>
    </w:p>
    <w:p w14:paraId="31E62E99" w14:textId="21FDC93D" w:rsidR="00217F07" w:rsidRDefault="00217F07" w:rsidP="0015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Prodávající ve smyslu ustanovení § 14 zák. č. 634/1992 Sb. o ochraně spotřebitele (dále jen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ZOS) informuje spotřebitele, že v případě vzniku sporu mezi prodávajícím a kupujícím -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spotřebitelem, subjektem věcně příslušným pro mimosoudní řešení tohoto spotřebitelského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sporu ve smyslu ustanovení § 20d a násl. ZOS, který se týká automobilu či služeb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prodávajícího a který vznikne z kupní smlouvy uzavřené mezi prodávajícím a spotřebitelem,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je Česká obchodní inspekce, internetová adresa </w:t>
      </w:r>
      <w:hyperlink r:id="rId5" w:history="1">
        <w:r w:rsidR="00E56177" w:rsidRPr="00C20E13">
          <w:rPr>
            <w:rStyle w:val="Hypertextovodkaz"/>
            <w:rFonts w:ascii="Times New Roman" w:hAnsi="Times New Roman" w:cs="Times New Roman"/>
            <w:sz w:val="24"/>
            <w:szCs w:val="24"/>
          </w:rPr>
          <w:t>www.coi.cz</w:t>
        </w:r>
      </w:hyperlink>
      <w:r w:rsidRPr="00217F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96775A" w14:textId="77777777" w:rsidR="00E56177" w:rsidRPr="00217F0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6D9462" w14:textId="77777777" w:rsidR="00217F07" w:rsidRPr="00E56177" w:rsidRDefault="00217F07" w:rsidP="00E56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177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l. X</w:t>
      </w:r>
    </w:p>
    <w:p w14:paraId="47E24187" w14:textId="77777777" w:rsidR="00217F07" w:rsidRPr="00E56177" w:rsidRDefault="00217F07" w:rsidP="00E56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</w:t>
      </w:r>
      <w:r w:rsidRPr="00E56177">
        <w:rPr>
          <w:rFonts w:ascii="Times New Roman" w:hAnsi="Times New Roman" w:cs="Times New Roman"/>
          <w:b/>
          <w:color w:val="000000"/>
          <w:sz w:val="24"/>
          <w:szCs w:val="24"/>
        </w:rPr>
        <w:t>ě</w:t>
      </w: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</w:t>
      </w:r>
      <w:r w:rsidRPr="00E56177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E56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 ustanovení</w:t>
      </w:r>
    </w:p>
    <w:p w14:paraId="5A8C3CEB" w14:textId="4EF3F47C" w:rsidR="00217F07" w:rsidRPr="00217F07" w:rsidRDefault="00217F07" w:rsidP="00E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1. Kupující tímto dává prodávajícímu a dále společnosti 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TOYOTA CENTRAL EUROPE</w:t>
      </w:r>
      <w:r w:rsidR="00152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Kft</w:t>
      </w:r>
      <w:proofErr w:type="spellEnd"/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, se sídlem 2040 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Budaörs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Budapark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Keleti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 4, Maďarsko (dále jen 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„TCE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“), která je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dovozcem vozů TOYOTA a LEXUS do České republiky a dále společnosti 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Toyota </w:t>
      </w:r>
      <w:proofErr w:type="spellStart"/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Central</w:t>
      </w:r>
      <w:proofErr w:type="spellEnd"/>
      <w:r w:rsidR="00152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Europe</w:t>
      </w:r>
      <w:proofErr w:type="spellEnd"/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Czech s.r.o.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, IČ: 601 98 435, se sídlem: Praha 5, Stodůlky, PSČ 150 00, Bavorská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2662/1, zapsané v OR vedeném Městským soudem v Praze, odd. C, 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vl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>. 24834, která zajišťuje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pro TCE prodejní a poprodejní servis vozidel TOYOTA a LEXUS na území České republiky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(dále jen „</w:t>
      </w:r>
      <w:r w:rsidRPr="0021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TCEC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“) svůj bezvýhradný a dobrovolný souhlas ve smyslu zákona č. 101/2000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Sb., o ochraně osobních údajů a o změně některých zákonů (dále jen „zákon OOÚ“) a zákona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č.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133/2000 Sb., o evidenci obyvatel a rodných číslech, s tím, aby jeho osobní údaje: jméno a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příjmení, datum narození, identifikační číslo, státní příslušnost, číslo občanského průkazu,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číslo jiného osobního dokladu, poštovní adresa, místo podnikání, telefonní a faxové číslo,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elektronická (emailová) adresa, bankovní spojení, jiné adresní údaje předané kupujícím a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veškeré dostupné údaje o zakoupeném vozidle (zejména VIN a RZ) dle kupní smlouvy (dále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jen „osobní údaje“) byly pro účely (i) dodržování právních povinností prodávajícího jako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prodejce vozidel, TCE jako dovozce vozidel a TCEC (zejména svolávací a servisní akce), (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ochrany práv a právem chráněných zájmů prodávajícího, TCE a TCEC, (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iii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>) plnění kupní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smlouvy, (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>) potřeby vyhotovení duplikátu identifikátoru vozidla (VIN), (v) nabízení a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poskytování asistenčních služeb, (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>) zjišťování spokojenosti zákazníků s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poskytovanými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službami, (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vii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>) nabídky a průzkumu nabídky obchodu a služeb, (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viii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>) jiných marketingových,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reklamních a průzkumných akcí, (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ix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>) velkoobchodu a maloobchodu – vytváření databáze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zákazníků, (x) vedení statistiky, (</w:t>
      </w:r>
      <w:proofErr w:type="spellStart"/>
      <w:r w:rsidRPr="00217F07">
        <w:rPr>
          <w:rFonts w:ascii="Times New Roman" w:hAnsi="Times New Roman" w:cs="Times New Roman"/>
          <w:color w:val="000000"/>
          <w:sz w:val="24"/>
          <w:szCs w:val="24"/>
        </w:rPr>
        <w:t>xi</w:t>
      </w:r>
      <w:proofErr w:type="spellEnd"/>
      <w:r w:rsidRPr="00217F07">
        <w:rPr>
          <w:rFonts w:ascii="Times New Roman" w:hAnsi="Times New Roman" w:cs="Times New Roman"/>
          <w:color w:val="000000"/>
          <w:sz w:val="24"/>
          <w:szCs w:val="24"/>
        </w:rPr>
        <w:t>) vedení archivu podle příslušného zákona, zpracovávány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prodávajícím, TCE a TCEC jako správci osobních údajů.</w:t>
      </w:r>
    </w:p>
    <w:p w14:paraId="03302A04" w14:textId="46628BB4" w:rsidR="00217F07" w:rsidRPr="00217F07" w:rsidRDefault="00217F07" w:rsidP="00E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Kupující tímto také dává prodávajícímu, TCE a TCEC souhlas s pořízením a uchováváním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fotokopie svých osobních dokladů a technického průkazu.</w:t>
      </w:r>
    </w:p>
    <w:p w14:paraId="4EC6CAA2" w14:textId="1AF47213" w:rsidR="00217F07" w:rsidRPr="00E56177" w:rsidRDefault="00217F07" w:rsidP="00E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Kupující souhlasí s tím, aby osobní údaje byly za výše uvedenými účely mezi prodávajícím,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TCE a TCEC předávány.</w:t>
      </w:r>
    </w:p>
    <w:p w14:paraId="623C21DA" w14:textId="15D14452" w:rsidR="00217F07" w:rsidRPr="00217F07" w:rsidRDefault="00217F07" w:rsidP="00E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Osobní údaje mohou být dále zpřístupněny pouze příslušnému zpracovateli osobních údajů,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který pro prodávajícího, TCE nebo TCEC osobní údaje zpracovává. Dalším osobám nebudou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osobní údaje bez vědomí kupujícího zpřístupněny, ledaže by povinnost poskytnout osobní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údaje kupujícího vyplývala ze zákona. Poskytnutí osobních údajů je dobrovolné. Osobní údaje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budou zpracovávány jen k výše uvedeným účelům a způsobem nepoškozujícím kupujícího.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Kupující dává svůj souhlas se zpracováním osobních údajů po dobu 10 let od data podpisu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 xml:space="preserve">tohoto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souhlasu / resp. této smlouvy. Tento souhlas může být kdykoliv kupujícím písemně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odvolán na adrese prodávajícího.</w:t>
      </w:r>
    </w:p>
    <w:p w14:paraId="2F38995E" w14:textId="719F37C2" w:rsidR="00217F07" w:rsidRPr="00217F07" w:rsidRDefault="00217F07" w:rsidP="00E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Kupující má dle § 11 zákona OOÚ právo na přístup k osobním údajům a právo na opravu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osobních údajů. Kupující má dále dle § 12 zákona OOÚ, pokud o to prodávajícího nebo TCE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nebo TCEC požádá, právo na informaci o zpracování svých osobních údajů a prodávající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nebo TCE nebo TCEC je povinen mu tuto informaci bez zbytečného odkladu předat. Kupující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má zároveň dle § 21 zákona OOÚ právo, v případě, že zjistí nebo se domnívá, že prodávající,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TCE nebo TCEC provádí zpracování jeho osobních údajů způsobem, který je v rozporu s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ochranou soukromého a osobního života kupujícího nebo v rozporu se zákonem, požádat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prodávajícího nebo TCE nebo TCEC o vysvětlení, resp. požadovat, aby prodávající nebo TCE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nebo TCEC takto vzniklý stav odstranil a dále právo obrátit se na Úřad pro ochranu osobních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údajů.</w:t>
      </w:r>
    </w:p>
    <w:p w14:paraId="13A46697" w14:textId="5F9EDF90" w:rsidR="00217F07" w:rsidRDefault="00217F07" w:rsidP="00E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Kupující dává souhlas prodávajícímu, TCE a TCEC k zasílání informací, novinek a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obchodních sdělení týkajících se zboží a služeb prodávajícího, TCE nebo TCEC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prostřednictvím elektronické pošty, poštovní adresy kupujícího, faxu či telefonu. Tento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souhlas může být kupujícím písemně odvolán na adrese prodávajícího.</w:t>
      </w:r>
    </w:p>
    <w:p w14:paraId="25006DF2" w14:textId="77777777" w:rsidR="00E56177" w:rsidRPr="00217F07" w:rsidRDefault="00E56177" w:rsidP="00E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C79FA9" w14:textId="5373A964" w:rsidR="00217F07" w:rsidRDefault="00217F07" w:rsidP="00E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2. Pokud ve smlouvě není stanoveno jinak, k převodu nebo přechodu práv a povinností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vyplývajících z uzavřené kupní smlouvy je nutný vždy souhlas obou smluvních stran.</w:t>
      </w:r>
    </w:p>
    <w:p w14:paraId="63451EB0" w14:textId="77777777" w:rsidR="00E56177" w:rsidRPr="00217F07" w:rsidRDefault="00E56177" w:rsidP="00E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A0CC11" w14:textId="15803E32" w:rsidR="00217F07" w:rsidRDefault="00217F07" w:rsidP="00E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3. V případě rozdílu mezi ujednáním v kupní smlouvě a těmito Všeobecnými podmínkami je</w:t>
      </w:r>
      <w:r w:rsidR="00152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rozhodující ujednání v kupní smlouvě.</w:t>
      </w:r>
    </w:p>
    <w:p w14:paraId="5EC17487" w14:textId="77777777" w:rsidR="00E5617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A03C67" w14:textId="77777777" w:rsidR="00E56177" w:rsidRDefault="00E56177" w:rsidP="00217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A21B2" w14:textId="77777777" w:rsidR="00E56177" w:rsidRPr="00217F07" w:rsidRDefault="00E56177" w:rsidP="0003590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2B812E" w14:textId="77777777" w:rsidR="00217F07" w:rsidRPr="00217F07" w:rsidRDefault="00217F07" w:rsidP="0003590F">
      <w:pPr>
        <w:tabs>
          <w:tab w:val="left" w:pos="496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V ................ dne …........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V ................ dne …........</w:t>
      </w:r>
    </w:p>
    <w:p w14:paraId="5107A18B" w14:textId="77777777" w:rsidR="00E56177" w:rsidRDefault="00E56177" w:rsidP="0003590F">
      <w:pPr>
        <w:tabs>
          <w:tab w:val="left" w:pos="496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D378D" w14:textId="77777777" w:rsidR="00217F07" w:rsidRPr="00217F07" w:rsidRDefault="00217F07" w:rsidP="0003590F">
      <w:pPr>
        <w:tabs>
          <w:tab w:val="left" w:pos="496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Prodávající: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Kupující:</w:t>
      </w:r>
    </w:p>
    <w:p w14:paraId="57D8DED5" w14:textId="77777777" w:rsidR="00E56177" w:rsidRDefault="00E56177" w:rsidP="0003590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97D94" w14:textId="77777777" w:rsidR="00217F07" w:rsidRPr="00217F07" w:rsidRDefault="00217F07" w:rsidP="0003590F">
      <w:pPr>
        <w:tabs>
          <w:tab w:val="left" w:pos="496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Jméno: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Jméno:</w:t>
      </w:r>
    </w:p>
    <w:p w14:paraId="59835554" w14:textId="77777777" w:rsidR="00217F07" w:rsidRPr="00217F07" w:rsidRDefault="00217F07" w:rsidP="0003590F">
      <w:pPr>
        <w:tabs>
          <w:tab w:val="left" w:pos="4962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Funkce: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Funkce:</w:t>
      </w:r>
    </w:p>
    <w:p w14:paraId="1E6D6B0F" w14:textId="77777777" w:rsidR="00732728" w:rsidRPr="00217F07" w:rsidRDefault="00217F07" w:rsidP="0003590F">
      <w:pPr>
        <w:tabs>
          <w:tab w:val="left" w:pos="4962"/>
          <w:tab w:val="left" w:pos="6521"/>
        </w:tabs>
        <w:rPr>
          <w:rFonts w:ascii="Times New Roman" w:hAnsi="Times New Roman" w:cs="Times New Roman"/>
        </w:rPr>
      </w:pPr>
      <w:r w:rsidRPr="00217F07">
        <w:rPr>
          <w:rFonts w:ascii="Times New Roman" w:hAnsi="Times New Roman" w:cs="Times New Roman"/>
          <w:color w:val="000000"/>
          <w:sz w:val="24"/>
          <w:szCs w:val="24"/>
        </w:rPr>
        <w:t>Podpis:</w:t>
      </w:r>
      <w:r w:rsidR="00E561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F07">
        <w:rPr>
          <w:rFonts w:ascii="Times New Roman" w:hAnsi="Times New Roman" w:cs="Times New Roman"/>
          <w:color w:val="000000"/>
          <w:sz w:val="24"/>
          <w:szCs w:val="24"/>
        </w:rPr>
        <w:t>Podpis:</w:t>
      </w:r>
    </w:p>
    <w:sectPr w:rsidR="00732728" w:rsidRPr="0021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8DC125" w16cid:durableId="206C3882"/>
  <w16cid:commentId w16cid:paraId="6637AEB6" w16cid:durableId="206C388F"/>
  <w16cid:commentId w16cid:paraId="01366924" w16cid:durableId="206C3865"/>
  <w16cid:commentId w16cid:paraId="1F6C4892" w16cid:durableId="206C3899"/>
  <w16cid:commentId w16cid:paraId="1828CF40" w16cid:durableId="206C38B4"/>
  <w16cid:commentId w16cid:paraId="70A390CB" w16cid:durableId="206C38D4"/>
  <w16cid:commentId w16cid:paraId="4DF6A954" w16cid:durableId="206C392A"/>
  <w16cid:commentId w16cid:paraId="0ACADB34" w16cid:durableId="206C3978"/>
  <w16cid:commentId w16cid:paraId="57F7C916" w16cid:durableId="206C3A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07"/>
    <w:rsid w:val="00031D09"/>
    <w:rsid w:val="0003590F"/>
    <w:rsid w:val="0015257C"/>
    <w:rsid w:val="00217F07"/>
    <w:rsid w:val="0028054D"/>
    <w:rsid w:val="00435C9A"/>
    <w:rsid w:val="00593944"/>
    <w:rsid w:val="00732728"/>
    <w:rsid w:val="00853724"/>
    <w:rsid w:val="008A5D36"/>
    <w:rsid w:val="009E5BB3"/>
    <w:rsid w:val="00A94711"/>
    <w:rsid w:val="00AB3C16"/>
    <w:rsid w:val="00AC398D"/>
    <w:rsid w:val="00BA1748"/>
    <w:rsid w:val="00E5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5A2E"/>
  <w15:chartTrackingRefBased/>
  <w15:docId w15:val="{0DF97239-240F-4C13-8779-3806B61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17F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F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F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F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F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F0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5617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www.co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F7B2-9E94-4616-AB6C-D966982F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2113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Šinkner</dc:creator>
  <cp:keywords/>
  <dc:description/>
  <cp:lastModifiedBy>Cimlová Věra</cp:lastModifiedBy>
  <cp:revision>2</cp:revision>
  <dcterms:created xsi:type="dcterms:W3CDTF">2019-04-30T13:35:00Z</dcterms:created>
  <dcterms:modified xsi:type="dcterms:W3CDTF">2019-04-30T13:35:00Z</dcterms:modified>
</cp:coreProperties>
</file>