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235C76" w:rsidRPr="00235C76">
        <w:rPr>
          <w:rFonts w:ascii="Arial" w:hAnsi="Arial" w:cs="Arial"/>
          <w:b/>
          <w:sz w:val="24"/>
          <w:szCs w:val="24"/>
        </w:rPr>
        <w:t>123/2019</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166276">
        <w:rPr>
          <w:rFonts w:ascii="Arial" w:hAnsi="Arial" w:cs="Arial"/>
          <w:b/>
          <w:sz w:val="24"/>
          <w:szCs w:val="24"/>
        </w:rPr>
        <w:t>414</w:t>
      </w:r>
      <w:r w:rsidRPr="009F2CAE">
        <w:rPr>
          <w:rFonts w:ascii="Arial" w:hAnsi="Arial" w:cs="Arial"/>
          <w:b/>
          <w:sz w:val="24"/>
          <w:szCs w:val="24"/>
        </w:rPr>
        <w:t>/201</w:t>
      </w:r>
      <w:r w:rsidR="00EC384E">
        <w:rPr>
          <w:rFonts w:ascii="Arial" w:hAnsi="Arial" w:cs="Arial"/>
          <w:b/>
          <w:sz w:val="24"/>
          <w:szCs w:val="24"/>
        </w:rPr>
        <w:t>9</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8F3025" w:rsidRDefault="00195812" w:rsidP="00F12975">
      <w:pPr>
        <w:jc w:val="center"/>
        <w:rPr>
          <w:rFonts w:ascii="Arial" w:hAnsi="Arial" w:cs="Arial"/>
          <w:b/>
          <w:sz w:val="22"/>
        </w:rPr>
      </w:pPr>
    </w:p>
    <w:p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235C76" w:rsidP="00761B30">
            <w:pPr>
              <w:rPr>
                <w:rFonts w:ascii="Arial" w:hAnsi="Arial" w:cs="Arial"/>
                <w:b/>
                <w:sz w:val="22"/>
              </w:rPr>
            </w:pPr>
            <w:proofErr w:type="spellStart"/>
            <w:r w:rsidRPr="008F3025">
              <w:rPr>
                <w:rFonts w:ascii="Arial" w:hAnsi="Arial" w:cs="Arial"/>
                <w:b/>
                <w:sz w:val="22"/>
              </w:rPr>
              <w:t>Ekoservis</w:t>
            </w:r>
            <w:proofErr w:type="spellEnd"/>
            <w:r w:rsidRPr="008F3025">
              <w:rPr>
                <w:rFonts w:ascii="Arial" w:hAnsi="Arial" w:cs="Arial"/>
                <w:b/>
                <w:sz w:val="22"/>
              </w:rPr>
              <w:t xml:space="preserve"> Chomutov s.r.o.</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rsidR="009F2CAE" w:rsidRPr="008F3025"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tc>
        <w:tc>
          <w:tcPr>
            <w:tcW w:w="5832" w:type="dxa"/>
          </w:tcPr>
          <w:p w:rsidR="009F2CAE" w:rsidRPr="008F3025" w:rsidRDefault="00235C76" w:rsidP="00761B30">
            <w:pPr>
              <w:rPr>
                <w:rFonts w:ascii="Arial" w:hAnsi="Arial" w:cs="Arial"/>
                <w:sz w:val="22"/>
              </w:rPr>
            </w:pPr>
            <w:r w:rsidRPr="008F3025">
              <w:rPr>
                <w:rFonts w:ascii="Arial" w:hAnsi="Arial" w:cs="Arial"/>
                <w:sz w:val="22"/>
              </w:rPr>
              <w:t>Haškova 3783, Chomutov 43001</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235C76" w:rsidP="00761B30">
            <w:pPr>
              <w:rPr>
                <w:rFonts w:ascii="Arial" w:hAnsi="Arial" w:cs="Arial"/>
                <w:sz w:val="22"/>
              </w:rPr>
            </w:pPr>
            <w:r w:rsidRPr="008F3025">
              <w:rPr>
                <w:rFonts w:ascii="Arial" w:hAnsi="Arial" w:cs="Arial"/>
                <w:sz w:val="22"/>
              </w:rPr>
              <w:t xml:space="preserve">Kateřina Duchková, Martin Duchek, jednatelé </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235C76" w:rsidP="00761B30">
            <w:pPr>
              <w:rPr>
                <w:rFonts w:ascii="Arial" w:hAnsi="Arial" w:cs="Arial"/>
                <w:sz w:val="22"/>
              </w:rPr>
            </w:pPr>
            <w:r w:rsidRPr="008F3025">
              <w:rPr>
                <w:rFonts w:ascii="Arial" w:hAnsi="Arial" w:cs="Arial"/>
                <w:sz w:val="22"/>
              </w:rPr>
              <w:t>Martin Duchek</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235C76" w:rsidP="00761B30">
            <w:pPr>
              <w:rPr>
                <w:rFonts w:ascii="Arial" w:hAnsi="Arial" w:cs="Arial"/>
                <w:sz w:val="22"/>
              </w:rPr>
            </w:pPr>
            <w:r w:rsidRPr="008F3025">
              <w:rPr>
                <w:rFonts w:ascii="Arial" w:hAnsi="Arial" w:cs="Arial"/>
                <w:sz w:val="22"/>
              </w:rPr>
              <w:t>27321720</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235C76" w:rsidP="00761B30">
            <w:pPr>
              <w:rPr>
                <w:rFonts w:ascii="Arial" w:hAnsi="Arial" w:cs="Arial"/>
                <w:sz w:val="22"/>
              </w:rPr>
            </w:pPr>
            <w:r w:rsidRPr="008F3025">
              <w:rPr>
                <w:rFonts w:ascii="Arial" w:hAnsi="Arial" w:cs="Arial"/>
                <w:sz w:val="22"/>
              </w:rPr>
              <w:t>CZ27321720</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B4532F" w:rsidP="00B4532F">
            <w:pPr>
              <w:rPr>
                <w:rFonts w:ascii="Arial" w:hAnsi="Arial" w:cs="Arial"/>
                <w:sz w:val="22"/>
              </w:rPr>
            </w:pPr>
            <w:proofErr w:type="spellStart"/>
            <w:r>
              <w:rPr>
                <w:rFonts w:ascii="Arial" w:hAnsi="Arial" w:cs="Arial"/>
                <w:sz w:val="22"/>
              </w:rPr>
              <w:t>xxxxxxxxxxx</w:t>
            </w:r>
            <w:proofErr w:type="spellEnd"/>
          </w:p>
        </w:tc>
      </w:tr>
      <w:tr w:rsidR="00B4532F" w:rsidRPr="008F3025" w:rsidTr="009F2CAE">
        <w:tc>
          <w:tcPr>
            <w:tcW w:w="2050" w:type="dxa"/>
          </w:tcPr>
          <w:p w:rsidR="00B4532F" w:rsidRPr="008F3025" w:rsidRDefault="00B4532F" w:rsidP="00C600EF">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rsidR="00B4532F" w:rsidRPr="008F3025" w:rsidRDefault="00B4532F" w:rsidP="00C600EF">
            <w:pPr>
              <w:rPr>
                <w:rFonts w:ascii="Arial" w:hAnsi="Arial" w:cs="Arial"/>
                <w:sz w:val="22"/>
              </w:rPr>
            </w:pPr>
            <w:r w:rsidRPr="008F3025">
              <w:rPr>
                <w:rFonts w:ascii="Arial" w:hAnsi="Arial" w:cs="Arial"/>
                <w:sz w:val="22"/>
              </w:rPr>
              <w:t>:</w:t>
            </w:r>
          </w:p>
        </w:tc>
        <w:tc>
          <w:tcPr>
            <w:tcW w:w="5832" w:type="dxa"/>
          </w:tcPr>
          <w:p w:rsidR="00B4532F" w:rsidRDefault="00B4532F">
            <w:proofErr w:type="spellStart"/>
            <w:r w:rsidRPr="00CC5877">
              <w:rPr>
                <w:rFonts w:ascii="Arial" w:hAnsi="Arial" w:cs="Arial"/>
                <w:sz w:val="22"/>
              </w:rPr>
              <w:t>xxxxxxxxxxx</w:t>
            </w:r>
            <w:proofErr w:type="spellEnd"/>
          </w:p>
        </w:tc>
      </w:tr>
      <w:tr w:rsidR="00B4532F" w:rsidRPr="008F3025" w:rsidTr="009F2CAE">
        <w:tc>
          <w:tcPr>
            <w:tcW w:w="2050" w:type="dxa"/>
          </w:tcPr>
          <w:p w:rsidR="00B4532F" w:rsidRPr="008F3025" w:rsidRDefault="00B4532F" w:rsidP="00C600EF">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rsidR="00B4532F" w:rsidRPr="008F3025" w:rsidRDefault="00B4532F" w:rsidP="00C600EF">
            <w:pPr>
              <w:rPr>
                <w:rFonts w:ascii="Arial" w:hAnsi="Arial" w:cs="Arial"/>
                <w:sz w:val="22"/>
              </w:rPr>
            </w:pPr>
            <w:r w:rsidRPr="008F3025">
              <w:rPr>
                <w:rFonts w:ascii="Arial" w:hAnsi="Arial" w:cs="Arial"/>
                <w:sz w:val="22"/>
              </w:rPr>
              <w:t>:</w:t>
            </w:r>
          </w:p>
        </w:tc>
        <w:tc>
          <w:tcPr>
            <w:tcW w:w="5832" w:type="dxa"/>
          </w:tcPr>
          <w:p w:rsidR="00B4532F" w:rsidRDefault="00B4532F">
            <w:proofErr w:type="spellStart"/>
            <w:r w:rsidRPr="00CC5877">
              <w:rPr>
                <w:rFonts w:ascii="Arial" w:hAnsi="Arial" w:cs="Arial"/>
                <w:sz w:val="22"/>
              </w:rPr>
              <w:t>xxxxxxxxxxx</w:t>
            </w:r>
            <w:proofErr w:type="spellEnd"/>
          </w:p>
        </w:tc>
      </w:tr>
    </w:tbl>
    <w:p w:rsidR="00F12975" w:rsidRPr="008F3025" w:rsidRDefault="00F12975" w:rsidP="00E001DF">
      <w:pPr>
        <w:rPr>
          <w:rFonts w:ascii="Arial" w:hAnsi="Arial" w:cs="Arial"/>
          <w:b/>
          <w:sz w:val="24"/>
          <w:szCs w:val="24"/>
        </w:rPr>
      </w:pPr>
    </w:p>
    <w:p w:rsidR="0084300C" w:rsidRPr="008F3025" w:rsidRDefault="0084300C" w:rsidP="0084300C">
      <w:pPr>
        <w:jc w:val="both"/>
        <w:rPr>
          <w:rFonts w:ascii="Arial" w:hAnsi="Arial" w:cs="Arial"/>
          <w:sz w:val="22"/>
          <w:szCs w:val="22"/>
        </w:rPr>
      </w:pPr>
      <w:r w:rsidRPr="008F3025">
        <w:rPr>
          <w:rFonts w:ascii="Arial" w:hAnsi="Arial" w:cs="Arial"/>
          <w:sz w:val="22"/>
          <w:szCs w:val="22"/>
        </w:rPr>
        <w:t>Prodávající je zapsán v Obchodním rejstřík</w:t>
      </w:r>
      <w:r w:rsidR="00235C76" w:rsidRPr="008F3025">
        <w:rPr>
          <w:rFonts w:ascii="Arial" w:hAnsi="Arial" w:cs="Arial"/>
          <w:sz w:val="22"/>
          <w:szCs w:val="22"/>
        </w:rPr>
        <w:t>u Krajského soudu v Ústí nad Labem</w:t>
      </w:r>
      <w:r w:rsidRPr="008F3025">
        <w:rPr>
          <w:rFonts w:ascii="Arial" w:hAnsi="Arial" w:cs="Arial"/>
          <w:sz w:val="22"/>
          <w:szCs w:val="22"/>
        </w:rPr>
        <w:t>, v</w:t>
      </w:r>
      <w:r w:rsidR="00235C76" w:rsidRPr="008F3025">
        <w:rPr>
          <w:rFonts w:ascii="Arial" w:hAnsi="Arial" w:cs="Arial"/>
          <w:sz w:val="22"/>
          <w:szCs w:val="22"/>
        </w:rPr>
        <w:t> </w:t>
      </w:r>
      <w:r w:rsidRPr="008F3025">
        <w:rPr>
          <w:rFonts w:ascii="Arial" w:hAnsi="Arial" w:cs="Arial"/>
          <w:sz w:val="22"/>
          <w:szCs w:val="22"/>
        </w:rPr>
        <w:t>oddíl</w:t>
      </w:r>
      <w:r w:rsidR="00235C76" w:rsidRPr="008F3025">
        <w:rPr>
          <w:rFonts w:ascii="Arial" w:hAnsi="Arial" w:cs="Arial"/>
          <w:sz w:val="22"/>
          <w:szCs w:val="22"/>
        </w:rPr>
        <w:t>u C</w:t>
      </w:r>
      <w:r w:rsidRPr="008F3025">
        <w:rPr>
          <w:rFonts w:ascii="Arial" w:hAnsi="Arial" w:cs="Arial"/>
          <w:sz w:val="22"/>
          <w:szCs w:val="22"/>
        </w:rPr>
        <w:t xml:space="preserve">, vložce č. </w:t>
      </w:r>
      <w:r w:rsidR="00235C76" w:rsidRPr="008F3025">
        <w:rPr>
          <w:rFonts w:ascii="Arial" w:hAnsi="Arial" w:cs="Arial"/>
          <w:sz w:val="22"/>
          <w:szCs w:val="22"/>
        </w:rPr>
        <w:t>24305</w:t>
      </w:r>
    </w:p>
    <w:p w:rsidR="0084300C" w:rsidRPr="008F3025" w:rsidRDefault="0084300C" w:rsidP="0084300C">
      <w:pPr>
        <w:widowControl w:val="0"/>
        <w:spacing w:line="240" w:lineRule="atLeast"/>
        <w:rPr>
          <w:rFonts w:ascii="Arial" w:hAnsi="Arial" w:cs="Arial"/>
          <w:sz w:val="22"/>
          <w:szCs w:val="22"/>
        </w:rPr>
      </w:pPr>
    </w:p>
    <w:p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p>
    <w:p w:rsidR="009B3696" w:rsidRPr="008F3025" w:rsidRDefault="009B3696" w:rsidP="0084300C">
      <w:pPr>
        <w:jc w:val="center"/>
        <w:rPr>
          <w:rFonts w:ascii="Arial" w:hAnsi="Arial" w:cs="Arial"/>
          <w:sz w:val="22"/>
        </w:rPr>
      </w:pPr>
      <w:r w:rsidRPr="008F3025">
        <w:rPr>
          <w:rFonts w:ascii="Arial" w:hAnsi="Arial" w:cs="Arial"/>
          <w:sz w:val="22"/>
        </w:rPr>
        <w:t>a</w:t>
      </w:r>
    </w:p>
    <w:p w:rsidR="009B3696" w:rsidRPr="008F3025" w:rsidRDefault="009B3696">
      <w:pPr>
        <w:rPr>
          <w:rFonts w:ascii="Arial" w:hAnsi="Arial" w:cs="Arial"/>
          <w:b/>
          <w:sz w:val="22"/>
        </w:rPr>
      </w:pPr>
    </w:p>
    <w:p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tc>
          <w:tcPr>
            <w:tcW w:w="2050" w:type="dxa"/>
          </w:tcPr>
          <w:p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rsidR="009B3696" w:rsidRPr="008F3025" w:rsidRDefault="009B3696">
            <w:pPr>
              <w:rPr>
                <w:rFonts w:ascii="Arial" w:hAnsi="Arial" w:cs="Arial"/>
                <w:sz w:val="22"/>
              </w:rPr>
            </w:pPr>
            <w:r w:rsidRPr="008F3025">
              <w:rPr>
                <w:rFonts w:ascii="Arial" w:hAnsi="Arial" w:cs="Arial"/>
                <w:sz w:val="22"/>
              </w:rPr>
              <w:t>:</w:t>
            </w:r>
          </w:p>
        </w:tc>
        <w:tc>
          <w:tcPr>
            <w:tcW w:w="5832" w:type="dxa"/>
          </w:tcPr>
          <w:p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Ing. </w:t>
            </w:r>
            <w:r w:rsidR="00E001DF" w:rsidRPr="008F3025">
              <w:rPr>
                <w:rFonts w:ascii="Arial" w:hAnsi="Arial" w:cs="Arial"/>
                <w:sz w:val="22"/>
              </w:rPr>
              <w:t>Jiří Nedoma</w:t>
            </w:r>
            <w:r w:rsidRPr="008F3025">
              <w:rPr>
                <w:rFonts w:ascii="Arial" w:hAnsi="Arial" w:cs="Arial"/>
                <w:sz w:val="22"/>
              </w:rPr>
              <w:t>, generální ředitel</w:t>
            </w:r>
          </w:p>
        </w:tc>
      </w:tr>
      <w:tr w:rsidR="008F3025" w:rsidRPr="008F3025">
        <w:tc>
          <w:tcPr>
            <w:tcW w:w="2050" w:type="dxa"/>
          </w:tcPr>
          <w:p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9B3696" w:rsidP="00D958F7">
            <w:pPr>
              <w:pStyle w:val="Zpat"/>
              <w:tabs>
                <w:tab w:val="clear" w:pos="4536"/>
                <w:tab w:val="clear" w:pos="9072"/>
              </w:tabs>
              <w:rPr>
                <w:rFonts w:ascii="Arial" w:hAnsi="Arial" w:cs="Arial"/>
                <w:sz w:val="22"/>
              </w:rPr>
            </w:pPr>
            <w:r w:rsidRPr="008F3025">
              <w:rPr>
                <w:rFonts w:ascii="Arial" w:hAnsi="Arial" w:cs="Arial"/>
                <w:sz w:val="22"/>
              </w:rPr>
              <w:t xml:space="preserve">Ing. </w:t>
            </w:r>
            <w:r w:rsidR="00D958F7" w:rsidRPr="008F3025">
              <w:rPr>
                <w:rFonts w:ascii="Arial" w:hAnsi="Arial" w:cs="Arial"/>
                <w:sz w:val="22"/>
              </w:rPr>
              <w:t>Radek Jelínek</w:t>
            </w:r>
            <w:r w:rsidRPr="008F3025">
              <w:rPr>
                <w:rFonts w:ascii="Arial" w:hAnsi="Arial" w:cs="Arial"/>
                <w:sz w:val="22"/>
              </w:rPr>
              <w:t xml:space="preserve">, </w:t>
            </w:r>
            <w:r w:rsidR="00ED191B" w:rsidRPr="008F3025">
              <w:rPr>
                <w:rFonts w:ascii="Arial" w:hAnsi="Arial" w:cs="Arial"/>
                <w:sz w:val="22"/>
              </w:rPr>
              <w:t>ekonomický</w:t>
            </w:r>
            <w:r w:rsidR="00432439" w:rsidRPr="008F3025">
              <w:rPr>
                <w:rFonts w:ascii="Arial" w:hAnsi="Arial" w:cs="Arial"/>
                <w:sz w:val="22"/>
              </w:rPr>
              <w:t xml:space="preserve"> </w:t>
            </w:r>
            <w:r w:rsidRPr="008F3025">
              <w:rPr>
                <w:rFonts w:ascii="Arial" w:hAnsi="Arial" w:cs="Arial"/>
                <w:sz w:val="22"/>
              </w:rPr>
              <w:t>ředitel</w:t>
            </w:r>
          </w:p>
        </w:tc>
      </w:tr>
      <w:tr w:rsidR="008F3025" w:rsidRPr="008F3025">
        <w:tc>
          <w:tcPr>
            <w:tcW w:w="2050" w:type="dxa"/>
          </w:tcPr>
          <w:p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B4532F" w:rsidP="001A286E">
            <w:pPr>
              <w:pStyle w:val="Textkomente"/>
              <w:rPr>
                <w:rFonts w:ascii="Arial" w:hAnsi="Arial" w:cs="Arial"/>
                <w:sz w:val="22"/>
              </w:rPr>
            </w:pPr>
            <w:proofErr w:type="spellStart"/>
            <w:r>
              <w:rPr>
                <w:rFonts w:ascii="Arial" w:hAnsi="Arial" w:cs="Arial"/>
                <w:sz w:val="22"/>
              </w:rPr>
              <w:t>xxxxxxxxxxx</w:t>
            </w:r>
            <w:proofErr w:type="spellEnd"/>
            <w:r w:rsidR="0063557D" w:rsidRPr="008F3025">
              <w:rPr>
                <w:rFonts w:ascii="Arial" w:hAnsi="Arial" w:cs="Arial"/>
                <w:sz w:val="22"/>
              </w:rPr>
              <w:t>, ved</w:t>
            </w:r>
            <w:r w:rsidR="001A286E" w:rsidRPr="008F3025">
              <w:rPr>
                <w:rFonts w:ascii="Arial" w:hAnsi="Arial" w:cs="Arial"/>
                <w:sz w:val="22"/>
              </w:rPr>
              <w:t>oucí odboru o</w:t>
            </w:r>
            <w:r w:rsidR="00D05309" w:rsidRPr="008F3025">
              <w:rPr>
                <w:rFonts w:ascii="Arial" w:hAnsi="Arial" w:cs="Arial"/>
                <w:sz w:val="22"/>
              </w:rPr>
              <w:t>bchodní příprav</w:t>
            </w:r>
            <w:r w:rsidR="003A44A3" w:rsidRPr="008F3025">
              <w:rPr>
                <w:rFonts w:ascii="Arial" w:hAnsi="Arial" w:cs="Arial"/>
                <w:sz w:val="22"/>
              </w:rPr>
              <w:t>y</w:t>
            </w:r>
            <w:r w:rsidR="00D05309" w:rsidRPr="008F3025">
              <w:rPr>
                <w:rFonts w:ascii="Arial" w:hAnsi="Arial" w:cs="Arial"/>
                <w:sz w:val="22"/>
              </w:rPr>
              <w:t xml:space="preserve"> investic</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B4532F" w:rsidRPr="008F3025">
        <w:tc>
          <w:tcPr>
            <w:tcW w:w="2050" w:type="dxa"/>
          </w:tcPr>
          <w:p w:rsidR="00B4532F" w:rsidRPr="008F3025" w:rsidRDefault="00B4532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rsidR="00B4532F" w:rsidRPr="008F3025" w:rsidRDefault="00B4532F">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B4532F" w:rsidRDefault="00B4532F">
            <w:proofErr w:type="spellStart"/>
            <w:r w:rsidRPr="00382A6A">
              <w:rPr>
                <w:rFonts w:ascii="Arial" w:hAnsi="Arial" w:cs="Arial"/>
                <w:sz w:val="22"/>
              </w:rPr>
              <w:t>xxxxxxxxxxx</w:t>
            </w:r>
            <w:proofErr w:type="spellEnd"/>
          </w:p>
        </w:tc>
      </w:tr>
      <w:tr w:rsidR="00B4532F" w:rsidRPr="008F3025">
        <w:tc>
          <w:tcPr>
            <w:tcW w:w="2050" w:type="dxa"/>
          </w:tcPr>
          <w:p w:rsidR="00B4532F" w:rsidRPr="008F3025" w:rsidRDefault="00B4532F">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rsidR="00B4532F" w:rsidRPr="008F3025" w:rsidRDefault="00B4532F">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B4532F" w:rsidRDefault="00B4532F">
            <w:proofErr w:type="spellStart"/>
            <w:r w:rsidRPr="00382A6A">
              <w:rPr>
                <w:rFonts w:ascii="Arial" w:hAnsi="Arial" w:cs="Arial"/>
                <w:sz w:val="22"/>
              </w:rPr>
              <w:t>xxxxxxxxxxx</w:t>
            </w:r>
            <w:proofErr w:type="spellEnd"/>
          </w:p>
        </w:tc>
      </w:tr>
      <w:tr w:rsidR="00B4532F" w:rsidRPr="008F3025" w:rsidTr="00B4532F">
        <w:trPr>
          <w:trHeight w:val="80"/>
        </w:trPr>
        <w:tc>
          <w:tcPr>
            <w:tcW w:w="2050" w:type="dxa"/>
          </w:tcPr>
          <w:p w:rsidR="00B4532F" w:rsidRPr="008F3025" w:rsidRDefault="00B4532F">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rsidR="00B4532F" w:rsidRPr="008F3025" w:rsidRDefault="00B4532F">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B4532F" w:rsidRDefault="00B4532F">
            <w:proofErr w:type="spellStart"/>
            <w:r w:rsidRPr="00382A6A">
              <w:rPr>
                <w:rFonts w:ascii="Arial" w:hAnsi="Arial" w:cs="Arial"/>
                <w:sz w:val="22"/>
              </w:rPr>
              <w:t>xxxxxxxxxxx</w:t>
            </w:r>
            <w:proofErr w:type="spellEnd"/>
          </w:p>
        </w:tc>
      </w:tr>
    </w:tbl>
    <w:p w:rsidR="009B3696" w:rsidRPr="008F3025" w:rsidRDefault="009B3696">
      <w:pPr>
        <w:jc w:val="center"/>
        <w:rPr>
          <w:rFonts w:ascii="Arial" w:hAnsi="Arial" w:cs="Arial"/>
          <w:b/>
          <w:sz w:val="22"/>
        </w:rPr>
      </w:pPr>
    </w:p>
    <w:p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rsidR="009B3696" w:rsidRPr="008F3025" w:rsidRDefault="009B3696">
      <w:pPr>
        <w:jc w:val="center"/>
        <w:rPr>
          <w:rFonts w:ascii="Arial" w:hAnsi="Arial" w:cs="Arial"/>
          <w:b/>
          <w:sz w:val="22"/>
        </w:rPr>
      </w:pPr>
    </w:p>
    <w:p w:rsidR="0084300C" w:rsidRPr="008F3025" w:rsidRDefault="009B3696">
      <w:pPr>
        <w:ind w:left="2124" w:firstLine="708"/>
        <w:rPr>
          <w:rFonts w:ascii="Arial" w:hAnsi="Arial" w:cs="Arial"/>
          <w:sz w:val="22"/>
        </w:rPr>
      </w:pPr>
      <w:r w:rsidRPr="008F3025">
        <w:rPr>
          <w:rFonts w:ascii="Arial" w:hAnsi="Arial" w:cs="Arial"/>
          <w:sz w:val="22"/>
        </w:rPr>
        <w:t xml:space="preserve">     </w:t>
      </w:r>
    </w:p>
    <w:p w:rsidR="009B3696" w:rsidRPr="008F3025" w:rsidRDefault="009B3696">
      <w:pPr>
        <w:ind w:left="2124" w:firstLine="708"/>
        <w:rPr>
          <w:rFonts w:ascii="Arial" w:hAnsi="Arial" w:cs="Arial"/>
          <w:sz w:val="22"/>
        </w:rPr>
      </w:pPr>
      <w:r w:rsidRPr="008F3025">
        <w:rPr>
          <w:rFonts w:ascii="Arial" w:hAnsi="Arial" w:cs="Arial"/>
          <w:sz w:val="22"/>
        </w:rPr>
        <w:t xml:space="preserve">  uzavírají tuto kupní smlouvu:</w:t>
      </w:r>
    </w:p>
    <w:p w:rsidR="009B3696" w:rsidRPr="008F3025" w:rsidRDefault="009B3696">
      <w:pPr>
        <w:rPr>
          <w:rFonts w:ascii="Arial" w:hAnsi="Arial" w:cs="Arial"/>
          <w:b/>
          <w:sz w:val="22"/>
          <w:u w:val="single"/>
        </w:rPr>
      </w:pPr>
    </w:p>
    <w:p w:rsidR="00F039E5" w:rsidRPr="008F3025" w:rsidRDefault="00F039E5">
      <w:pPr>
        <w:rPr>
          <w:rFonts w:ascii="Arial" w:hAnsi="Arial" w:cs="Arial"/>
          <w:b/>
          <w:sz w:val="22"/>
          <w:u w:val="single"/>
        </w:rPr>
      </w:pPr>
    </w:p>
    <w:p w:rsidR="00F039E5" w:rsidRPr="008F3025" w:rsidRDefault="00F039E5">
      <w:pPr>
        <w:rPr>
          <w:rFonts w:ascii="Arial" w:hAnsi="Arial" w:cs="Arial"/>
          <w:b/>
          <w:sz w:val="22"/>
          <w:u w:val="single"/>
        </w:rPr>
      </w:pPr>
    </w:p>
    <w:p w:rsidR="00F039E5" w:rsidRPr="008F3025" w:rsidRDefault="00F039E5">
      <w:pPr>
        <w:rPr>
          <w:rFonts w:ascii="Arial" w:hAnsi="Arial" w:cs="Arial"/>
          <w:b/>
          <w:sz w:val="22"/>
          <w:u w:val="single"/>
        </w:rPr>
      </w:pPr>
    </w:p>
    <w:p w:rsidR="00591E27" w:rsidRPr="008F3025" w:rsidRDefault="00591E27">
      <w:pPr>
        <w:jc w:val="center"/>
        <w:rPr>
          <w:rFonts w:ascii="Arial" w:hAnsi="Arial" w:cs="Arial"/>
          <w:b/>
          <w:sz w:val="22"/>
          <w:u w:val="single"/>
        </w:rPr>
      </w:pPr>
    </w:p>
    <w:p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rsidR="009B3696" w:rsidRPr="008F3025" w:rsidRDefault="009B3696">
      <w:pPr>
        <w:spacing w:line="120" w:lineRule="auto"/>
        <w:rPr>
          <w:rFonts w:ascii="Arial" w:hAnsi="Arial" w:cs="Arial"/>
          <w:b/>
          <w:sz w:val="22"/>
        </w:rPr>
      </w:pPr>
    </w:p>
    <w:p w:rsidR="00924B55" w:rsidRPr="008F3025" w:rsidRDefault="00924B55" w:rsidP="00924B55">
      <w:pPr>
        <w:spacing w:line="120" w:lineRule="auto"/>
        <w:rPr>
          <w:rFonts w:ascii="Arial" w:hAnsi="Arial" w:cs="Arial"/>
          <w:b/>
          <w:sz w:val="22"/>
        </w:rPr>
      </w:pPr>
    </w:p>
    <w:p w:rsidR="00924B55" w:rsidRPr="008F3025" w:rsidRDefault="00924B55" w:rsidP="00924B55">
      <w:pPr>
        <w:pStyle w:val="Zkladntext"/>
        <w:ind w:left="397" w:hanging="397"/>
        <w:rPr>
          <w:rFonts w:ascii="Arial" w:hAnsi="Arial" w:cs="Arial"/>
        </w:rPr>
      </w:pPr>
      <w:r w:rsidRPr="008F3025">
        <w:rPr>
          <w:rFonts w:ascii="Arial" w:hAnsi="Arial" w:cs="Arial"/>
        </w:rPr>
        <w:t>2.1 Předmětem této smlouvy je převod vlastnického práva k movité věci, a to nové a nepoužité</w:t>
      </w:r>
      <w:r w:rsidR="0079045B" w:rsidRPr="008F3025">
        <w:rPr>
          <w:rFonts w:ascii="Arial" w:hAnsi="Arial" w:cs="Arial"/>
        </w:rPr>
        <w:t xml:space="preserve"> klimatizační jednotky</w:t>
      </w:r>
      <w:r w:rsidR="003A0084" w:rsidRPr="008F3025">
        <w:rPr>
          <w:rFonts w:ascii="Arial" w:hAnsi="Arial" w:cs="Arial"/>
        </w:rPr>
        <w:t xml:space="preserve"> </w:t>
      </w:r>
      <w:r w:rsidRPr="008F3025">
        <w:rPr>
          <w:rFonts w:ascii="Arial" w:hAnsi="Arial" w:cs="Arial"/>
        </w:rPr>
        <w:t>za podmínek podle této smlouvy</w:t>
      </w:r>
      <w:r w:rsidR="003A0084" w:rsidRPr="008F3025">
        <w:rPr>
          <w:rFonts w:ascii="Arial" w:hAnsi="Arial" w:cs="Arial"/>
        </w:rPr>
        <w:t>.</w:t>
      </w:r>
    </w:p>
    <w:p w:rsidR="00924B55" w:rsidRPr="008F3025" w:rsidRDefault="00924B55" w:rsidP="00924B55">
      <w:pPr>
        <w:ind w:left="360" w:hanging="360"/>
        <w:jc w:val="both"/>
        <w:rPr>
          <w:rFonts w:ascii="Arial" w:hAnsi="Arial" w:cs="Arial"/>
          <w:sz w:val="22"/>
        </w:rPr>
      </w:pPr>
      <w:r w:rsidRPr="008F3025">
        <w:rPr>
          <w:rFonts w:ascii="Arial" w:hAnsi="Arial" w:cs="Arial"/>
          <w:sz w:val="22"/>
        </w:rPr>
        <w:t xml:space="preserve"> </w:t>
      </w:r>
      <w:r w:rsidRPr="008F3025">
        <w:rPr>
          <w:rFonts w:ascii="Arial" w:hAnsi="Arial" w:cs="Arial"/>
          <w:sz w:val="22"/>
        </w:rPr>
        <w:tab/>
        <w:t xml:space="preserve">(dále jen předmět této smlouvy) </w:t>
      </w:r>
    </w:p>
    <w:p w:rsidR="00924B55" w:rsidRPr="008F3025" w:rsidRDefault="00924B55" w:rsidP="00924B55">
      <w:pPr>
        <w:spacing w:line="120" w:lineRule="auto"/>
        <w:jc w:val="both"/>
        <w:rPr>
          <w:rFonts w:ascii="Arial" w:hAnsi="Arial" w:cs="Arial"/>
          <w:sz w:val="22"/>
        </w:rPr>
      </w:pPr>
      <w:r w:rsidRPr="008F3025">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84"/>
        <w:gridCol w:w="3070"/>
      </w:tblGrid>
      <w:tr w:rsidR="008F3025" w:rsidRPr="008F3025" w:rsidTr="000E418E">
        <w:tc>
          <w:tcPr>
            <w:tcW w:w="3118" w:type="dxa"/>
          </w:tcPr>
          <w:p w:rsidR="00924B55" w:rsidRPr="008F3025" w:rsidRDefault="00924B55" w:rsidP="00761B30">
            <w:pPr>
              <w:jc w:val="both"/>
              <w:rPr>
                <w:rFonts w:ascii="Arial" w:hAnsi="Arial" w:cs="Arial"/>
                <w:sz w:val="22"/>
                <w:szCs w:val="22"/>
              </w:rPr>
            </w:pPr>
            <w:r w:rsidRPr="008F3025">
              <w:rPr>
                <w:rFonts w:ascii="Arial" w:hAnsi="Arial" w:cs="Arial"/>
                <w:sz w:val="22"/>
                <w:szCs w:val="22"/>
              </w:rPr>
              <w:t>Typ/model:</w:t>
            </w:r>
          </w:p>
        </w:tc>
        <w:tc>
          <w:tcPr>
            <w:tcW w:w="284" w:type="dxa"/>
          </w:tcPr>
          <w:p w:rsidR="00924B55" w:rsidRPr="008F3025" w:rsidRDefault="00924B55" w:rsidP="00761B30">
            <w:pPr>
              <w:jc w:val="both"/>
              <w:rPr>
                <w:rFonts w:ascii="Arial" w:hAnsi="Arial" w:cs="Arial"/>
                <w:sz w:val="22"/>
                <w:szCs w:val="22"/>
              </w:rPr>
            </w:pPr>
          </w:p>
        </w:tc>
        <w:tc>
          <w:tcPr>
            <w:tcW w:w="3070" w:type="dxa"/>
          </w:tcPr>
          <w:p w:rsidR="00924B55" w:rsidRPr="008F3025" w:rsidRDefault="00924B55" w:rsidP="00761B30">
            <w:pPr>
              <w:jc w:val="both"/>
              <w:rPr>
                <w:rFonts w:ascii="Arial" w:hAnsi="Arial" w:cs="Arial"/>
                <w:sz w:val="22"/>
                <w:szCs w:val="22"/>
              </w:rPr>
            </w:pPr>
            <w:r w:rsidRPr="008F3025">
              <w:rPr>
                <w:rFonts w:ascii="Arial" w:hAnsi="Arial" w:cs="Arial"/>
                <w:sz w:val="22"/>
                <w:szCs w:val="22"/>
              </w:rPr>
              <w:t>Typ motoru/výkon:</w:t>
            </w:r>
            <w:r w:rsidRPr="008F3025">
              <w:rPr>
                <w:rFonts w:ascii="Arial" w:hAnsi="Arial" w:cs="Arial"/>
                <w:sz w:val="22"/>
                <w:szCs w:val="22"/>
              </w:rPr>
              <w:tab/>
            </w:r>
          </w:p>
        </w:tc>
      </w:tr>
      <w:tr w:rsidR="00924B55" w:rsidRPr="008F3025" w:rsidTr="000E418E">
        <w:tc>
          <w:tcPr>
            <w:tcW w:w="3118" w:type="dxa"/>
          </w:tcPr>
          <w:p w:rsidR="00924B55" w:rsidRPr="008F3025" w:rsidRDefault="00235C76" w:rsidP="00761B30">
            <w:pPr>
              <w:jc w:val="both"/>
              <w:rPr>
                <w:rFonts w:ascii="Arial" w:hAnsi="Arial" w:cs="Arial"/>
                <w:sz w:val="22"/>
                <w:szCs w:val="22"/>
              </w:rPr>
            </w:pPr>
            <w:r w:rsidRPr="008F3025">
              <w:rPr>
                <w:rFonts w:ascii="Arial" w:hAnsi="Arial" w:cs="Arial"/>
                <w:sz w:val="22"/>
                <w:szCs w:val="22"/>
              </w:rPr>
              <w:t>RAV-RM801KRTP-E</w:t>
            </w:r>
          </w:p>
          <w:p w:rsidR="008F3025" w:rsidRPr="008F3025" w:rsidRDefault="008F3025" w:rsidP="00761B30">
            <w:pPr>
              <w:jc w:val="both"/>
              <w:rPr>
                <w:rFonts w:ascii="Arial" w:hAnsi="Arial" w:cs="Arial"/>
                <w:b/>
                <w:sz w:val="22"/>
                <w:szCs w:val="22"/>
              </w:rPr>
            </w:pPr>
            <w:r w:rsidRPr="008F3025">
              <w:rPr>
                <w:rFonts w:ascii="Arial" w:hAnsi="Arial" w:cs="Arial"/>
                <w:sz w:val="22"/>
                <w:szCs w:val="22"/>
              </w:rPr>
              <w:t>RAV-GM801ATP-E</w:t>
            </w:r>
          </w:p>
        </w:tc>
        <w:tc>
          <w:tcPr>
            <w:tcW w:w="284" w:type="dxa"/>
          </w:tcPr>
          <w:p w:rsidR="00924B55" w:rsidRPr="008F3025" w:rsidRDefault="00924B55" w:rsidP="00761B30">
            <w:pPr>
              <w:jc w:val="both"/>
              <w:rPr>
                <w:rFonts w:ascii="Arial" w:hAnsi="Arial" w:cs="Arial"/>
                <w:b/>
                <w:sz w:val="22"/>
                <w:szCs w:val="22"/>
              </w:rPr>
            </w:pPr>
          </w:p>
        </w:tc>
        <w:tc>
          <w:tcPr>
            <w:tcW w:w="3070" w:type="dxa"/>
          </w:tcPr>
          <w:p w:rsidR="00924B55" w:rsidRPr="008F3025" w:rsidRDefault="008F3025" w:rsidP="00761B30">
            <w:pPr>
              <w:jc w:val="both"/>
              <w:rPr>
                <w:rFonts w:ascii="Arial" w:hAnsi="Arial" w:cs="Arial"/>
                <w:b/>
                <w:sz w:val="22"/>
                <w:szCs w:val="22"/>
              </w:rPr>
            </w:pPr>
            <w:r w:rsidRPr="008F3025">
              <w:rPr>
                <w:rFonts w:ascii="Arial" w:hAnsi="Arial" w:cs="Arial"/>
                <w:b/>
                <w:sz w:val="22"/>
                <w:szCs w:val="22"/>
              </w:rPr>
              <w:t>6,7 kW</w:t>
            </w:r>
          </w:p>
        </w:tc>
      </w:tr>
    </w:tbl>
    <w:p w:rsidR="00924B55" w:rsidRPr="008F3025" w:rsidRDefault="00924B55" w:rsidP="00924B55">
      <w:pPr>
        <w:spacing w:line="120" w:lineRule="auto"/>
        <w:jc w:val="both"/>
        <w:rPr>
          <w:rFonts w:ascii="Arial" w:hAnsi="Arial" w:cs="Arial"/>
          <w:b/>
          <w:sz w:val="22"/>
        </w:rPr>
      </w:pPr>
    </w:p>
    <w:p w:rsidR="00924B55" w:rsidRPr="008F3025" w:rsidRDefault="00924B55" w:rsidP="00924B55">
      <w:pPr>
        <w:numPr>
          <w:ilvl w:val="1"/>
          <w:numId w:val="14"/>
        </w:numPr>
        <w:jc w:val="both"/>
        <w:rPr>
          <w:rFonts w:ascii="Arial" w:hAnsi="Arial" w:cs="Arial"/>
          <w:sz w:val="22"/>
        </w:rPr>
      </w:pPr>
      <w:r w:rsidRPr="008F3025">
        <w:rPr>
          <w:rFonts w:ascii="Arial" w:hAnsi="Arial" w:cs="Arial"/>
          <w:sz w:val="22"/>
        </w:rPr>
        <w:t>Podrobná specifikace</w:t>
      </w:r>
      <w:r w:rsidR="0079045B" w:rsidRPr="008F3025">
        <w:rPr>
          <w:rFonts w:ascii="Arial" w:hAnsi="Arial" w:cs="Arial"/>
          <w:sz w:val="22"/>
        </w:rPr>
        <w:t xml:space="preserve"> 1</w:t>
      </w:r>
      <w:r w:rsidR="003A0084" w:rsidRPr="008F3025">
        <w:rPr>
          <w:rFonts w:ascii="Arial" w:hAnsi="Arial" w:cs="Arial"/>
          <w:sz w:val="22"/>
        </w:rPr>
        <w:t xml:space="preserve"> ks</w:t>
      </w:r>
      <w:r w:rsidR="0079045B" w:rsidRPr="008F3025">
        <w:rPr>
          <w:rFonts w:ascii="Arial" w:hAnsi="Arial" w:cs="Arial"/>
          <w:sz w:val="22"/>
        </w:rPr>
        <w:t xml:space="preserve"> klimatizační jednotky</w:t>
      </w:r>
      <w:r w:rsidRPr="008F3025">
        <w:rPr>
          <w:rFonts w:ascii="Arial" w:hAnsi="Arial" w:cs="Arial"/>
          <w:sz w:val="22"/>
        </w:rPr>
        <w:t xml:space="preserve"> a příslušenství je uvedena v příloze č. 1 kupní smlouvy – Technická specifikace</w:t>
      </w:r>
      <w:r w:rsidR="0079045B" w:rsidRPr="008F3025">
        <w:rPr>
          <w:rFonts w:ascii="Arial" w:hAnsi="Arial" w:cs="Arial"/>
          <w:sz w:val="22"/>
        </w:rPr>
        <w:t xml:space="preserve"> a cenová skladba</w:t>
      </w:r>
      <w:r w:rsidRPr="008F3025">
        <w:rPr>
          <w:rFonts w:ascii="Arial" w:hAnsi="Arial" w:cs="Arial"/>
          <w:sz w:val="22"/>
        </w:rPr>
        <w:t xml:space="preserve">. </w:t>
      </w:r>
    </w:p>
    <w:p w:rsidR="00924B55" w:rsidRDefault="00924B55" w:rsidP="00924B55">
      <w:pPr>
        <w:rPr>
          <w:rFonts w:ascii="Arial" w:hAnsi="Arial" w:cs="Arial"/>
          <w:b/>
          <w:sz w:val="22"/>
          <w:u w:val="single"/>
        </w:rPr>
      </w:pPr>
    </w:p>
    <w:p w:rsidR="000E418E" w:rsidRPr="008F3025" w:rsidRDefault="000E418E" w:rsidP="00924B55">
      <w:pPr>
        <w:rPr>
          <w:rFonts w:ascii="Arial" w:hAnsi="Arial" w:cs="Arial"/>
          <w:b/>
          <w:sz w:val="22"/>
          <w:u w:val="single"/>
        </w:rPr>
      </w:pPr>
    </w:p>
    <w:p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rsidR="00924B55" w:rsidRPr="008F3025" w:rsidRDefault="00924B55" w:rsidP="00924B55">
      <w:pPr>
        <w:spacing w:line="120" w:lineRule="auto"/>
        <w:rPr>
          <w:rFonts w:ascii="Arial" w:hAnsi="Arial" w:cs="Arial"/>
          <w:sz w:val="22"/>
        </w:rPr>
      </w:pPr>
    </w:p>
    <w:p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rsidR="00924B55" w:rsidRPr="008F3025" w:rsidRDefault="00924B55" w:rsidP="00924B55">
      <w:pPr>
        <w:spacing w:line="120" w:lineRule="auto"/>
        <w:jc w:val="both"/>
        <w:rPr>
          <w:rFonts w:ascii="Arial" w:hAnsi="Arial" w:cs="Arial"/>
          <w:sz w:val="22"/>
        </w:rPr>
      </w:pPr>
    </w:p>
    <w:p w:rsidR="00924B55" w:rsidRPr="008F3025"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t xml:space="preserve">Kupní cena za předmět této smlouvy včetně výbavy uvedené v příloze této </w:t>
      </w:r>
      <w:proofErr w:type="gramStart"/>
      <w:r w:rsidRPr="008F3025">
        <w:rPr>
          <w:rFonts w:ascii="Arial" w:hAnsi="Arial" w:cs="Arial"/>
          <w:sz w:val="22"/>
        </w:rPr>
        <w:t>smlouvy</w:t>
      </w:r>
      <w:r w:rsidR="000E418E">
        <w:rPr>
          <w:rFonts w:ascii="Arial" w:hAnsi="Arial" w:cs="Arial"/>
          <w:sz w:val="22"/>
        </w:rPr>
        <w:t xml:space="preserve">  </w:t>
      </w:r>
      <w:r w:rsidR="00434DB4">
        <w:rPr>
          <w:rFonts w:ascii="Arial" w:hAnsi="Arial" w:cs="Arial"/>
          <w:sz w:val="22"/>
        </w:rPr>
        <w:t xml:space="preserve"> </w:t>
      </w:r>
      <w:r w:rsidR="000E418E">
        <w:rPr>
          <w:rFonts w:ascii="Arial" w:hAnsi="Arial" w:cs="Arial"/>
          <w:sz w:val="22"/>
        </w:rPr>
        <w:t xml:space="preserve">          </w:t>
      </w:r>
      <w:r w:rsidRPr="008F3025">
        <w:rPr>
          <w:rFonts w:ascii="Arial" w:hAnsi="Arial" w:cs="Arial"/>
          <w:sz w:val="22"/>
        </w:rPr>
        <w:t xml:space="preserve">   činí</w:t>
      </w:r>
      <w:proofErr w:type="gramEnd"/>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8F3025" w:rsidRPr="008F3025">
        <w:rPr>
          <w:rFonts w:ascii="Arial" w:hAnsi="Arial" w:cs="Arial"/>
          <w:b/>
          <w:sz w:val="22"/>
        </w:rPr>
        <w:t>67 980,99</w:t>
      </w:r>
      <w:r w:rsidRPr="008F3025">
        <w:rPr>
          <w:rFonts w:ascii="Arial" w:hAnsi="Arial" w:cs="Arial"/>
          <w:sz w:val="22"/>
        </w:rPr>
        <w:t xml:space="preserve"> Kč bez DPH, </w:t>
      </w:r>
    </w:p>
    <w:p w:rsidR="00924B55" w:rsidRPr="008F3025" w:rsidRDefault="00924B55" w:rsidP="00924B55">
      <w:pPr>
        <w:ind w:firstLine="426"/>
        <w:jc w:val="both"/>
        <w:rPr>
          <w:rFonts w:ascii="Arial" w:hAnsi="Arial" w:cs="Arial"/>
          <w:sz w:val="22"/>
        </w:rPr>
      </w:pPr>
      <w:r w:rsidRPr="008F3025">
        <w:rPr>
          <w:rFonts w:ascii="Arial" w:hAnsi="Arial" w:cs="Arial"/>
          <w:sz w:val="22"/>
        </w:rPr>
        <w:t>ke kupní ceně bude účtována DPH</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8F3025" w:rsidRPr="008F3025">
        <w:rPr>
          <w:rFonts w:ascii="Arial" w:hAnsi="Arial" w:cs="Arial"/>
          <w:b/>
          <w:sz w:val="22"/>
        </w:rPr>
        <w:t>14 276,01</w:t>
      </w:r>
      <w:r w:rsidRPr="008F3025">
        <w:rPr>
          <w:rFonts w:ascii="Arial" w:hAnsi="Arial" w:cs="Arial"/>
          <w:b/>
          <w:sz w:val="22"/>
        </w:rPr>
        <w:t xml:space="preserve"> </w:t>
      </w:r>
      <w:r w:rsidRPr="008F3025">
        <w:rPr>
          <w:rFonts w:ascii="Arial" w:hAnsi="Arial" w:cs="Arial"/>
          <w:sz w:val="22"/>
        </w:rPr>
        <w:t>Kč,</w:t>
      </w:r>
    </w:p>
    <w:p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8F3025" w:rsidRPr="008F3025">
        <w:rPr>
          <w:rFonts w:ascii="Arial" w:hAnsi="Arial" w:cs="Arial"/>
          <w:b/>
          <w:sz w:val="22"/>
        </w:rPr>
        <w:t>82 257</w:t>
      </w:r>
      <w:r w:rsidRPr="008F3025">
        <w:rPr>
          <w:rFonts w:ascii="Arial" w:hAnsi="Arial" w:cs="Arial"/>
          <w:sz w:val="22"/>
        </w:rPr>
        <w:t xml:space="preserve"> Kč včetně DPH</w:t>
      </w:r>
    </w:p>
    <w:p w:rsidR="00924B55" w:rsidRPr="008F3025" w:rsidRDefault="00924B55" w:rsidP="00924B55">
      <w:pPr>
        <w:ind w:firstLine="426"/>
        <w:jc w:val="both"/>
        <w:rPr>
          <w:rFonts w:ascii="Arial" w:hAnsi="Arial" w:cs="Arial"/>
          <w:sz w:val="22"/>
          <w:szCs w:val="22"/>
        </w:rPr>
      </w:pPr>
    </w:p>
    <w:p w:rsidR="00924B55" w:rsidRPr="008F3025" w:rsidRDefault="00924B55" w:rsidP="00924B55">
      <w:pPr>
        <w:pStyle w:val="Odstavecseseznamem"/>
        <w:numPr>
          <w:ilvl w:val="1"/>
          <w:numId w:val="16"/>
        </w:numPr>
        <w:ind w:left="426" w:hanging="426"/>
        <w:jc w:val="both"/>
        <w:rPr>
          <w:rFonts w:ascii="Arial" w:hAnsi="Arial" w:cs="Arial"/>
          <w:sz w:val="22"/>
          <w:szCs w:val="22"/>
        </w:rPr>
      </w:pPr>
      <w:r w:rsidRPr="008F3025">
        <w:rPr>
          <w:rFonts w:ascii="Arial" w:hAnsi="Arial" w:cs="Arial"/>
          <w:sz w:val="22"/>
          <w:szCs w:val="22"/>
        </w:rPr>
        <w:t xml:space="preserve">Podrobně je cena za předmět této smlouvy, včetně příslušenství a výbavy uvedena v příloze č. </w:t>
      </w:r>
      <w:r w:rsidR="0079045B" w:rsidRPr="008F3025">
        <w:rPr>
          <w:rFonts w:ascii="Arial" w:hAnsi="Arial" w:cs="Arial"/>
          <w:sz w:val="22"/>
          <w:szCs w:val="22"/>
        </w:rPr>
        <w:t>1</w:t>
      </w:r>
      <w:r w:rsidRPr="008F3025">
        <w:rPr>
          <w:rFonts w:ascii="Arial" w:hAnsi="Arial" w:cs="Arial"/>
          <w:sz w:val="22"/>
          <w:szCs w:val="22"/>
        </w:rPr>
        <w:t xml:space="preserve"> této smlouvy – </w:t>
      </w:r>
      <w:r w:rsidR="0079045B" w:rsidRPr="008F3025">
        <w:rPr>
          <w:rFonts w:ascii="Arial" w:hAnsi="Arial" w:cs="Arial"/>
          <w:sz w:val="22"/>
        </w:rPr>
        <w:t>Technická specifikace a cenová skladba</w:t>
      </w:r>
      <w:r w:rsidRPr="008F3025">
        <w:rPr>
          <w:rFonts w:ascii="Arial" w:hAnsi="Arial" w:cs="Arial"/>
          <w:sz w:val="22"/>
          <w:szCs w:val="22"/>
        </w:rPr>
        <w:t>.</w:t>
      </w:r>
    </w:p>
    <w:p w:rsidR="00924B55" w:rsidRDefault="00924B55" w:rsidP="00620D0E">
      <w:pPr>
        <w:pStyle w:val="Zkladntext"/>
        <w:ind w:left="397" w:hanging="397"/>
        <w:rPr>
          <w:rFonts w:ascii="Arial" w:hAnsi="Arial" w:cs="Arial"/>
        </w:rPr>
      </w:pPr>
    </w:p>
    <w:p w:rsidR="000E418E" w:rsidRPr="008F3025" w:rsidRDefault="000E418E" w:rsidP="00620D0E">
      <w:pPr>
        <w:pStyle w:val="Zkladntext"/>
        <w:ind w:left="397" w:hanging="397"/>
        <w:rPr>
          <w:rFonts w:ascii="Arial" w:hAnsi="Arial" w:cs="Arial"/>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rsidR="00216B13" w:rsidRPr="008F3025" w:rsidRDefault="00216B13" w:rsidP="00216B13">
      <w:pPr>
        <w:spacing w:line="120" w:lineRule="auto"/>
        <w:rPr>
          <w:rFonts w:ascii="Arial" w:hAnsi="Arial" w:cs="Arial"/>
          <w:sz w:val="22"/>
        </w:rPr>
      </w:pPr>
    </w:p>
    <w:p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rsidR="00216B13" w:rsidRPr="008F3025" w:rsidRDefault="00216B13" w:rsidP="00216B13">
      <w:pPr>
        <w:spacing w:line="120" w:lineRule="auto"/>
        <w:rPr>
          <w:rFonts w:ascii="Arial" w:hAnsi="Arial" w:cs="Arial"/>
          <w:sz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9"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rsidR="00E329D4" w:rsidRPr="008F3025" w:rsidRDefault="00E329D4" w:rsidP="00E35E60">
      <w:pPr>
        <w:pStyle w:val="Odstavecseseznamem"/>
        <w:ind w:left="360"/>
        <w:jc w:val="both"/>
        <w:rPr>
          <w:rFonts w:ascii="Arial" w:hAnsi="Arial" w:cs="Arial"/>
          <w:sz w:val="22"/>
          <w:szCs w:val="22"/>
        </w:rPr>
      </w:pPr>
    </w:p>
    <w:p w:rsidR="00E329D4" w:rsidRPr="008F3025" w:rsidRDefault="00E329D4" w:rsidP="00E329D4">
      <w:pPr>
        <w:pStyle w:val="Zkladntext"/>
        <w:ind w:left="426" w:hanging="426"/>
        <w:rPr>
          <w:rFonts w:ascii="Arial" w:hAnsi="Arial" w:cs="Arial"/>
        </w:rPr>
      </w:pPr>
      <w:r w:rsidRPr="008F3025">
        <w:rPr>
          <w:rFonts w:ascii="Arial" w:hAnsi="Arial" w:cs="Arial"/>
          <w:szCs w:val="22"/>
        </w:rPr>
        <w:lastRenderedPageBreak/>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Pr="008F3025" w:rsidRDefault="00216B13" w:rsidP="00216B13">
      <w:pPr>
        <w:pStyle w:val="Zkladntext"/>
        <w:jc w:val="center"/>
        <w:rPr>
          <w:rFonts w:ascii="Arial" w:hAnsi="Arial" w:cs="Arial"/>
          <w:b/>
          <w:u w:val="single"/>
        </w:rPr>
      </w:pPr>
    </w:p>
    <w:p w:rsidR="00216B13" w:rsidRPr="008F3025" w:rsidRDefault="00216B13" w:rsidP="00216B13">
      <w:pPr>
        <w:pStyle w:val="Zkladntext"/>
        <w:jc w:val="center"/>
        <w:rPr>
          <w:rFonts w:ascii="Arial" w:hAnsi="Arial" w:cs="Arial"/>
          <w:b/>
          <w:u w:val="single"/>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rsidR="00216B13" w:rsidRPr="008F3025" w:rsidRDefault="00216B13" w:rsidP="00216B13">
      <w:pPr>
        <w:spacing w:line="120" w:lineRule="auto"/>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Pr="008F3025">
        <w:rPr>
          <w:rFonts w:ascii="Arial" w:hAnsi="Arial" w:cs="Arial"/>
          <w:sz w:val="22"/>
        </w:rPr>
        <w:t xml:space="preserve"> </w:t>
      </w:r>
      <w:r w:rsidR="006F2A21">
        <w:rPr>
          <w:rFonts w:ascii="Arial" w:hAnsi="Arial" w:cs="Arial"/>
          <w:b/>
          <w:sz w:val="22"/>
        </w:rPr>
        <w:t>čtyř týdnů od podepsání smlouvy</w:t>
      </w:r>
      <w:r w:rsidRPr="008F3025">
        <w:rPr>
          <w:rFonts w:ascii="Arial" w:hAnsi="Arial" w:cs="Arial"/>
          <w:sz w:val="22"/>
        </w:rPr>
        <w:t>. Po uplynutí uvedené lhůty má kupující právo odstoupit od smlouvy.</w:t>
      </w:r>
    </w:p>
    <w:p w:rsidR="00216B13" w:rsidRPr="008F3025" w:rsidRDefault="00216B13" w:rsidP="00216B13">
      <w:pPr>
        <w:spacing w:line="120" w:lineRule="auto"/>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rsidR="00216B13" w:rsidRPr="008F3025" w:rsidRDefault="00216B13" w:rsidP="00216B13">
      <w:pPr>
        <w:ind w:left="360"/>
        <w:jc w:val="both"/>
        <w:rPr>
          <w:rFonts w:ascii="Arial" w:hAnsi="Arial" w:cs="Arial"/>
          <w:b/>
          <w:i/>
          <w:sz w:val="22"/>
        </w:rPr>
      </w:pPr>
      <w:r w:rsidRPr="008F3025">
        <w:rPr>
          <w:rFonts w:ascii="Arial" w:hAnsi="Arial" w:cs="Arial"/>
          <w:sz w:val="22"/>
        </w:rPr>
        <w:t xml:space="preserve">Místem předání je </w:t>
      </w:r>
      <w:r w:rsidRPr="008F3025">
        <w:rPr>
          <w:rFonts w:ascii="Arial" w:hAnsi="Arial" w:cs="Arial"/>
          <w:b/>
          <w:sz w:val="22"/>
        </w:rPr>
        <w:t xml:space="preserve">Povodí Ohře, státní podnik, </w:t>
      </w:r>
      <w:r w:rsidR="0079045B" w:rsidRPr="008F3025">
        <w:rPr>
          <w:rFonts w:ascii="Arial" w:hAnsi="Arial" w:cs="Arial"/>
          <w:b/>
          <w:sz w:val="22"/>
        </w:rPr>
        <w:t>PŘ</w:t>
      </w:r>
      <w:r w:rsidR="008C4278" w:rsidRPr="008F3025">
        <w:rPr>
          <w:rFonts w:ascii="Arial" w:hAnsi="Arial" w:cs="Arial"/>
          <w:b/>
          <w:sz w:val="22"/>
        </w:rPr>
        <w:t xml:space="preserve">, </w:t>
      </w:r>
      <w:r w:rsidR="0079045B" w:rsidRPr="008F3025">
        <w:rPr>
          <w:rFonts w:ascii="Arial" w:hAnsi="Arial" w:cs="Arial"/>
          <w:b/>
          <w:sz w:val="22"/>
          <w:szCs w:val="22"/>
        </w:rPr>
        <w:t>Bezručova 4219</w:t>
      </w:r>
      <w:r w:rsidR="0079045B" w:rsidRPr="008F3025">
        <w:rPr>
          <w:rFonts w:ascii="Arial" w:hAnsi="Arial" w:cs="Arial"/>
          <w:b/>
          <w:sz w:val="22"/>
          <w:szCs w:val="22"/>
        </w:rPr>
        <w:br/>
        <w:t xml:space="preserve">430 03 Chomutov. </w:t>
      </w:r>
    </w:p>
    <w:p w:rsidR="00216B13" w:rsidRPr="008F3025" w:rsidRDefault="00216B13" w:rsidP="00216B13">
      <w:pPr>
        <w:ind w:left="360"/>
        <w:jc w:val="both"/>
        <w:rPr>
          <w:rFonts w:ascii="Arial" w:hAnsi="Arial" w:cs="Arial"/>
          <w:b/>
          <w:i/>
          <w:sz w:val="22"/>
        </w:rPr>
      </w:pPr>
    </w:p>
    <w:p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rsidR="003572B8" w:rsidRPr="008F3025" w:rsidRDefault="003572B8" w:rsidP="00216B13">
      <w:pPr>
        <w:autoSpaceDE w:val="0"/>
        <w:autoSpaceDN w:val="0"/>
        <w:adjustRightInd w:val="0"/>
        <w:ind w:left="360"/>
        <w:jc w:val="both"/>
        <w:rPr>
          <w:rFonts w:ascii="Arial" w:hAnsi="Arial" w:cs="Arial"/>
          <w:sz w:val="22"/>
        </w:rPr>
      </w:pPr>
    </w:p>
    <w:p w:rsidR="003572B8" w:rsidRPr="008F3025" w:rsidRDefault="00B4532F" w:rsidP="003572B8">
      <w:pPr>
        <w:autoSpaceDE w:val="0"/>
        <w:autoSpaceDN w:val="0"/>
        <w:adjustRightInd w:val="0"/>
        <w:ind w:left="360"/>
        <w:jc w:val="both"/>
        <w:rPr>
          <w:rFonts w:ascii="Arial" w:hAnsi="Arial" w:cs="Arial"/>
          <w:sz w:val="22"/>
        </w:rPr>
      </w:pPr>
      <w:proofErr w:type="spellStart"/>
      <w:r>
        <w:rPr>
          <w:rFonts w:ascii="Arial" w:hAnsi="Arial" w:cs="Arial"/>
          <w:sz w:val="22"/>
        </w:rPr>
        <w:t>xxxxxxxxxxx</w:t>
      </w:r>
      <w:proofErr w:type="spellEnd"/>
      <w:r w:rsidR="003572B8" w:rsidRPr="008F3025">
        <w:rPr>
          <w:rFonts w:ascii="Arial" w:hAnsi="Arial" w:cs="Arial"/>
          <w:sz w:val="22"/>
        </w:rPr>
        <w:t xml:space="preserve">, </w:t>
      </w:r>
      <w:r w:rsidR="0079045B" w:rsidRPr="008F3025">
        <w:rPr>
          <w:rFonts w:ascii="Arial" w:hAnsi="Arial" w:cs="Arial"/>
          <w:sz w:val="22"/>
        </w:rPr>
        <w:t>vedoucí odboru informatiky</w:t>
      </w:r>
      <w:r w:rsidR="003572B8" w:rsidRPr="008F3025">
        <w:rPr>
          <w:rFonts w:ascii="Arial" w:hAnsi="Arial" w:cs="Arial"/>
          <w:sz w:val="22"/>
        </w:rPr>
        <w:t xml:space="preserve">, e-mail: </w:t>
      </w:r>
      <w:proofErr w:type="spellStart"/>
      <w:r>
        <w:rPr>
          <w:rFonts w:ascii="Arial" w:hAnsi="Arial" w:cs="Arial"/>
          <w:sz w:val="22"/>
        </w:rPr>
        <w:t>xxxxxxxxxxx</w:t>
      </w:r>
      <w:proofErr w:type="spellEnd"/>
      <w:r w:rsidR="003572B8" w:rsidRPr="008F3025">
        <w:rPr>
          <w:rFonts w:ascii="Arial" w:hAnsi="Arial" w:cs="Arial"/>
          <w:sz w:val="22"/>
        </w:rPr>
        <w:t xml:space="preserve">, tel.: </w:t>
      </w:r>
      <w:proofErr w:type="spellStart"/>
      <w:r>
        <w:rPr>
          <w:rFonts w:ascii="Arial" w:hAnsi="Arial" w:cs="Arial"/>
          <w:sz w:val="22"/>
        </w:rPr>
        <w:t>xxxxxxxxxxx</w:t>
      </w:r>
      <w:proofErr w:type="spellEnd"/>
      <w:r w:rsidR="003572B8" w:rsidRPr="008F3025">
        <w:rPr>
          <w:rFonts w:ascii="Arial" w:hAnsi="Arial" w:cs="Arial"/>
          <w:sz w:val="22"/>
        </w:rPr>
        <w:t>.</w:t>
      </w:r>
    </w:p>
    <w:p w:rsidR="003572B8" w:rsidRPr="008F3025" w:rsidRDefault="003572B8" w:rsidP="00216B13">
      <w:pPr>
        <w:autoSpaceDE w:val="0"/>
        <w:autoSpaceDN w:val="0"/>
        <w:adjustRightInd w:val="0"/>
        <w:ind w:left="360"/>
        <w:jc w:val="both"/>
        <w:rPr>
          <w:rFonts w:ascii="Arial" w:hAnsi="Arial" w:cs="Arial"/>
          <w:sz w:val="22"/>
        </w:rPr>
      </w:pPr>
    </w:p>
    <w:p w:rsidR="00216B13" w:rsidRPr="008F3025" w:rsidRDefault="00216B13" w:rsidP="00216B13">
      <w:pPr>
        <w:autoSpaceDE w:val="0"/>
        <w:autoSpaceDN w:val="0"/>
        <w:adjustRightInd w:val="0"/>
        <w:ind w:firstLine="360"/>
        <w:rPr>
          <w:rFonts w:ascii="Arial" w:hAnsi="Arial" w:cs="Arial"/>
          <w:sz w:val="22"/>
        </w:rPr>
      </w:pPr>
      <w:r w:rsidRPr="008F3025">
        <w:rPr>
          <w:rFonts w:ascii="Arial" w:hAnsi="Arial" w:cs="Arial"/>
          <w:sz w:val="22"/>
        </w:rPr>
        <w:t xml:space="preserve">Kontaktní osoba Prodávajícího je </w:t>
      </w:r>
      <w:r w:rsidR="00B4532F">
        <w:rPr>
          <w:rFonts w:ascii="Arial" w:hAnsi="Arial" w:cs="Arial"/>
          <w:sz w:val="22"/>
        </w:rPr>
        <w:t>xxxxxxxxxxx</w:t>
      </w:r>
      <w:bookmarkStart w:id="0" w:name="_GoBack"/>
      <w:bookmarkEnd w:id="0"/>
      <w:r w:rsidR="008F3025" w:rsidRPr="008F3025">
        <w:rPr>
          <w:rFonts w:ascii="Arial" w:hAnsi="Arial" w:cs="Arial"/>
          <w:sz w:val="22"/>
        </w:rPr>
        <w:t>.</w:t>
      </w:r>
    </w:p>
    <w:p w:rsidR="00216B13" w:rsidRPr="008F3025" w:rsidRDefault="00216B13" w:rsidP="00216B13">
      <w:pPr>
        <w:ind w:left="360" w:hanging="360"/>
        <w:jc w:val="both"/>
        <w:rPr>
          <w:rFonts w:ascii="Arial" w:hAnsi="Arial" w:cs="Arial"/>
          <w:sz w:val="22"/>
        </w:rPr>
      </w:pPr>
    </w:p>
    <w:p w:rsidR="00DD59DF" w:rsidRPr="008F3025" w:rsidRDefault="00216B13" w:rsidP="00216B13">
      <w:pPr>
        <w:ind w:left="426" w:hanging="426"/>
        <w:jc w:val="both"/>
        <w:rPr>
          <w:rFonts w:ascii="Arial" w:hAnsi="Arial" w:cs="Arial"/>
          <w:sz w:val="22"/>
        </w:rPr>
      </w:pPr>
      <w:r w:rsidRPr="008F3025">
        <w:rPr>
          <w:rFonts w:ascii="Arial" w:hAnsi="Arial" w:cs="Arial"/>
          <w:sz w:val="22"/>
        </w:rPr>
        <w:t xml:space="preserve">5.3 Převzetí nastane po provedené kontrole dodávky v místě plnění, vyzkoušení funkčnosti a zaškolení obsluhy. Piktogramy a popisy na </w:t>
      </w:r>
      <w:r w:rsidR="0079045B" w:rsidRPr="008F3025">
        <w:rPr>
          <w:rFonts w:ascii="Arial" w:hAnsi="Arial" w:cs="Arial"/>
          <w:sz w:val="22"/>
        </w:rPr>
        <w:t>pří</w:t>
      </w:r>
      <w:r w:rsidRPr="008F3025">
        <w:rPr>
          <w:rFonts w:ascii="Arial" w:hAnsi="Arial" w:cs="Arial"/>
          <w:sz w:val="22"/>
        </w:rPr>
        <w:t xml:space="preserve">stroji musí odpovídat platným normám a být v českém jazyce. </w:t>
      </w:r>
    </w:p>
    <w:p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rsidR="00215516" w:rsidRPr="008F3025" w:rsidRDefault="00215516" w:rsidP="00215516">
      <w:pPr>
        <w:ind w:left="1068"/>
        <w:jc w:val="both"/>
        <w:rPr>
          <w:rFonts w:ascii="Arial" w:hAnsi="Arial" w:cs="Arial"/>
          <w:sz w:val="22"/>
        </w:rPr>
      </w:pPr>
    </w:p>
    <w:p w:rsidR="00216B13" w:rsidRPr="008F3025" w:rsidRDefault="00215516" w:rsidP="00215516">
      <w:pPr>
        <w:ind w:left="426" w:hanging="426"/>
        <w:jc w:val="both"/>
        <w:rPr>
          <w:rFonts w:ascii="Arial" w:hAnsi="Arial" w:cs="Arial"/>
          <w:b/>
          <w:sz w:val="22"/>
        </w:rPr>
      </w:pPr>
      <w:r w:rsidRPr="008F3025">
        <w:rPr>
          <w:rFonts w:ascii="Arial" w:hAnsi="Arial" w:cs="Arial"/>
          <w:sz w:val="22"/>
        </w:rPr>
        <w:t xml:space="preserve">5.4 </w:t>
      </w:r>
      <w:r w:rsidR="000F30AC" w:rsidRPr="008F3025">
        <w:rPr>
          <w:rFonts w:ascii="Arial" w:hAnsi="Arial" w:cs="Arial"/>
          <w:sz w:val="22"/>
        </w:rPr>
        <w:t>P</w:t>
      </w:r>
      <w:r w:rsidR="00216B13" w:rsidRPr="008F3025">
        <w:rPr>
          <w:rFonts w:ascii="Arial" w:hAnsi="Arial" w:cs="Arial"/>
          <w:sz w:val="22"/>
        </w:rPr>
        <w:t xml:space="preserve">rodávající při předání předmětu této smlouvy předá kupujícímu všechny potřebné doklady tj. zejména manuál, záruční list, prohlášení o shodě dle zákona 22/1997 Sb., nebo CE certifikát, veškeré návody nutné k řádnému a bezpečnému užívání předmětu této smlouvy a vybavení předmětu této smlouvy. </w:t>
      </w:r>
      <w:r w:rsidR="00216B13" w:rsidRPr="008F3025">
        <w:rPr>
          <w:rFonts w:ascii="Arial" w:hAnsi="Arial" w:cs="Arial"/>
          <w:b/>
          <w:sz w:val="22"/>
        </w:rPr>
        <w:t>Všechny doklady včetně dokumentace musí být v listinné podobě v českém jazyce a předány i na elektronickém nosiči dat.</w:t>
      </w:r>
    </w:p>
    <w:p w:rsidR="00DD59DF" w:rsidRPr="008F3025" w:rsidRDefault="00DD59DF" w:rsidP="00215516">
      <w:pPr>
        <w:ind w:left="426"/>
        <w:jc w:val="both"/>
        <w:rPr>
          <w:rFonts w:ascii="Arial" w:hAnsi="Arial" w:cs="Arial"/>
          <w:sz w:val="22"/>
        </w:rPr>
      </w:pPr>
    </w:p>
    <w:p w:rsidR="00376954" w:rsidRPr="008F3025" w:rsidRDefault="00D64973" w:rsidP="00215516">
      <w:pPr>
        <w:ind w:left="426"/>
        <w:jc w:val="both"/>
        <w:rPr>
          <w:rFonts w:ascii="Arial" w:hAnsi="Arial" w:cs="Arial"/>
          <w:sz w:val="22"/>
        </w:rPr>
      </w:pPr>
      <w:r w:rsidRPr="008F3025">
        <w:rPr>
          <w:rFonts w:ascii="Arial" w:hAnsi="Arial" w:cs="Arial"/>
          <w:sz w:val="22"/>
        </w:rPr>
        <w:t>Dále prodávající předá k</w:t>
      </w:r>
      <w:r w:rsidR="00376954" w:rsidRPr="008F3025">
        <w:rPr>
          <w:rFonts w:ascii="Arial" w:hAnsi="Arial" w:cs="Arial"/>
          <w:sz w:val="22"/>
        </w:rPr>
        <w:t>líče k předmětu plnění a veškeré povinné vybavení, jež je součástí předmětu plnění.</w:t>
      </w:r>
    </w:p>
    <w:p w:rsidR="00D4217E" w:rsidRPr="008F3025" w:rsidRDefault="00D4217E" w:rsidP="00215516">
      <w:pPr>
        <w:ind w:left="426"/>
        <w:jc w:val="both"/>
        <w:rPr>
          <w:rFonts w:ascii="Arial" w:hAnsi="Arial" w:cs="Arial"/>
          <w:sz w:val="22"/>
        </w:rPr>
      </w:pPr>
    </w:p>
    <w:p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 xml:space="preserve">5.5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8F3025" w:rsidRDefault="00D4217E" w:rsidP="00215516">
      <w:pPr>
        <w:ind w:left="426"/>
        <w:jc w:val="both"/>
        <w:rPr>
          <w:rFonts w:ascii="Arial" w:hAnsi="Arial" w:cs="Arial"/>
          <w:sz w:val="22"/>
        </w:rPr>
      </w:pPr>
    </w:p>
    <w:p w:rsidR="00216B13" w:rsidRPr="008F3025" w:rsidRDefault="00216B13" w:rsidP="00216B13">
      <w:pPr>
        <w:pStyle w:val="Zkladntext"/>
        <w:spacing w:line="120" w:lineRule="auto"/>
        <w:ind w:left="425" w:hanging="68"/>
        <w:rPr>
          <w:rFonts w:ascii="Arial" w:hAnsi="Arial" w:cs="Arial"/>
        </w:rPr>
      </w:pPr>
    </w:p>
    <w:p w:rsidR="00216B13" w:rsidRPr="008F3025" w:rsidRDefault="00216B13" w:rsidP="00216B13">
      <w:pPr>
        <w:spacing w:line="120" w:lineRule="auto"/>
        <w:jc w:val="both"/>
        <w:rPr>
          <w:rFonts w:ascii="Arial" w:hAnsi="Arial" w:cs="Arial"/>
          <w:sz w:val="22"/>
        </w:rPr>
      </w:pPr>
    </w:p>
    <w:p w:rsidR="00216B13" w:rsidRPr="008F3025" w:rsidRDefault="00216B13" w:rsidP="00216B13">
      <w:pPr>
        <w:ind w:left="426" w:hanging="426"/>
        <w:rPr>
          <w:rFonts w:ascii="Arial" w:hAnsi="Arial" w:cs="Arial"/>
          <w:sz w:val="22"/>
        </w:rPr>
      </w:pPr>
      <w:r w:rsidRPr="008F3025">
        <w:rPr>
          <w:rFonts w:ascii="Arial" w:hAnsi="Arial" w:cs="Arial"/>
          <w:sz w:val="22"/>
        </w:rPr>
        <w:t>5.</w:t>
      </w:r>
      <w:r w:rsidR="00A23A1F" w:rsidRPr="008F3025">
        <w:rPr>
          <w:rFonts w:ascii="Arial" w:hAnsi="Arial" w:cs="Arial"/>
          <w:sz w:val="22"/>
        </w:rPr>
        <w:t>6</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lastRenderedPageBreak/>
        <w:t>právo na poskytnutí slevy, odpovídající rozdílu ceny vadného a bezvadného předmětu smlouvy,</w:t>
      </w:r>
    </w:p>
    <w:p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rsidR="00216B13" w:rsidRPr="008F3025" w:rsidRDefault="00216B13" w:rsidP="00216B13">
      <w:pPr>
        <w:ind w:left="426"/>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rsidR="00216B13" w:rsidRPr="008F3025" w:rsidRDefault="00216B13" w:rsidP="00216B13">
      <w:pPr>
        <w:ind w:left="360" w:hanging="360"/>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Default="00216B13" w:rsidP="00216B13">
      <w:pPr>
        <w:ind w:left="360" w:hanging="360"/>
        <w:jc w:val="both"/>
        <w:rPr>
          <w:rFonts w:ascii="Arial" w:hAnsi="Arial" w:cs="Arial"/>
          <w:sz w:val="22"/>
        </w:rPr>
      </w:pPr>
    </w:p>
    <w:p w:rsidR="000E418E" w:rsidRPr="008F3025" w:rsidRDefault="000E418E" w:rsidP="00216B13">
      <w:pPr>
        <w:ind w:left="360" w:hanging="360"/>
        <w:jc w:val="both"/>
        <w:rPr>
          <w:rFonts w:ascii="Arial" w:hAnsi="Arial" w:cs="Arial"/>
          <w:sz w:val="22"/>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rsidR="00216B13" w:rsidRPr="008F3025" w:rsidRDefault="00216B13" w:rsidP="00216B13">
      <w:pPr>
        <w:pStyle w:val="Zkladntext"/>
        <w:rPr>
          <w:rFonts w:ascii="Arial" w:hAnsi="Arial" w:cs="Arial"/>
        </w:rPr>
      </w:pPr>
    </w:p>
    <w:p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rsidR="00216B13" w:rsidRPr="008F3025" w:rsidRDefault="00216B13" w:rsidP="00216B13">
      <w:pPr>
        <w:rPr>
          <w:rFonts w:ascii="Arial" w:hAnsi="Arial" w:cs="Arial"/>
          <w:sz w:val="22"/>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rsidR="00216B13" w:rsidRPr="008F3025" w:rsidRDefault="00216B13" w:rsidP="00216B13">
      <w:pPr>
        <w:jc w:val="both"/>
        <w:rPr>
          <w:rFonts w:ascii="Arial" w:hAnsi="Arial" w:cs="Arial"/>
          <w:sz w:val="22"/>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6.3 Zaplacením smluvní pokuty není dotčeno právo na náhradu škody a to ani v rozsahu převyšujícím smluvní pokutu.</w:t>
      </w:r>
    </w:p>
    <w:p w:rsidR="00216B13" w:rsidRPr="008F3025" w:rsidRDefault="00216B13" w:rsidP="00216B13">
      <w:pPr>
        <w:pStyle w:val="Odstavecseseznamem"/>
        <w:rPr>
          <w:rFonts w:ascii="Arial" w:hAnsi="Arial" w:cs="Arial"/>
          <w:sz w:val="22"/>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rsidR="00216B13" w:rsidRPr="008F3025" w:rsidRDefault="00216B13" w:rsidP="00216B13">
      <w:pPr>
        <w:pStyle w:val="Odstavecseseznamem"/>
        <w:rPr>
          <w:rFonts w:ascii="Arial" w:hAnsi="Arial" w:cs="Arial"/>
          <w:sz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rsidR="00216B13" w:rsidRPr="008F3025" w:rsidRDefault="00216B13" w:rsidP="00216B13">
      <w:pPr>
        <w:pStyle w:val="Odstavecseseznamem"/>
        <w:rPr>
          <w:rFonts w:ascii="Arial" w:hAnsi="Arial" w:cs="Arial"/>
          <w:sz w:val="22"/>
          <w:szCs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rsidR="00216B13" w:rsidRPr="008F3025" w:rsidRDefault="00216B13" w:rsidP="00216B13">
      <w:pPr>
        <w:pStyle w:val="Odstavecseseznamem"/>
        <w:rPr>
          <w:rFonts w:ascii="Arial" w:hAnsi="Arial" w:cs="Arial"/>
          <w:sz w:val="22"/>
          <w:szCs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rsidR="006E7753" w:rsidRPr="008F3025" w:rsidRDefault="006E7753" w:rsidP="00216B13">
      <w:pPr>
        <w:ind w:left="426" w:hanging="426"/>
        <w:jc w:val="both"/>
        <w:rPr>
          <w:rFonts w:ascii="Arial" w:hAnsi="Arial" w:cs="Arial"/>
          <w:sz w:val="22"/>
          <w:szCs w:val="22"/>
        </w:rPr>
      </w:pPr>
    </w:p>
    <w:p w:rsidR="00216B13" w:rsidRPr="008F3025" w:rsidRDefault="00216B13" w:rsidP="00216B13">
      <w:pPr>
        <w:jc w:val="center"/>
        <w:rPr>
          <w:rFonts w:ascii="Arial" w:hAnsi="Arial" w:cs="Arial"/>
          <w:b/>
          <w:sz w:val="22"/>
          <w:u w:val="single"/>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rsidR="00216B13" w:rsidRPr="008F3025" w:rsidRDefault="00216B13" w:rsidP="00216B13">
      <w:pPr>
        <w:spacing w:line="120" w:lineRule="auto"/>
        <w:rPr>
          <w:rFonts w:ascii="Arial" w:hAnsi="Arial" w:cs="Arial"/>
          <w:sz w:val="22"/>
        </w:rPr>
      </w:pPr>
    </w:p>
    <w:p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8F3025" w:rsidRPr="008F3025">
        <w:rPr>
          <w:rFonts w:ascii="Arial" w:hAnsi="Arial" w:cs="Arial"/>
          <w:b/>
          <w:sz w:val="22"/>
        </w:rPr>
        <w:t>36</w:t>
      </w:r>
      <w:r w:rsidRPr="008F3025">
        <w:rPr>
          <w:rFonts w:ascii="Arial" w:hAnsi="Arial" w:cs="Arial"/>
          <w:b/>
          <w:sz w:val="22"/>
        </w:rPr>
        <w:t xml:space="preserve"> měsíců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rsidR="00B70CB9" w:rsidRPr="008F3025" w:rsidRDefault="00B70CB9" w:rsidP="00B70CB9">
      <w:pPr>
        <w:ind w:left="426" w:hanging="426"/>
        <w:jc w:val="both"/>
        <w:rPr>
          <w:rFonts w:ascii="Arial" w:hAnsi="Arial" w:cs="Arial"/>
          <w:sz w:val="22"/>
          <w:szCs w:val="22"/>
        </w:rPr>
      </w:pPr>
    </w:p>
    <w:p w:rsidR="00B70CB9" w:rsidRPr="008F3025"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Pr="008F3025" w:rsidRDefault="008C73D2" w:rsidP="008C73D2">
      <w:pPr>
        <w:spacing w:after="120"/>
        <w:jc w:val="both"/>
        <w:rPr>
          <w:rFonts w:ascii="Arial" w:hAnsi="Arial" w:cs="Arial"/>
          <w:iCs/>
          <w:sz w:val="22"/>
          <w:szCs w:val="22"/>
        </w:rPr>
      </w:pPr>
    </w:p>
    <w:p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lastRenderedPageBreak/>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rsidR="00A05528" w:rsidRPr="008F3025" w:rsidRDefault="00A05528" w:rsidP="00A05528">
      <w:pPr>
        <w:widowControl w:val="0"/>
        <w:rPr>
          <w:rFonts w:ascii="Arial" w:hAnsi="Arial" w:cs="Arial"/>
          <w:sz w:val="22"/>
          <w:szCs w:val="22"/>
        </w:rPr>
      </w:pPr>
    </w:p>
    <w:p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rsidR="00A05528" w:rsidRPr="008F3025" w:rsidRDefault="00A05528" w:rsidP="00A05528">
      <w:pPr>
        <w:widowControl w:val="0"/>
        <w:ind w:left="426" w:hanging="426"/>
        <w:jc w:val="both"/>
        <w:rPr>
          <w:rFonts w:ascii="Arial" w:hAnsi="Arial" w:cs="Arial"/>
          <w:sz w:val="22"/>
        </w:rPr>
      </w:pPr>
    </w:p>
    <w:p w:rsidR="00A05528" w:rsidRPr="008F3025" w:rsidRDefault="0079045B" w:rsidP="00A05528">
      <w:pPr>
        <w:widowControl w:val="0"/>
        <w:ind w:left="426" w:hanging="426"/>
        <w:jc w:val="both"/>
        <w:rPr>
          <w:rFonts w:ascii="Arial" w:hAnsi="Arial" w:cs="Arial"/>
          <w:sz w:val="22"/>
          <w:szCs w:val="22"/>
        </w:rPr>
      </w:pPr>
      <w:proofErr w:type="gramStart"/>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w:t>
      </w:r>
      <w:proofErr w:type="gramEnd"/>
      <w:r w:rsidR="00A05528" w:rsidRPr="008F3025">
        <w:rPr>
          <w:rFonts w:ascii="Arial" w:hAnsi="Arial" w:cs="Arial"/>
          <w:sz w:val="22"/>
          <w:szCs w:val="22"/>
        </w:rPr>
        <w:t xml:space="preserve">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Povodí Ohře, </w:t>
      </w:r>
      <w:proofErr w:type="spellStart"/>
      <w:proofErr w:type="gramStart"/>
      <w:r w:rsidR="00ED23D2" w:rsidRPr="008F3025">
        <w:rPr>
          <w:rFonts w:ascii="Arial" w:hAnsi="Arial" w:cs="Arial"/>
          <w:sz w:val="22"/>
          <w:szCs w:val="22"/>
        </w:rPr>
        <w:t>s.p</w:t>
      </w:r>
      <w:proofErr w:type="spellEnd"/>
      <w:r w:rsidR="00ED23D2" w:rsidRPr="008F3025">
        <w:rPr>
          <w:rFonts w:ascii="Arial" w:hAnsi="Arial" w:cs="Arial"/>
          <w:sz w:val="22"/>
          <w:szCs w:val="22"/>
        </w:rPr>
        <w:t>.</w:t>
      </w:r>
      <w:proofErr w:type="gramEnd"/>
      <w:r w:rsidR="00ED23D2" w:rsidRPr="008F3025">
        <w:rPr>
          <w:rFonts w:ascii="Arial" w:hAnsi="Arial" w:cs="Arial"/>
          <w:sz w:val="22"/>
          <w:szCs w:val="22"/>
        </w:rPr>
        <w:t xml:space="preserve"> (viz </w:t>
      </w:r>
      <w:hyperlink r:id="rId10"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A05528" w:rsidRPr="008F3025" w:rsidRDefault="00A05528" w:rsidP="00A05528">
      <w:pPr>
        <w:widowControl w:val="0"/>
        <w:ind w:left="426" w:hanging="426"/>
        <w:jc w:val="both"/>
        <w:rPr>
          <w:rFonts w:ascii="Arial" w:hAnsi="Arial" w:cs="Arial"/>
          <w:sz w:val="22"/>
          <w:szCs w:val="22"/>
        </w:rPr>
      </w:pPr>
    </w:p>
    <w:p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tabs>
          <w:tab w:val="center" w:pos="4535"/>
        </w:tabs>
        <w:ind w:left="360" w:hanging="360"/>
        <w:jc w:val="center"/>
        <w:rPr>
          <w:rFonts w:ascii="Arial" w:hAnsi="Arial" w:cs="Arial"/>
          <w:b/>
          <w:sz w:val="22"/>
          <w:u w:val="single"/>
        </w:rPr>
      </w:pPr>
    </w:p>
    <w:p w:rsidR="000E418E" w:rsidRPr="008F3025" w:rsidRDefault="000E418E" w:rsidP="00A05528">
      <w:pPr>
        <w:tabs>
          <w:tab w:val="center" w:pos="4535"/>
        </w:tabs>
        <w:ind w:left="360" w:hanging="360"/>
        <w:jc w:val="center"/>
        <w:rPr>
          <w:rFonts w:ascii="Arial" w:hAnsi="Arial" w:cs="Arial"/>
          <w:b/>
          <w:sz w:val="22"/>
          <w:u w:val="single"/>
        </w:rPr>
      </w:pPr>
    </w:p>
    <w:p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rsidR="00A05528" w:rsidRPr="008F3025" w:rsidRDefault="00A05528" w:rsidP="00A05528">
      <w:pPr>
        <w:widowControl w:val="0"/>
        <w:jc w:val="center"/>
        <w:rPr>
          <w:rFonts w:ascii="Arial" w:hAnsi="Arial" w:cs="Arial"/>
          <w:b/>
          <w:bCs/>
          <w:sz w:val="22"/>
          <w:szCs w:val="22"/>
        </w:rPr>
      </w:pPr>
    </w:p>
    <w:p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8F3025">
          <w:rPr>
            <w:rFonts w:ascii="Arial" w:hAnsi="Arial" w:cs="Arial"/>
            <w:sz w:val="22"/>
            <w:szCs w:val="22"/>
          </w:rPr>
          <w:t>http://www.poh.cz/informace-o-zpracovani-osobnich-udaju/d-1369/p1=1459</w:t>
        </w:r>
      </w:hyperlink>
    </w:p>
    <w:p w:rsidR="004575D9" w:rsidRPr="008F3025" w:rsidRDefault="004575D9" w:rsidP="00A05528">
      <w:pPr>
        <w:rPr>
          <w:rFonts w:ascii="Helv" w:hAnsi="Helv" w:cs="Helv"/>
        </w:rPr>
      </w:pPr>
    </w:p>
    <w:p w:rsidR="0079045B" w:rsidRPr="008F3025" w:rsidRDefault="0079045B" w:rsidP="00A05528">
      <w:pPr>
        <w:rPr>
          <w:rFonts w:ascii="Helv" w:hAnsi="Helv" w:cs="Helv"/>
        </w:rPr>
      </w:pPr>
    </w:p>
    <w:p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rsidR="00A05528" w:rsidRPr="008F3025" w:rsidRDefault="00A05528" w:rsidP="00A05528">
      <w:pPr>
        <w:rPr>
          <w:rFonts w:ascii="Arial" w:hAnsi="Arial" w:cs="Arial"/>
          <w:sz w:val="22"/>
        </w:rPr>
      </w:pPr>
    </w:p>
    <w:p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8F3025" w:rsidRDefault="00A05528" w:rsidP="00A05528">
      <w:pPr>
        <w:widowControl w:val="0"/>
        <w:ind w:left="426" w:hanging="426"/>
        <w:jc w:val="both"/>
        <w:rPr>
          <w:rFonts w:ascii="Arial" w:hAnsi="Arial" w:cs="Arial"/>
          <w:bCs/>
          <w:sz w:val="22"/>
          <w:szCs w:val="22"/>
        </w:rPr>
      </w:pPr>
    </w:p>
    <w:p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rsidR="00E65B2C" w:rsidRPr="008F3025" w:rsidRDefault="00E65B2C" w:rsidP="00A05528">
      <w:pPr>
        <w:widowControl w:val="0"/>
        <w:ind w:left="426" w:hanging="426"/>
        <w:jc w:val="both"/>
        <w:rPr>
          <w:rFonts w:ascii="Arial" w:hAnsi="Arial" w:cs="Arial"/>
          <w:bCs/>
          <w:sz w:val="22"/>
          <w:szCs w:val="22"/>
        </w:rPr>
      </w:pPr>
    </w:p>
    <w:p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8F3025" w:rsidRDefault="00A05528" w:rsidP="00A05528">
      <w:pPr>
        <w:widowControl w:val="0"/>
        <w:ind w:left="426" w:hanging="426"/>
        <w:jc w:val="both"/>
        <w:rPr>
          <w:rFonts w:ascii="Arial" w:hAnsi="Arial" w:cs="Arial"/>
          <w:bCs/>
          <w:sz w:val="22"/>
          <w:szCs w:val="22"/>
        </w:rPr>
      </w:pPr>
    </w:p>
    <w:p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w:t>
      </w:r>
      <w:r w:rsidRPr="008F3025">
        <w:rPr>
          <w:rFonts w:ascii="Arial" w:hAnsi="Arial" w:cs="Arial"/>
          <w:bCs/>
          <w:sz w:val="22"/>
          <w:szCs w:val="22"/>
        </w:rPr>
        <w:lastRenderedPageBreak/>
        <w:t xml:space="preserve">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Pr="008F3025" w:rsidRDefault="00A05528" w:rsidP="00A05528">
      <w:pPr>
        <w:widowControl w:val="0"/>
        <w:ind w:left="426" w:hanging="426"/>
        <w:jc w:val="both"/>
        <w:rPr>
          <w:rFonts w:ascii="Arial" w:hAnsi="Arial" w:cs="Arial"/>
          <w:bCs/>
          <w:sz w:val="22"/>
          <w:szCs w:val="22"/>
        </w:rPr>
      </w:pPr>
    </w:p>
    <w:p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Pr="008F3025" w:rsidRDefault="00A05528" w:rsidP="00A05528">
      <w:pPr>
        <w:widowControl w:val="0"/>
        <w:jc w:val="both"/>
        <w:rPr>
          <w:rFonts w:ascii="Arial" w:hAnsi="Arial" w:cs="Arial"/>
          <w:b/>
          <w:sz w:val="22"/>
          <w:szCs w:val="22"/>
        </w:rPr>
      </w:pPr>
    </w:p>
    <w:p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požadovaných k uveřejnění dle zákona č. 340/2015 Sb. o </w:t>
      </w:r>
      <w:r w:rsidRPr="008F3025">
        <w:rPr>
          <w:rFonts w:ascii="Arial" w:hAnsi="Arial" w:cs="Arial"/>
          <w:bCs/>
          <w:iCs/>
          <w:szCs w:val="22"/>
        </w:rPr>
        <w:tab/>
        <w:t xml:space="preserve">registru smluv. Zveřejnění smlouvy a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Pr="008F3025" w:rsidRDefault="00A05528" w:rsidP="00A05528">
      <w:pPr>
        <w:pStyle w:val="Odstavecseseznamem"/>
        <w:rPr>
          <w:rFonts w:ascii="Arial" w:hAnsi="Arial" w:cs="Arial"/>
          <w:szCs w:val="22"/>
        </w:rPr>
      </w:pPr>
    </w:p>
    <w:p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rsidR="00A05528" w:rsidRPr="008F3025" w:rsidRDefault="00A05528" w:rsidP="00A05528">
      <w:pPr>
        <w:pStyle w:val="Odstavecseseznamem"/>
        <w:rPr>
          <w:rFonts w:ascii="Arial" w:hAnsi="Arial" w:cs="Arial"/>
          <w:szCs w:val="22"/>
        </w:rPr>
      </w:pPr>
    </w:p>
    <w:p w:rsidR="00A05528" w:rsidRPr="008F3025" w:rsidRDefault="00A05528" w:rsidP="00A05528">
      <w:pPr>
        <w:pStyle w:val="Odstavecseseznamem"/>
        <w:rPr>
          <w:rFonts w:ascii="Arial" w:hAnsi="Arial" w:cs="Arial"/>
          <w:szCs w:val="22"/>
        </w:rPr>
      </w:pPr>
    </w:p>
    <w:p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rsidR="00A05528" w:rsidRPr="008F3025" w:rsidRDefault="00A05528" w:rsidP="00216B13">
      <w:pPr>
        <w:spacing w:line="120" w:lineRule="auto"/>
        <w:ind w:left="357" w:hanging="357"/>
        <w:jc w:val="both"/>
        <w:rPr>
          <w:rFonts w:ascii="Arial" w:hAnsi="Arial" w:cs="Arial"/>
          <w:sz w:val="22"/>
        </w:rPr>
      </w:pPr>
    </w:p>
    <w:p w:rsidR="00216B13" w:rsidRPr="008F3025" w:rsidRDefault="00216B13" w:rsidP="00216B13">
      <w:pPr>
        <w:rPr>
          <w:rFonts w:ascii="Arial" w:hAnsi="Arial" w:cs="Arial"/>
          <w:b/>
          <w:sz w:val="22"/>
          <w:u w:val="single"/>
        </w:rPr>
      </w:pPr>
    </w:p>
    <w:p w:rsidR="00216B13" w:rsidRPr="008F3025"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8F3025" w:rsidRPr="008F3025" w:rsidTr="00EE6FA2">
        <w:trPr>
          <w:cantSplit/>
        </w:trPr>
        <w:tc>
          <w:tcPr>
            <w:tcW w:w="1330" w:type="dxa"/>
            <w:tcBorders>
              <w:top w:val="nil"/>
              <w:left w:val="nil"/>
              <w:bottom w:val="nil"/>
              <w:right w:val="nil"/>
            </w:tcBorders>
          </w:tcPr>
          <w:p w:rsidR="00216B13" w:rsidRPr="008F3025" w:rsidRDefault="00216B13" w:rsidP="00EE6FA2">
            <w:pPr>
              <w:rPr>
                <w:rFonts w:ascii="Arial" w:hAnsi="Arial" w:cs="Arial"/>
                <w:sz w:val="22"/>
              </w:rPr>
            </w:pPr>
            <w:proofErr w:type="gramStart"/>
            <w:r w:rsidRPr="008F3025">
              <w:rPr>
                <w:rFonts w:ascii="Arial" w:hAnsi="Arial" w:cs="Arial"/>
                <w:sz w:val="22"/>
              </w:rPr>
              <w:t xml:space="preserve">V </w:t>
            </w:r>
            <w:r w:rsidR="008F3025" w:rsidRPr="008F3025">
              <w:rPr>
                <w:rFonts w:ascii="Arial" w:hAnsi="Arial" w:cs="Arial"/>
                <w:sz w:val="22"/>
              </w:rPr>
              <w:t xml:space="preserve">         </w:t>
            </w:r>
            <w:r w:rsidRPr="008F3025">
              <w:rPr>
                <w:rFonts w:ascii="Arial" w:hAnsi="Arial" w:cs="Arial"/>
                <w:sz w:val="22"/>
              </w:rPr>
              <w:t xml:space="preserve"> dne</w:t>
            </w:r>
            <w:proofErr w:type="gramEnd"/>
          </w:p>
        </w:tc>
        <w:tc>
          <w:tcPr>
            <w:tcW w:w="2354" w:type="dxa"/>
            <w:tcBorders>
              <w:top w:val="nil"/>
              <w:left w:val="nil"/>
              <w:bottom w:val="dotted" w:sz="4" w:space="0" w:color="auto"/>
              <w:right w:val="nil"/>
            </w:tcBorders>
          </w:tcPr>
          <w:p w:rsidR="00216B13" w:rsidRPr="008F3025" w:rsidRDefault="00B4532F" w:rsidP="008F3025">
            <w:pPr>
              <w:rPr>
                <w:rFonts w:ascii="Arial" w:hAnsi="Arial" w:cs="Arial"/>
                <w:sz w:val="22"/>
              </w:rPr>
            </w:pPr>
            <w:proofErr w:type="gramStart"/>
            <w:r>
              <w:rPr>
                <w:rFonts w:ascii="Arial" w:hAnsi="Arial" w:cs="Arial"/>
                <w:sz w:val="22"/>
              </w:rPr>
              <w:t>24.04.2019</w:t>
            </w:r>
            <w:proofErr w:type="gramEnd"/>
          </w:p>
        </w:tc>
        <w:tc>
          <w:tcPr>
            <w:tcW w:w="1206" w:type="dxa"/>
            <w:vMerge w:val="restart"/>
            <w:tcBorders>
              <w:top w:val="nil"/>
              <w:left w:val="nil"/>
              <w:bottom w:val="nil"/>
              <w:right w:val="nil"/>
            </w:tcBorders>
          </w:tcPr>
          <w:p w:rsidR="00216B13" w:rsidRPr="008F3025" w:rsidRDefault="00216B13" w:rsidP="00EE6FA2">
            <w:pPr>
              <w:rPr>
                <w:rFonts w:ascii="Arial" w:hAnsi="Arial" w:cs="Arial"/>
                <w:sz w:val="22"/>
              </w:rPr>
            </w:pPr>
          </w:p>
        </w:tc>
        <w:tc>
          <w:tcPr>
            <w:tcW w:w="2020" w:type="dxa"/>
            <w:tcBorders>
              <w:top w:val="nil"/>
              <w:left w:val="nil"/>
              <w:bottom w:val="nil"/>
              <w:right w:val="nil"/>
            </w:tcBorders>
          </w:tcPr>
          <w:p w:rsidR="00216B13" w:rsidRPr="008F3025" w:rsidRDefault="00216B13" w:rsidP="00EE6FA2">
            <w:pPr>
              <w:rPr>
                <w:rFonts w:ascii="Arial" w:hAnsi="Arial" w:cs="Arial"/>
                <w:sz w:val="22"/>
              </w:rPr>
            </w:pPr>
            <w:r w:rsidRPr="008F3025">
              <w:rPr>
                <w:rFonts w:ascii="Arial" w:hAnsi="Arial" w:cs="Arial"/>
                <w:sz w:val="22"/>
              </w:rPr>
              <w:t>V Chomutově dne</w:t>
            </w:r>
          </w:p>
        </w:tc>
        <w:tc>
          <w:tcPr>
            <w:tcW w:w="2300" w:type="dxa"/>
            <w:tcBorders>
              <w:top w:val="nil"/>
              <w:left w:val="nil"/>
              <w:bottom w:val="dotted" w:sz="4" w:space="0" w:color="auto"/>
              <w:right w:val="nil"/>
            </w:tcBorders>
          </w:tcPr>
          <w:p w:rsidR="00216B13" w:rsidRPr="008F3025" w:rsidRDefault="00B4532F" w:rsidP="00EE6FA2">
            <w:pPr>
              <w:rPr>
                <w:rFonts w:ascii="Arial" w:hAnsi="Arial" w:cs="Arial"/>
                <w:sz w:val="22"/>
              </w:rPr>
            </w:pPr>
            <w:proofErr w:type="gramStart"/>
            <w:r>
              <w:rPr>
                <w:rFonts w:ascii="Arial" w:hAnsi="Arial" w:cs="Arial"/>
                <w:sz w:val="22"/>
              </w:rPr>
              <w:t>30.04.2019</w:t>
            </w:r>
            <w:proofErr w:type="gramEnd"/>
          </w:p>
        </w:tc>
      </w:tr>
      <w:tr w:rsidR="008F3025" w:rsidRPr="008F3025" w:rsidTr="00EE6FA2">
        <w:trPr>
          <w:cantSplit/>
          <w:trHeight w:val="501"/>
        </w:trPr>
        <w:tc>
          <w:tcPr>
            <w:tcW w:w="3684" w:type="dxa"/>
            <w:gridSpan w:val="2"/>
            <w:tcBorders>
              <w:top w:val="nil"/>
              <w:left w:val="nil"/>
              <w:bottom w:val="nil"/>
              <w:right w:val="nil"/>
            </w:tcBorders>
          </w:tcPr>
          <w:p w:rsidR="00216B13" w:rsidRPr="008F3025" w:rsidRDefault="00216B13" w:rsidP="00EE6FA2">
            <w:pPr>
              <w:rPr>
                <w:rFonts w:ascii="Arial" w:hAnsi="Arial" w:cs="Arial"/>
                <w:sz w:val="22"/>
              </w:rPr>
            </w:pPr>
            <w:r w:rsidRPr="008F3025">
              <w:rPr>
                <w:rFonts w:ascii="Arial" w:hAnsi="Arial" w:cs="Arial"/>
                <w:sz w:val="22"/>
              </w:rPr>
              <w:t>za Prodávajícího:</w:t>
            </w:r>
          </w:p>
        </w:tc>
        <w:tc>
          <w:tcPr>
            <w:tcW w:w="1206"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rsidR="00216B13" w:rsidRPr="008F3025" w:rsidRDefault="00216B13" w:rsidP="00EE6FA2">
            <w:pPr>
              <w:rPr>
                <w:rFonts w:ascii="Arial" w:hAnsi="Arial" w:cs="Arial"/>
                <w:sz w:val="22"/>
              </w:rPr>
            </w:pPr>
            <w:r w:rsidRPr="008F3025">
              <w:rPr>
                <w:rFonts w:ascii="Arial" w:hAnsi="Arial" w:cs="Arial"/>
                <w:sz w:val="22"/>
              </w:rPr>
              <w:t>za Kupujícího:</w:t>
            </w:r>
          </w:p>
        </w:tc>
      </w:tr>
      <w:tr w:rsidR="008F3025" w:rsidRPr="008F3025" w:rsidTr="00EE6FA2">
        <w:trPr>
          <w:cantSplit/>
          <w:trHeight w:val="645"/>
        </w:trPr>
        <w:tc>
          <w:tcPr>
            <w:tcW w:w="3684" w:type="dxa"/>
            <w:gridSpan w:val="2"/>
            <w:tcBorders>
              <w:top w:val="nil"/>
              <w:left w:val="nil"/>
              <w:bottom w:val="dotted" w:sz="4" w:space="0" w:color="auto"/>
              <w:right w:val="nil"/>
            </w:tcBorders>
          </w:tcPr>
          <w:p w:rsidR="00216B13" w:rsidRPr="008F3025" w:rsidRDefault="00216B13" w:rsidP="00EE6FA2">
            <w:pPr>
              <w:rPr>
                <w:rFonts w:ascii="Arial" w:hAnsi="Arial" w:cs="Arial"/>
                <w:sz w:val="22"/>
              </w:rPr>
            </w:pPr>
          </w:p>
        </w:tc>
        <w:tc>
          <w:tcPr>
            <w:tcW w:w="1206"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tc>
      </w:tr>
      <w:tr w:rsidR="008F3025" w:rsidRPr="008F3025" w:rsidTr="00EE6FA2">
        <w:trPr>
          <w:cantSplit/>
        </w:trPr>
        <w:tc>
          <w:tcPr>
            <w:tcW w:w="3684" w:type="dxa"/>
            <w:gridSpan w:val="2"/>
            <w:tcBorders>
              <w:top w:val="nil"/>
              <w:left w:val="nil"/>
              <w:bottom w:val="nil"/>
              <w:right w:val="nil"/>
            </w:tcBorders>
          </w:tcPr>
          <w:p w:rsidR="00216B13" w:rsidRPr="008F3025" w:rsidRDefault="008F3025" w:rsidP="00EE6FA2">
            <w:pPr>
              <w:jc w:val="center"/>
              <w:rPr>
                <w:rFonts w:ascii="Arial" w:hAnsi="Arial" w:cs="Arial"/>
                <w:sz w:val="22"/>
              </w:rPr>
            </w:pPr>
            <w:proofErr w:type="spellStart"/>
            <w:r w:rsidRPr="008F3025">
              <w:rPr>
                <w:rFonts w:ascii="Arial" w:hAnsi="Arial" w:cs="Arial"/>
                <w:sz w:val="22"/>
              </w:rPr>
              <w:t>Ekoservis</w:t>
            </w:r>
            <w:proofErr w:type="spellEnd"/>
            <w:r w:rsidRPr="008F3025">
              <w:rPr>
                <w:rFonts w:ascii="Arial" w:hAnsi="Arial" w:cs="Arial"/>
                <w:sz w:val="22"/>
              </w:rPr>
              <w:t xml:space="preserve"> Chomutov s.r.o.</w:t>
            </w:r>
          </w:p>
        </w:tc>
        <w:tc>
          <w:tcPr>
            <w:tcW w:w="1206"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rsidR="00216B13" w:rsidRPr="008F3025" w:rsidRDefault="00216B13" w:rsidP="00EE6FA2">
            <w:pPr>
              <w:jc w:val="center"/>
              <w:rPr>
                <w:rFonts w:ascii="Arial" w:hAnsi="Arial" w:cs="Arial"/>
                <w:sz w:val="22"/>
              </w:rPr>
            </w:pPr>
            <w:r w:rsidRPr="008F3025">
              <w:rPr>
                <w:rFonts w:ascii="Arial" w:hAnsi="Arial" w:cs="Arial"/>
                <w:sz w:val="22"/>
              </w:rPr>
              <w:t>Povodí Ohře, státní podnik</w:t>
            </w:r>
          </w:p>
        </w:tc>
      </w:tr>
      <w:tr w:rsidR="008F3025" w:rsidRPr="008F3025" w:rsidTr="00EE6FA2">
        <w:trPr>
          <w:cantSplit/>
        </w:trPr>
        <w:tc>
          <w:tcPr>
            <w:tcW w:w="3684" w:type="dxa"/>
            <w:gridSpan w:val="2"/>
            <w:tcBorders>
              <w:top w:val="nil"/>
              <w:left w:val="nil"/>
              <w:bottom w:val="nil"/>
              <w:right w:val="nil"/>
            </w:tcBorders>
          </w:tcPr>
          <w:p w:rsidR="00216B13" w:rsidRPr="008F3025" w:rsidRDefault="008F3025" w:rsidP="00EE6FA2">
            <w:pPr>
              <w:jc w:val="center"/>
              <w:rPr>
                <w:rFonts w:ascii="Arial" w:hAnsi="Arial" w:cs="Arial"/>
                <w:sz w:val="22"/>
              </w:rPr>
            </w:pPr>
            <w:r w:rsidRPr="008F3025">
              <w:rPr>
                <w:rFonts w:ascii="Arial" w:hAnsi="Arial" w:cs="Arial"/>
                <w:sz w:val="22"/>
              </w:rPr>
              <w:t>Kateřina Duchková</w:t>
            </w:r>
          </w:p>
        </w:tc>
        <w:tc>
          <w:tcPr>
            <w:tcW w:w="1206"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rsidR="00216B13" w:rsidRPr="008F3025" w:rsidRDefault="00216B13" w:rsidP="008D65AD">
            <w:pPr>
              <w:jc w:val="center"/>
              <w:rPr>
                <w:rFonts w:ascii="Arial" w:hAnsi="Arial" w:cs="Arial"/>
                <w:sz w:val="22"/>
              </w:rPr>
            </w:pPr>
            <w:r w:rsidRPr="008F3025">
              <w:rPr>
                <w:rFonts w:ascii="Arial" w:hAnsi="Arial" w:cs="Arial"/>
                <w:sz w:val="22"/>
              </w:rPr>
              <w:t xml:space="preserve">Ing. </w:t>
            </w:r>
            <w:r w:rsidR="008D65AD" w:rsidRPr="008F3025">
              <w:rPr>
                <w:rFonts w:ascii="Arial" w:hAnsi="Arial" w:cs="Arial"/>
                <w:sz w:val="22"/>
              </w:rPr>
              <w:t>Radek Jelínek</w:t>
            </w:r>
          </w:p>
        </w:tc>
      </w:tr>
      <w:tr w:rsidR="00216B13" w:rsidRPr="008F3025" w:rsidTr="00EE6FA2">
        <w:trPr>
          <w:cantSplit/>
        </w:trPr>
        <w:tc>
          <w:tcPr>
            <w:tcW w:w="3684" w:type="dxa"/>
            <w:gridSpan w:val="2"/>
            <w:tcBorders>
              <w:top w:val="nil"/>
              <w:left w:val="nil"/>
              <w:bottom w:val="nil"/>
              <w:right w:val="nil"/>
            </w:tcBorders>
          </w:tcPr>
          <w:p w:rsidR="00216B13" w:rsidRPr="008F3025" w:rsidRDefault="008F3025" w:rsidP="00EE6FA2">
            <w:pPr>
              <w:jc w:val="center"/>
              <w:rPr>
                <w:rFonts w:ascii="Arial" w:hAnsi="Arial" w:cs="Arial"/>
                <w:sz w:val="22"/>
              </w:rPr>
            </w:pPr>
            <w:r w:rsidRPr="008F3025">
              <w:rPr>
                <w:rFonts w:ascii="Arial" w:hAnsi="Arial" w:cs="Arial"/>
                <w:sz w:val="22"/>
              </w:rPr>
              <w:t>jednatelka</w:t>
            </w:r>
          </w:p>
        </w:tc>
        <w:tc>
          <w:tcPr>
            <w:tcW w:w="1206"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rsidR="00216B13" w:rsidRPr="008F3025" w:rsidRDefault="00216B13" w:rsidP="00EE6FA2">
            <w:pPr>
              <w:jc w:val="center"/>
              <w:rPr>
                <w:rFonts w:ascii="Arial" w:hAnsi="Arial" w:cs="Arial"/>
                <w:sz w:val="22"/>
              </w:rPr>
            </w:pPr>
            <w:r w:rsidRPr="008F3025">
              <w:rPr>
                <w:rFonts w:ascii="Arial" w:hAnsi="Arial" w:cs="Arial"/>
                <w:sz w:val="22"/>
              </w:rPr>
              <w:t>ekonomický ředitel</w:t>
            </w:r>
          </w:p>
        </w:tc>
      </w:tr>
    </w:tbl>
    <w:p w:rsidR="00216B13" w:rsidRPr="008F3025" w:rsidRDefault="00216B13" w:rsidP="00216B13">
      <w:pPr>
        <w:rPr>
          <w:rFonts w:ascii="Arial" w:hAnsi="Arial" w:cs="Arial"/>
          <w:b/>
          <w:sz w:val="22"/>
        </w:rPr>
      </w:pPr>
    </w:p>
    <w:p w:rsidR="00216B13" w:rsidRPr="008F3025"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8F3025"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8F3025"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8F3025"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8F3025" w:rsidRDefault="00216B13" w:rsidP="00216B13">
      <w:pPr>
        <w:pStyle w:val="Nadpis9"/>
        <w:pageBreakBefore w:val="0"/>
        <w:numPr>
          <w:ilvl w:val="0"/>
          <w:numId w:val="0"/>
        </w:numPr>
        <w:overflowPunct/>
        <w:autoSpaceDE/>
        <w:autoSpaceDN/>
        <w:adjustRightInd/>
        <w:spacing w:before="0" w:after="0"/>
        <w:textAlignment w:val="auto"/>
        <w:rPr>
          <w:rFonts w:cs="Arial"/>
        </w:rPr>
      </w:pPr>
    </w:p>
    <w:p w:rsidR="006F2A21" w:rsidRDefault="006F2A21" w:rsidP="00216B13">
      <w:pPr>
        <w:pStyle w:val="Nadpis9"/>
        <w:pageBreakBefore w:val="0"/>
        <w:numPr>
          <w:ilvl w:val="0"/>
          <w:numId w:val="0"/>
        </w:numPr>
        <w:overflowPunct/>
        <w:autoSpaceDE/>
        <w:autoSpaceDN/>
        <w:adjustRightInd/>
        <w:spacing w:before="0" w:after="0"/>
        <w:textAlignment w:val="auto"/>
        <w:rPr>
          <w:rFonts w:cs="Arial"/>
        </w:rPr>
      </w:pPr>
    </w:p>
    <w:p w:rsidR="006F2A21" w:rsidRDefault="006F2A21" w:rsidP="00216B13">
      <w:pPr>
        <w:pStyle w:val="Nadpis9"/>
        <w:pageBreakBefore w:val="0"/>
        <w:numPr>
          <w:ilvl w:val="0"/>
          <w:numId w:val="0"/>
        </w:numPr>
        <w:overflowPunct/>
        <w:autoSpaceDE/>
        <w:autoSpaceDN/>
        <w:adjustRightInd/>
        <w:spacing w:before="0" w:after="0"/>
        <w:textAlignment w:val="auto"/>
        <w:rPr>
          <w:rFonts w:cs="Arial"/>
        </w:rPr>
      </w:pPr>
    </w:p>
    <w:p w:rsidR="00216B13" w:rsidRPr="008F3025" w:rsidRDefault="00216B13" w:rsidP="00216B13">
      <w:pPr>
        <w:pStyle w:val="Nadpis9"/>
        <w:pageBreakBefore w:val="0"/>
        <w:numPr>
          <w:ilvl w:val="0"/>
          <w:numId w:val="0"/>
        </w:numPr>
        <w:overflowPunct/>
        <w:autoSpaceDE/>
        <w:autoSpaceDN/>
        <w:adjustRightInd/>
        <w:spacing w:before="0" w:after="0"/>
        <w:textAlignment w:val="auto"/>
        <w:rPr>
          <w:rFonts w:cs="Arial"/>
        </w:rPr>
      </w:pPr>
      <w:r w:rsidRPr="008F3025">
        <w:rPr>
          <w:rFonts w:cs="Arial"/>
        </w:rPr>
        <w:t xml:space="preserve">Příloha č. 1 ke Kupní smlouvě </w:t>
      </w:r>
      <w:r w:rsidR="00166276">
        <w:rPr>
          <w:rFonts w:cs="Arial"/>
        </w:rPr>
        <w:t xml:space="preserve">prodávajícího </w:t>
      </w:r>
      <w:r w:rsidRPr="008F3025">
        <w:rPr>
          <w:rFonts w:cs="Arial"/>
        </w:rPr>
        <w:t xml:space="preserve">č. </w:t>
      </w:r>
      <w:r w:rsidR="00166276">
        <w:rPr>
          <w:rFonts w:cs="Arial"/>
        </w:rPr>
        <w:t>123</w:t>
      </w:r>
      <w:r w:rsidRPr="008F3025">
        <w:rPr>
          <w:rFonts w:cs="Arial"/>
        </w:rPr>
        <w:t>/201</w:t>
      </w:r>
      <w:r w:rsidR="00EC384E" w:rsidRPr="008F3025">
        <w:rPr>
          <w:rFonts w:cs="Arial"/>
        </w:rPr>
        <w:t>9</w:t>
      </w:r>
      <w:r w:rsidR="00166276">
        <w:rPr>
          <w:rFonts w:cs="Arial"/>
        </w:rPr>
        <w:t xml:space="preserve"> a kupujícího č. 414/2019</w:t>
      </w:r>
    </w:p>
    <w:p w:rsidR="00216B13" w:rsidRPr="008F3025" w:rsidRDefault="00216B13" w:rsidP="00216B13">
      <w:pPr>
        <w:rPr>
          <w:rFonts w:ascii="Arial" w:hAnsi="Arial" w:cs="Arial"/>
          <w:b/>
          <w:sz w:val="22"/>
        </w:rPr>
      </w:pPr>
    </w:p>
    <w:p w:rsidR="00216B13" w:rsidRPr="008F3025" w:rsidRDefault="00216B13" w:rsidP="00216B13">
      <w:pPr>
        <w:rPr>
          <w:rFonts w:ascii="Arial" w:hAnsi="Arial" w:cs="Arial"/>
          <w:b/>
          <w:sz w:val="22"/>
        </w:rPr>
      </w:pPr>
    </w:p>
    <w:p w:rsidR="00216B13" w:rsidRPr="008F3025" w:rsidRDefault="00216B13" w:rsidP="00216B13">
      <w:pPr>
        <w:jc w:val="center"/>
        <w:rPr>
          <w:rFonts w:ascii="Arial" w:hAnsi="Arial" w:cs="Arial"/>
          <w:b/>
          <w:sz w:val="28"/>
        </w:rPr>
      </w:pPr>
      <w:r w:rsidRPr="008F3025">
        <w:rPr>
          <w:rFonts w:ascii="Arial" w:hAnsi="Arial" w:cs="Arial"/>
          <w:b/>
          <w:sz w:val="28"/>
        </w:rPr>
        <w:t>Technická specifikace</w:t>
      </w:r>
      <w:r w:rsidR="0079045B" w:rsidRPr="008F3025">
        <w:rPr>
          <w:rFonts w:ascii="Arial" w:hAnsi="Arial" w:cs="Arial"/>
          <w:b/>
          <w:sz w:val="28"/>
        </w:rPr>
        <w:t xml:space="preserve"> a cenová skladba</w:t>
      </w:r>
    </w:p>
    <w:p w:rsidR="00216B13" w:rsidRPr="008F3025" w:rsidRDefault="00216B13" w:rsidP="00216B13">
      <w:pPr>
        <w:rPr>
          <w:rFonts w:ascii="Arial" w:hAnsi="Arial" w:cs="Arial"/>
          <w:b/>
          <w:sz w:val="22"/>
        </w:rPr>
      </w:pPr>
    </w:p>
    <w:p w:rsidR="00216B13" w:rsidRPr="008F3025" w:rsidRDefault="00216B13" w:rsidP="00216B13">
      <w:pPr>
        <w:rPr>
          <w:rFonts w:ascii="Arial" w:hAnsi="Arial" w:cs="Arial"/>
          <w:b/>
          <w:sz w:val="22"/>
        </w:rPr>
      </w:pPr>
    </w:p>
    <w:p w:rsidR="00E46E87" w:rsidRPr="008F3025" w:rsidRDefault="00216B13" w:rsidP="0079045B">
      <w:pPr>
        <w:pStyle w:val="Zkladntext2"/>
        <w:jc w:val="center"/>
        <w:rPr>
          <w:rFonts w:cs="Arial"/>
          <w:sz w:val="22"/>
          <w:szCs w:val="22"/>
        </w:rPr>
      </w:pPr>
      <w:r w:rsidRPr="008F3025">
        <w:rPr>
          <w:rFonts w:cs="Arial"/>
          <w:sz w:val="40"/>
        </w:rPr>
        <w:t xml:space="preserve"> </w:t>
      </w:r>
    </w:p>
    <w:p w:rsidR="006F2A21" w:rsidRDefault="006F2A21" w:rsidP="006F2A21">
      <w:pPr>
        <w:textAlignment w:val="baseline"/>
        <w:rPr>
          <w:rFonts w:ascii="Arial" w:hAnsi="Arial" w:cs="Arial"/>
          <w:color w:val="000000"/>
          <w:sz w:val="18"/>
          <w:szCs w:val="18"/>
        </w:rPr>
      </w:pPr>
    </w:p>
    <w:p w:rsidR="006F2A21" w:rsidRDefault="006F2A21" w:rsidP="006F2A21">
      <w:pPr>
        <w:textAlignment w:val="baseline"/>
        <w:rPr>
          <w:rFonts w:ascii="Arial" w:hAnsi="Arial" w:cs="Arial"/>
          <w:color w:val="000000"/>
          <w:sz w:val="18"/>
          <w:szCs w:val="18"/>
        </w:rPr>
      </w:pPr>
    </w:p>
    <w:p w:rsidR="006F2A21" w:rsidRDefault="006F2A21" w:rsidP="006F2A21">
      <w:pPr>
        <w:textAlignment w:val="baseline"/>
        <w:rPr>
          <w:rFonts w:ascii="Arial" w:hAnsi="Arial" w:cs="Arial"/>
          <w:color w:val="000000"/>
          <w:sz w:val="18"/>
          <w:szCs w:val="18"/>
        </w:rPr>
      </w:pPr>
    </w:p>
    <w:p w:rsidR="006F2A21" w:rsidRDefault="006F2A21" w:rsidP="006F2A21">
      <w:pPr>
        <w:jc w:val="center"/>
        <w:textAlignment w:val="baseline"/>
        <w:rPr>
          <w:rFonts w:ascii="Arial" w:hAnsi="Arial" w:cs="Arial"/>
          <w:color w:val="000000"/>
          <w:sz w:val="18"/>
          <w:szCs w:val="18"/>
        </w:rPr>
      </w:pPr>
    </w:p>
    <w:p w:rsidR="006F2A21" w:rsidRPr="006F2A21" w:rsidRDefault="006F2A21" w:rsidP="006F2A21">
      <w:pPr>
        <w:jc w:val="center"/>
        <w:textAlignment w:val="baseline"/>
        <w:rPr>
          <w:rFonts w:ascii="Arial" w:hAnsi="Arial" w:cs="Arial"/>
          <w:color w:val="000000"/>
          <w:sz w:val="18"/>
          <w:szCs w:val="18"/>
        </w:rPr>
      </w:pPr>
      <w:r w:rsidRPr="006F2A21">
        <w:rPr>
          <w:rFonts w:ascii="Arial" w:hAnsi="Arial" w:cs="Arial"/>
          <w:color w:val="000000"/>
          <w:sz w:val="18"/>
          <w:szCs w:val="18"/>
        </w:rPr>
        <w:t>Dodávka a montáž klimatizační jednotky Toshiba</w:t>
      </w:r>
    </w:p>
    <w:tbl>
      <w:tblPr>
        <w:tblW w:w="11333" w:type="dxa"/>
        <w:shd w:val="clear" w:color="auto" w:fill="FFFFFF"/>
        <w:tblCellMar>
          <w:left w:w="0" w:type="dxa"/>
          <w:right w:w="0" w:type="dxa"/>
        </w:tblCellMar>
        <w:tblLook w:val="04A0" w:firstRow="1" w:lastRow="0" w:firstColumn="1" w:lastColumn="0" w:noHBand="0" w:noVBand="1"/>
      </w:tblPr>
      <w:tblGrid>
        <w:gridCol w:w="4461"/>
        <w:gridCol w:w="1156"/>
        <w:gridCol w:w="1089"/>
        <w:gridCol w:w="1201"/>
        <w:gridCol w:w="633"/>
        <w:gridCol w:w="1314"/>
        <w:gridCol w:w="1479"/>
      </w:tblGrid>
      <w:tr w:rsidR="006F2A21" w:rsidRPr="006F2A21" w:rsidTr="006F2A21">
        <w:tc>
          <w:tcPr>
            <w:tcW w:w="4950" w:type="dxa"/>
            <w:tcBorders>
              <w:top w:val="nil"/>
              <w:left w:val="nil"/>
              <w:bottom w:val="single" w:sz="12" w:space="0" w:color="000000"/>
              <w:right w:val="nil"/>
            </w:tcBorders>
            <w:shd w:val="clear" w:color="auto" w:fill="C0C6C6"/>
            <w:tcMar>
              <w:top w:w="0" w:type="dxa"/>
              <w:left w:w="345" w:type="dxa"/>
              <w:bottom w:w="0" w:type="dxa"/>
              <w:right w:w="0" w:type="dxa"/>
            </w:tcMar>
            <w:vAlign w:val="center"/>
            <w:hideMark/>
          </w:tcPr>
          <w:p w:rsidR="006F2A21" w:rsidRPr="006F2A21" w:rsidRDefault="006F2A21" w:rsidP="006F2A21">
            <w:pPr>
              <w:jc w:val="center"/>
              <w:rPr>
                <w:rFonts w:ascii="Arial" w:hAnsi="Arial" w:cs="Arial"/>
                <w:b/>
                <w:bCs/>
                <w:color w:val="5F5F5F"/>
              </w:rPr>
            </w:pPr>
            <w:r w:rsidRPr="006F2A21">
              <w:rPr>
                <w:rFonts w:ascii="Arial" w:hAnsi="Arial" w:cs="Arial"/>
                <w:b/>
                <w:bCs/>
                <w:color w:val="5F5F5F"/>
              </w:rPr>
              <w:t>Název položky a popis</w:t>
            </w:r>
          </w:p>
        </w:tc>
        <w:tc>
          <w:tcPr>
            <w:tcW w:w="0" w:type="auto"/>
            <w:tcBorders>
              <w:top w:val="nil"/>
              <w:left w:val="nil"/>
              <w:bottom w:val="single" w:sz="12" w:space="0" w:color="000000"/>
              <w:right w:val="nil"/>
            </w:tcBorders>
            <w:shd w:val="clear" w:color="auto" w:fill="C0C6C6"/>
            <w:tcMar>
              <w:top w:w="0" w:type="dxa"/>
              <w:left w:w="0" w:type="dxa"/>
              <w:bottom w:w="0" w:type="dxa"/>
              <w:right w:w="300" w:type="dxa"/>
            </w:tcMar>
            <w:vAlign w:val="center"/>
            <w:hideMark/>
          </w:tcPr>
          <w:p w:rsidR="006F2A21" w:rsidRPr="006F2A21" w:rsidRDefault="006F2A21" w:rsidP="006F2A21">
            <w:pPr>
              <w:jc w:val="center"/>
              <w:rPr>
                <w:rFonts w:ascii="Arial" w:hAnsi="Arial" w:cs="Arial"/>
                <w:b/>
                <w:bCs/>
                <w:color w:val="5F5F5F"/>
              </w:rPr>
            </w:pPr>
            <w:r w:rsidRPr="006F2A21">
              <w:rPr>
                <w:rFonts w:ascii="Arial" w:hAnsi="Arial" w:cs="Arial"/>
                <w:b/>
                <w:bCs/>
                <w:color w:val="5F5F5F"/>
              </w:rPr>
              <w:t>Množství</w:t>
            </w:r>
          </w:p>
        </w:tc>
        <w:tc>
          <w:tcPr>
            <w:tcW w:w="825" w:type="dxa"/>
            <w:tcBorders>
              <w:top w:val="nil"/>
              <w:left w:val="nil"/>
              <w:bottom w:val="single" w:sz="12" w:space="0" w:color="000000"/>
              <w:right w:val="nil"/>
            </w:tcBorders>
            <w:shd w:val="clear" w:color="auto" w:fill="C0C6C6"/>
            <w:tcMar>
              <w:top w:w="0" w:type="dxa"/>
              <w:left w:w="105" w:type="dxa"/>
              <w:bottom w:w="0" w:type="dxa"/>
              <w:right w:w="105" w:type="dxa"/>
            </w:tcMar>
            <w:vAlign w:val="center"/>
            <w:hideMark/>
          </w:tcPr>
          <w:p w:rsidR="006F2A21" w:rsidRPr="006F2A21" w:rsidRDefault="006F2A21" w:rsidP="006F2A21">
            <w:pPr>
              <w:jc w:val="center"/>
              <w:rPr>
                <w:rFonts w:ascii="Arial" w:hAnsi="Arial" w:cs="Arial"/>
                <w:b/>
                <w:bCs/>
                <w:color w:val="5F5F5F"/>
              </w:rPr>
            </w:pPr>
            <w:r w:rsidRPr="006F2A21">
              <w:rPr>
                <w:rFonts w:ascii="Arial" w:hAnsi="Arial" w:cs="Arial"/>
                <w:b/>
                <w:bCs/>
                <w:color w:val="5F5F5F"/>
              </w:rPr>
              <w:t>Jednotka</w:t>
            </w:r>
          </w:p>
        </w:tc>
        <w:tc>
          <w:tcPr>
            <w:tcW w:w="930" w:type="dxa"/>
            <w:tcBorders>
              <w:top w:val="nil"/>
              <w:left w:val="nil"/>
              <w:bottom w:val="single" w:sz="12" w:space="0" w:color="000000"/>
              <w:right w:val="nil"/>
            </w:tcBorders>
            <w:shd w:val="clear" w:color="auto" w:fill="C0C6C6"/>
            <w:tcMar>
              <w:top w:w="0" w:type="dxa"/>
              <w:left w:w="0" w:type="dxa"/>
              <w:bottom w:w="0" w:type="dxa"/>
              <w:right w:w="300" w:type="dxa"/>
            </w:tcMar>
            <w:vAlign w:val="center"/>
            <w:hideMark/>
          </w:tcPr>
          <w:p w:rsidR="006F2A21" w:rsidRPr="006F2A21" w:rsidRDefault="006F2A21" w:rsidP="006F2A21">
            <w:pPr>
              <w:jc w:val="center"/>
              <w:rPr>
                <w:rFonts w:ascii="Arial" w:hAnsi="Arial" w:cs="Arial"/>
                <w:b/>
                <w:bCs/>
                <w:color w:val="5F5F5F"/>
              </w:rPr>
            </w:pPr>
            <w:r w:rsidRPr="006F2A21">
              <w:rPr>
                <w:rFonts w:ascii="Arial" w:hAnsi="Arial" w:cs="Arial"/>
                <w:b/>
                <w:bCs/>
                <w:color w:val="5F5F5F"/>
              </w:rPr>
              <w:t>Cena položky bez DPH</w:t>
            </w:r>
          </w:p>
        </w:tc>
        <w:tc>
          <w:tcPr>
            <w:tcW w:w="0" w:type="auto"/>
            <w:tcBorders>
              <w:top w:val="nil"/>
              <w:left w:val="nil"/>
              <w:bottom w:val="single" w:sz="12" w:space="0" w:color="000000"/>
              <w:right w:val="nil"/>
            </w:tcBorders>
            <w:shd w:val="clear" w:color="auto" w:fill="C0C6C6"/>
            <w:tcMar>
              <w:top w:w="0" w:type="dxa"/>
              <w:left w:w="105" w:type="dxa"/>
              <w:bottom w:w="0" w:type="dxa"/>
              <w:right w:w="105" w:type="dxa"/>
            </w:tcMar>
            <w:vAlign w:val="center"/>
            <w:hideMark/>
          </w:tcPr>
          <w:p w:rsidR="006F2A21" w:rsidRPr="006F2A21" w:rsidRDefault="006F2A21" w:rsidP="006F2A21">
            <w:pPr>
              <w:jc w:val="center"/>
              <w:rPr>
                <w:rFonts w:ascii="Arial" w:hAnsi="Arial" w:cs="Arial"/>
                <w:b/>
                <w:bCs/>
                <w:color w:val="5F5F5F"/>
              </w:rPr>
            </w:pPr>
            <w:r w:rsidRPr="006F2A21">
              <w:rPr>
                <w:rFonts w:ascii="Arial" w:hAnsi="Arial" w:cs="Arial"/>
                <w:b/>
                <w:bCs/>
                <w:color w:val="5F5F5F"/>
              </w:rPr>
              <w:t>DPH</w:t>
            </w:r>
          </w:p>
        </w:tc>
        <w:tc>
          <w:tcPr>
            <w:tcW w:w="930" w:type="dxa"/>
            <w:tcBorders>
              <w:top w:val="nil"/>
              <w:left w:val="nil"/>
              <w:bottom w:val="single" w:sz="12" w:space="0" w:color="000000"/>
              <w:right w:val="nil"/>
            </w:tcBorders>
            <w:shd w:val="clear" w:color="auto" w:fill="C0C6C6"/>
            <w:tcMar>
              <w:top w:w="0" w:type="dxa"/>
              <w:left w:w="105" w:type="dxa"/>
              <w:bottom w:w="0" w:type="dxa"/>
              <w:right w:w="105" w:type="dxa"/>
            </w:tcMar>
            <w:vAlign w:val="center"/>
            <w:hideMark/>
          </w:tcPr>
          <w:p w:rsidR="006F2A21" w:rsidRPr="006F2A21" w:rsidRDefault="006F2A21" w:rsidP="006F2A21">
            <w:pPr>
              <w:jc w:val="center"/>
              <w:rPr>
                <w:rFonts w:ascii="Arial" w:hAnsi="Arial" w:cs="Arial"/>
                <w:b/>
                <w:bCs/>
                <w:color w:val="5F5F5F"/>
              </w:rPr>
            </w:pPr>
            <w:r w:rsidRPr="006F2A21">
              <w:rPr>
                <w:rFonts w:ascii="Arial" w:hAnsi="Arial" w:cs="Arial"/>
                <w:b/>
                <w:bCs/>
                <w:color w:val="5F5F5F"/>
              </w:rPr>
              <w:t>Cena položky s DPH</w:t>
            </w:r>
          </w:p>
        </w:tc>
        <w:tc>
          <w:tcPr>
            <w:tcW w:w="1155" w:type="dxa"/>
            <w:tcBorders>
              <w:top w:val="nil"/>
              <w:left w:val="nil"/>
              <w:bottom w:val="single" w:sz="12" w:space="0" w:color="000000"/>
              <w:right w:val="nil"/>
            </w:tcBorders>
            <w:shd w:val="clear" w:color="auto" w:fill="C0C6C6"/>
            <w:tcMar>
              <w:top w:w="0" w:type="dxa"/>
              <w:left w:w="0" w:type="dxa"/>
              <w:bottom w:w="0" w:type="dxa"/>
              <w:right w:w="345" w:type="dxa"/>
            </w:tcMar>
            <w:vAlign w:val="center"/>
            <w:hideMark/>
          </w:tcPr>
          <w:p w:rsidR="006F2A21" w:rsidRPr="006F2A21" w:rsidRDefault="006F2A21" w:rsidP="006F2A21">
            <w:pPr>
              <w:jc w:val="center"/>
              <w:rPr>
                <w:rFonts w:ascii="Arial" w:hAnsi="Arial" w:cs="Arial"/>
                <w:b/>
                <w:bCs/>
                <w:color w:val="5F5F5F"/>
              </w:rPr>
            </w:pPr>
            <w:r w:rsidRPr="006F2A21">
              <w:rPr>
                <w:rFonts w:ascii="Arial" w:hAnsi="Arial" w:cs="Arial"/>
                <w:b/>
                <w:bCs/>
                <w:color w:val="5F5F5F"/>
              </w:rPr>
              <w:t>Celkem s DPH</w:t>
            </w:r>
          </w:p>
        </w:tc>
      </w:tr>
      <w:tr w:rsidR="006F2A21" w:rsidRPr="006F2A21" w:rsidTr="006F2A21">
        <w:trPr>
          <w:trHeight w:val="465"/>
        </w:trPr>
        <w:tc>
          <w:tcPr>
            <w:tcW w:w="0" w:type="auto"/>
            <w:tcBorders>
              <w:top w:val="single" w:sz="6" w:space="0" w:color="D9D9D9"/>
              <w:left w:val="nil"/>
              <w:bottom w:val="nil"/>
              <w:right w:val="nil"/>
            </w:tcBorders>
            <w:shd w:val="clear" w:color="auto" w:fill="auto"/>
            <w:tcMar>
              <w:top w:w="60" w:type="dxa"/>
              <w:left w:w="345" w:type="dxa"/>
              <w:bottom w:w="105" w:type="dxa"/>
              <w:right w:w="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Klimatizační jednotka Toshiba RAV 6,7 kW</w:t>
            </w:r>
          </w:p>
        </w:tc>
        <w:tc>
          <w:tcPr>
            <w:tcW w:w="0" w:type="auto"/>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ks</w:t>
            </w:r>
          </w:p>
        </w:tc>
        <w:tc>
          <w:tcPr>
            <w:tcW w:w="930" w:type="dxa"/>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51 590,00 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21%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62 423,90 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0" w:type="dxa"/>
              <w:left w:w="0" w:type="dxa"/>
              <w:bottom w:w="0" w:type="dxa"/>
              <w:right w:w="345"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62 423,90 </w:t>
            </w:r>
            <w:r w:rsidRPr="006F2A21">
              <w:rPr>
                <w:rFonts w:ascii="Arial" w:hAnsi="Arial" w:cs="Arial"/>
                <w:color w:val="111418"/>
                <w:bdr w:val="none" w:sz="0" w:space="0" w:color="auto" w:frame="1"/>
              </w:rPr>
              <w:t>Kč</w:t>
            </w:r>
          </w:p>
        </w:tc>
      </w:tr>
      <w:tr w:rsidR="006F2A21" w:rsidRPr="006F2A21" w:rsidTr="006F2A21">
        <w:trPr>
          <w:trHeight w:val="465"/>
        </w:trPr>
        <w:tc>
          <w:tcPr>
            <w:tcW w:w="0" w:type="auto"/>
            <w:tcBorders>
              <w:top w:val="single" w:sz="6" w:space="0" w:color="EFEFEF"/>
              <w:left w:val="nil"/>
              <w:bottom w:val="nil"/>
              <w:right w:val="nil"/>
            </w:tcBorders>
            <w:shd w:val="clear" w:color="auto" w:fill="auto"/>
            <w:tcMar>
              <w:top w:w="60" w:type="dxa"/>
              <w:left w:w="345" w:type="dxa"/>
              <w:bottom w:w="105" w:type="dxa"/>
              <w:right w:w="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Sleva 10%</w:t>
            </w:r>
          </w:p>
        </w:tc>
        <w:tc>
          <w:tcPr>
            <w:tcW w:w="0" w:type="auto"/>
            <w:tcBorders>
              <w:top w:val="single" w:sz="6" w:space="0" w:color="EFEFEF"/>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p>
        </w:tc>
        <w:tc>
          <w:tcPr>
            <w:tcW w:w="0" w:type="auto"/>
            <w:tcBorders>
              <w:top w:val="single" w:sz="6" w:space="0" w:color="EFEFEF"/>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pPr>
          </w:p>
        </w:tc>
        <w:tc>
          <w:tcPr>
            <w:tcW w:w="930" w:type="dxa"/>
            <w:tcBorders>
              <w:top w:val="single" w:sz="6" w:space="0" w:color="EFEFEF"/>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-5 159,00 </w:t>
            </w:r>
            <w:r w:rsidRPr="006F2A21">
              <w:rPr>
                <w:rFonts w:ascii="Arial" w:hAnsi="Arial" w:cs="Arial"/>
                <w:color w:val="111418"/>
                <w:bdr w:val="none" w:sz="0" w:space="0" w:color="auto" w:frame="1"/>
              </w:rPr>
              <w:t>Kč</w:t>
            </w:r>
          </w:p>
        </w:tc>
        <w:tc>
          <w:tcPr>
            <w:tcW w:w="0" w:type="auto"/>
            <w:tcBorders>
              <w:top w:val="single" w:sz="6" w:space="0" w:color="EFEFEF"/>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p>
        </w:tc>
        <w:tc>
          <w:tcPr>
            <w:tcW w:w="0" w:type="auto"/>
            <w:tcBorders>
              <w:top w:val="single" w:sz="6" w:space="0" w:color="EFEFEF"/>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-6 242,39 </w:t>
            </w:r>
            <w:r w:rsidRPr="006F2A21">
              <w:rPr>
                <w:rFonts w:ascii="Arial" w:hAnsi="Arial" w:cs="Arial"/>
                <w:color w:val="111418"/>
                <w:bdr w:val="none" w:sz="0" w:space="0" w:color="auto" w:frame="1"/>
              </w:rPr>
              <w:t>Kč</w:t>
            </w:r>
          </w:p>
        </w:tc>
        <w:tc>
          <w:tcPr>
            <w:tcW w:w="0" w:type="auto"/>
            <w:tcBorders>
              <w:top w:val="single" w:sz="6" w:space="0" w:color="EFEFEF"/>
              <w:left w:val="nil"/>
              <w:bottom w:val="nil"/>
              <w:right w:val="nil"/>
            </w:tcBorders>
            <w:shd w:val="clear" w:color="auto" w:fill="auto"/>
            <w:tcMar>
              <w:top w:w="0" w:type="dxa"/>
              <w:left w:w="0" w:type="dxa"/>
              <w:bottom w:w="0" w:type="dxa"/>
              <w:right w:w="345"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-6 242,39 </w:t>
            </w:r>
            <w:r w:rsidRPr="006F2A21">
              <w:rPr>
                <w:rFonts w:ascii="Arial" w:hAnsi="Arial" w:cs="Arial"/>
                <w:color w:val="111418"/>
                <w:bdr w:val="none" w:sz="0" w:space="0" w:color="auto" w:frame="1"/>
              </w:rPr>
              <w:t>Kč</w:t>
            </w:r>
          </w:p>
        </w:tc>
      </w:tr>
      <w:tr w:rsidR="006F2A21" w:rsidRPr="006F2A21" w:rsidTr="006F2A21">
        <w:trPr>
          <w:trHeight w:val="465"/>
        </w:trPr>
        <w:tc>
          <w:tcPr>
            <w:tcW w:w="0" w:type="auto"/>
            <w:tcBorders>
              <w:top w:val="single" w:sz="6" w:space="0" w:color="D9D9D9"/>
              <w:left w:val="nil"/>
              <w:bottom w:val="nil"/>
              <w:right w:val="nil"/>
            </w:tcBorders>
            <w:shd w:val="clear" w:color="auto" w:fill="auto"/>
            <w:tcMar>
              <w:top w:w="60" w:type="dxa"/>
              <w:left w:w="345" w:type="dxa"/>
              <w:bottom w:w="105" w:type="dxa"/>
              <w:right w:w="0" w:type="dxa"/>
            </w:tcMar>
            <w:vAlign w:val="center"/>
            <w:hideMark/>
          </w:tcPr>
          <w:p w:rsidR="006F2A21" w:rsidRPr="006F2A21" w:rsidRDefault="006F2A21" w:rsidP="006F2A21">
            <w:pPr>
              <w:spacing w:line="240" w:lineRule="atLeast"/>
              <w:jc w:val="center"/>
              <w:rPr>
                <w:rFonts w:ascii="Arial" w:hAnsi="Arial" w:cs="Arial"/>
                <w:color w:val="111418"/>
              </w:rPr>
            </w:pPr>
            <w:proofErr w:type="spellStart"/>
            <w:r w:rsidRPr="006F2A21">
              <w:rPr>
                <w:rFonts w:ascii="Arial" w:hAnsi="Arial" w:cs="Arial"/>
                <w:color w:val="111418"/>
              </w:rPr>
              <w:t>Cu</w:t>
            </w:r>
            <w:proofErr w:type="spellEnd"/>
            <w:r w:rsidRPr="006F2A21">
              <w:rPr>
                <w:rFonts w:ascii="Arial" w:hAnsi="Arial" w:cs="Arial"/>
                <w:color w:val="111418"/>
              </w:rPr>
              <w:t xml:space="preserve"> potrubí, lišty, elektroinstalace</w:t>
            </w:r>
          </w:p>
        </w:tc>
        <w:tc>
          <w:tcPr>
            <w:tcW w:w="0" w:type="auto"/>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16</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m</w:t>
            </w:r>
          </w:p>
        </w:tc>
        <w:tc>
          <w:tcPr>
            <w:tcW w:w="930" w:type="dxa"/>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650,00 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21%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786,50 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0" w:type="dxa"/>
              <w:left w:w="0" w:type="dxa"/>
              <w:bottom w:w="0" w:type="dxa"/>
              <w:right w:w="345"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12 584,00 </w:t>
            </w:r>
            <w:r w:rsidRPr="006F2A21">
              <w:rPr>
                <w:rFonts w:ascii="Arial" w:hAnsi="Arial" w:cs="Arial"/>
                <w:color w:val="111418"/>
                <w:bdr w:val="none" w:sz="0" w:space="0" w:color="auto" w:frame="1"/>
              </w:rPr>
              <w:t>Kč</w:t>
            </w:r>
          </w:p>
        </w:tc>
      </w:tr>
      <w:tr w:rsidR="006F2A21" w:rsidRPr="006F2A21" w:rsidTr="006F2A21">
        <w:trPr>
          <w:trHeight w:val="465"/>
        </w:trPr>
        <w:tc>
          <w:tcPr>
            <w:tcW w:w="0" w:type="auto"/>
            <w:tcBorders>
              <w:top w:val="single" w:sz="6" w:space="0" w:color="D9D9D9"/>
              <w:left w:val="nil"/>
              <w:bottom w:val="nil"/>
              <w:right w:val="nil"/>
            </w:tcBorders>
            <w:shd w:val="clear" w:color="auto" w:fill="auto"/>
            <w:tcMar>
              <w:top w:w="60" w:type="dxa"/>
              <w:left w:w="345" w:type="dxa"/>
              <w:bottom w:w="105" w:type="dxa"/>
              <w:right w:w="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Konzole pro venkovní jednotku</w:t>
            </w:r>
          </w:p>
        </w:tc>
        <w:tc>
          <w:tcPr>
            <w:tcW w:w="0" w:type="auto"/>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ks</w:t>
            </w:r>
          </w:p>
        </w:tc>
        <w:tc>
          <w:tcPr>
            <w:tcW w:w="930" w:type="dxa"/>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1 500,00 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21%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1 815,00 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0" w:type="dxa"/>
              <w:left w:w="0" w:type="dxa"/>
              <w:bottom w:w="0" w:type="dxa"/>
              <w:right w:w="345"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1 815,00 </w:t>
            </w:r>
            <w:r w:rsidRPr="006F2A21">
              <w:rPr>
                <w:rFonts w:ascii="Arial" w:hAnsi="Arial" w:cs="Arial"/>
                <w:color w:val="111418"/>
                <w:bdr w:val="none" w:sz="0" w:space="0" w:color="auto" w:frame="1"/>
              </w:rPr>
              <w:t>Kč</w:t>
            </w:r>
          </w:p>
        </w:tc>
      </w:tr>
      <w:tr w:rsidR="006F2A21" w:rsidRPr="006F2A21" w:rsidTr="006F2A21">
        <w:trPr>
          <w:trHeight w:val="465"/>
        </w:trPr>
        <w:tc>
          <w:tcPr>
            <w:tcW w:w="0" w:type="auto"/>
            <w:tcBorders>
              <w:top w:val="single" w:sz="6" w:space="0" w:color="D9D9D9"/>
              <w:left w:val="nil"/>
              <w:bottom w:val="nil"/>
              <w:right w:val="nil"/>
            </w:tcBorders>
            <w:shd w:val="clear" w:color="auto" w:fill="auto"/>
            <w:tcMar>
              <w:top w:w="60" w:type="dxa"/>
              <w:left w:w="345" w:type="dxa"/>
              <w:bottom w:w="105" w:type="dxa"/>
              <w:right w:w="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Revize chladícího okruhu a založení evidenční knihy</w:t>
            </w:r>
          </w:p>
        </w:tc>
        <w:tc>
          <w:tcPr>
            <w:tcW w:w="0" w:type="auto"/>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ks</w:t>
            </w:r>
          </w:p>
        </w:tc>
        <w:tc>
          <w:tcPr>
            <w:tcW w:w="930" w:type="dxa"/>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1 000,00 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21%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1 210,00 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0" w:type="dxa"/>
              <w:left w:w="0" w:type="dxa"/>
              <w:bottom w:w="0" w:type="dxa"/>
              <w:right w:w="345"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1 210,00 </w:t>
            </w:r>
            <w:r w:rsidRPr="006F2A21">
              <w:rPr>
                <w:rFonts w:ascii="Arial" w:hAnsi="Arial" w:cs="Arial"/>
                <w:color w:val="111418"/>
                <w:bdr w:val="none" w:sz="0" w:space="0" w:color="auto" w:frame="1"/>
              </w:rPr>
              <w:t>Kč</w:t>
            </w:r>
          </w:p>
        </w:tc>
      </w:tr>
      <w:tr w:rsidR="006F2A21" w:rsidRPr="006F2A21" w:rsidTr="006F2A21">
        <w:trPr>
          <w:trHeight w:val="465"/>
        </w:trPr>
        <w:tc>
          <w:tcPr>
            <w:tcW w:w="0" w:type="auto"/>
            <w:tcBorders>
              <w:top w:val="single" w:sz="6" w:space="0" w:color="D9D9D9"/>
              <w:left w:val="nil"/>
              <w:bottom w:val="nil"/>
              <w:right w:val="nil"/>
            </w:tcBorders>
            <w:shd w:val="clear" w:color="auto" w:fill="auto"/>
            <w:tcMar>
              <w:top w:w="60" w:type="dxa"/>
              <w:left w:w="345" w:type="dxa"/>
              <w:bottom w:w="105" w:type="dxa"/>
              <w:right w:w="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Pomocný materiál</w:t>
            </w:r>
          </w:p>
        </w:tc>
        <w:tc>
          <w:tcPr>
            <w:tcW w:w="0" w:type="auto"/>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proofErr w:type="spellStart"/>
            <w:r w:rsidRPr="006F2A21">
              <w:rPr>
                <w:rFonts w:ascii="Arial" w:hAnsi="Arial" w:cs="Arial"/>
                <w:color w:val="111418"/>
              </w:rPr>
              <w:t>kpl</w:t>
            </w:r>
            <w:proofErr w:type="spellEnd"/>
            <w:r w:rsidRPr="006F2A21">
              <w:rPr>
                <w:rFonts w:ascii="Arial" w:hAnsi="Arial" w:cs="Arial"/>
                <w:color w:val="111418"/>
              </w:rPr>
              <w:t>.</w:t>
            </w:r>
          </w:p>
        </w:tc>
        <w:tc>
          <w:tcPr>
            <w:tcW w:w="930" w:type="dxa"/>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500,00 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21%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605,00 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0" w:type="dxa"/>
              <w:left w:w="0" w:type="dxa"/>
              <w:bottom w:w="0" w:type="dxa"/>
              <w:right w:w="345"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605,00 </w:t>
            </w:r>
            <w:r w:rsidRPr="006F2A21">
              <w:rPr>
                <w:rFonts w:ascii="Arial" w:hAnsi="Arial" w:cs="Arial"/>
                <w:color w:val="111418"/>
                <w:bdr w:val="none" w:sz="0" w:space="0" w:color="auto" w:frame="1"/>
              </w:rPr>
              <w:t>Kč</w:t>
            </w:r>
          </w:p>
        </w:tc>
      </w:tr>
      <w:tr w:rsidR="006F2A21" w:rsidRPr="006F2A21" w:rsidTr="006F2A21">
        <w:trPr>
          <w:trHeight w:val="465"/>
        </w:trPr>
        <w:tc>
          <w:tcPr>
            <w:tcW w:w="0" w:type="auto"/>
            <w:tcBorders>
              <w:top w:val="single" w:sz="6" w:space="0" w:color="D9D9D9"/>
              <w:left w:val="nil"/>
              <w:bottom w:val="nil"/>
              <w:right w:val="nil"/>
            </w:tcBorders>
            <w:shd w:val="clear" w:color="auto" w:fill="auto"/>
            <w:tcMar>
              <w:top w:w="60" w:type="dxa"/>
              <w:left w:w="345" w:type="dxa"/>
              <w:bottom w:w="105" w:type="dxa"/>
              <w:right w:w="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Práce- montáž</w:t>
            </w:r>
          </w:p>
        </w:tc>
        <w:tc>
          <w:tcPr>
            <w:tcW w:w="0" w:type="auto"/>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proofErr w:type="spellStart"/>
            <w:r w:rsidRPr="006F2A21">
              <w:rPr>
                <w:rFonts w:ascii="Arial" w:hAnsi="Arial" w:cs="Arial"/>
                <w:color w:val="111418"/>
              </w:rPr>
              <w:t>kpl</w:t>
            </w:r>
            <w:proofErr w:type="spellEnd"/>
            <w:r w:rsidRPr="006F2A21">
              <w:rPr>
                <w:rFonts w:ascii="Arial" w:hAnsi="Arial" w:cs="Arial"/>
                <w:color w:val="111418"/>
              </w:rPr>
              <w:t>.</w:t>
            </w:r>
          </w:p>
        </w:tc>
        <w:tc>
          <w:tcPr>
            <w:tcW w:w="930" w:type="dxa"/>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8 000,00 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21%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9 680,00 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0" w:type="dxa"/>
              <w:left w:w="0" w:type="dxa"/>
              <w:bottom w:w="0" w:type="dxa"/>
              <w:right w:w="345"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9 680,00 </w:t>
            </w:r>
            <w:r w:rsidRPr="006F2A21">
              <w:rPr>
                <w:rFonts w:ascii="Arial" w:hAnsi="Arial" w:cs="Arial"/>
                <w:color w:val="111418"/>
                <w:bdr w:val="none" w:sz="0" w:space="0" w:color="auto" w:frame="1"/>
              </w:rPr>
              <w:t>Kč</w:t>
            </w:r>
          </w:p>
        </w:tc>
      </w:tr>
      <w:tr w:rsidR="006F2A21" w:rsidRPr="006F2A21" w:rsidTr="006F2A21">
        <w:trPr>
          <w:trHeight w:val="465"/>
        </w:trPr>
        <w:tc>
          <w:tcPr>
            <w:tcW w:w="0" w:type="auto"/>
            <w:tcBorders>
              <w:top w:val="single" w:sz="6" w:space="0" w:color="D9D9D9"/>
              <w:left w:val="nil"/>
              <w:bottom w:val="nil"/>
              <w:right w:val="nil"/>
            </w:tcBorders>
            <w:shd w:val="clear" w:color="auto" w:fill="auto"/>
            <w:tcMar>
              <w:top w:w="60" w:type="dxa"/>
              <w:left w:w="345" w:type="dxa"/>
              <w:bottom w:w="105" w:type="dxa"/>
              <w:right w:w="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Cestovní náklady Chomutov</w:t>
            </w:r>
          </w:p>
        </w:tc>
        <w:tc>
          <w:tcPr>
            <w:tcW w:w="0" w:type="auto"/>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x</w:t>
            </w:r>
          </w:p>
        </w:tc>
        <w:tc>
          <w:tcPr>
            <w:tcW w:w="930" w:type="dxa"/>
            <w:tcBorders>
              <w:top w:val="single" w:sz="6" w:space="0" w:color="D9D9D9"/>
              <w:left w:val="nil"/>
              <w:bottom w:val="nil"/>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150,00 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21%</w:t>
            </w:r>
          </w:p>
        </w:tc>
        <w:tc>
          <w:tcPr>
            <w:tcW w:w="0" w:type="auto"/>
            <w:tcBorders>
              <w:top w:val="single" w:sz="6" w:space="0" w:color="D9D9D9"/>
              <w:left w:val="nil"/>
              <w:bottom w:val="nil"/>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181,50 </w:t>
            </w:r>
            <w:r w:rsidRPr="006F2A21">
              <w:rPr>
                <w:rFonts w:ascii="Arial" w:hAnsi="Arial" w:cs="Arial"/>
                <w:color w:val="111418"/>
                <w:bdr w:val="none" w:sz="0" w:space="0" w:color="auto" w:frame="1"/>
              </w:rPr>
              <w:t>Kč</w:t>
            </w:r>
          </w:p>
        </w:tc>
        <w:tc>
          <w:tcPr>
            <w:tcW w:w="0" w:type="auto"/>
            <w:tcBorders>
              <w:top w:val="single" w:sz="6" w:space="0" w:color="D9D9D9"/>
              <w:left w:val="nil"/>
              <w:bottom w:val="nil"/>
              <w:right w:val="nil"/>
            </w:tcBorders>
            <w:shd w:val="clear" w:color="auto" w:fill="auto"/>
            <w:tcMar>
              <w:top w:w="0" w:type="dxa"/>
              <w:left w:w="0" w:type="dxa"/>
              <w:bottom w:w="0" w:type="dxa"/>
              <w:right w:w="345"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181,50 </w:t>
            </w:r>
            <w:r w:rsidRPr="006F2A21">
              <w:rPr>
                <w:rFonts w:ascii="Arial" w:hAnsi="Arial" w:cs="Arial"/>
                <w:color w:val="111418"/>
                <w:bdr w:val="none" w:sz="0" w:space="0" w:color="auto" w:frame="1"/>
              </w:rPr>
              <w:t>Kč</w:t>
            </w:r>
          </w:p>
        </w:tc>
      </w:tr>
      <w:tr w:rsidR="006F2A21" w:rsidRPr="006F2A21" w:rsidTr="006F2A21">
        <w:trPr>
          <w:trHeight w:val="465"/>
        </w:trPr>
        <w:tc>
          <w:tcPr>
            <w:tcW w:w="0" w:type="auto"/>
            <w:tcBorders>
              <w:top w:val="single" w:sz="6" w:space="0" w:color="D9D9D9"/>
              <w:left w:val="nil"/>
              <w:bottom w:val="single" w:sz="12" w:space="0" w:color="000000"/>
              <w:right w:val="nil"/>
            </w:tcBorders>
            <w:shd w:val="clear" w:color="auto" w:fill="auto"/>
            <w:tcMar>
              <w:top w:w="60" w:type="dxa"/>
              <w:left w:w="345" w:type="dxa"/>
              <w:bottom w:w="105" w:type="dxa"/>
              <w:right w:w="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Zaokrouhlení</w:t>
            </w:r>
          </w:p>
        </w:tc>
        <w:tc>
          <w:tcPr>
            <w:tcW w:w="0" w:type="auto"/>
            <w:tcBorders>
              <w:top w:val="single" w:sz="6" w:space="0" w:color="D9D9D9"/>
              <w:left w:val="nil"/>
              <w:bottom w:val="single" w:sz="12" w:space="0" w:color="000000"/>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p>
        </w:tc>
        <w:tc>
          <w:tcPr>
            <w:tcW w:w="0" w:type="auto"/>
            <w:tcBorders>
              <w:top w:val="single" w:sz="6" w:space="0" w:color="D9D9D9"/>
              <w:left w:val="nil"/>
              <w:bottom w:val="single" w:sz="12" w:space="0" w:color="000000"/>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pPr>
          </w:p>
        </w:tc>
        <w:tc>
          <w:tcPr>
            <w:tcW w:w="930" w:type="dxa"/>
            <w:tcBorders>
              <w:top w:val="single" w:sz="6" w:space="0" w:color="D9D9D9"/>
              <w:left w:val="nil"/>
              <w:bottom w:val="single" w:sz="12" w:space="0" w:color="000000"/>
              <w:right w:val="nil"/>
            </w:tcBorders>
            <w:shd w:val="clear" w:color="auto" w:fill="auto"/>
            <w:tcMar>
              <w:top w:w="0" w:type="dxa"/>
              <w:left w:w="0" w:type="dxa"/>
              <w:bottom w:w="0" w:type="dxa"/>
              <w:right w:w="30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-0,01 </w:t>
            </w:r>
            <w:r w:rsidRPr="006F2A21">
              <w:rPr>
                <w:rFonts w:ascii="Arial" w:hAnsi="Arial" w:cs="Arial"/>
                <w:color w:val="111418"/>
                <w:bdr w:val="none" w:sz="0" w:space="0" w:color="auto" w:frame="1"/>
              </w:rPr>
              <w:t>Kč</w:t>
            </w:r>
          </w:p>
        </w:tc>
        <w:tc>
          <w:tcPr>
            <w:tcW w:w="0" w:type="auto"/>
            <w:tcBorders>
              <w:top w:val="single" w:sz="6" w:space="0" w:color="D9D9D9"/>
              <w:left w:val="nil"/>
              <w:bottom w:val="single" w:sz="12" w:space="0" w:color="000000"/>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0%</w:t>
            </w:r>
          </w:p>
        </w:tc>
        <w:tc>
          <w:tcPr>
            <w:tcW w:w="0" w:type="auto"/>
            <w:tcBorders>
              <w:top w:val="single" w:sz="6" w:space="0" w:color="D9D9D9"/>
              <w:left w:val="nil"/>
              <w:bottom w:val="single" w:sz="12" w:space="0" w:color="000000"/>
              <w:right w:val="nil"/>
            </w:tcBorders>
            <w:shd w:val="clear" w:color="auto" w:fill="auto"/>
            <w:tcMar>
              <w:top w:w="90" w:type="dxa"/>
              <w:left w:w="90" w:type="dxa"/>
              <w:bottom w:w="90" w:type="dxa"/>
              <w:right w:w="90"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-0,01 </w:t>
            </w:r>
            <w:r w:rsidRPr="006F2A21">
              <w:rPr>
                <w:rFonts w:ascii="Arial" w:hAnsi="Arial" w:cs="Arial"/>
                <w:color w:val="111418"/>
                <w:bdr w:val="none" w:sz="0" w:space="0" w:color="auto" w:frame="1"/>
              </w:rPr>
              <w:t>Kč</w:t>
            </w:r>
          </w:p>
        </w:tc>
        <w:tc>
          <w:tcPr>
            <w:tcW w:w="0" w:type="auto"/>
            <w:tcBorders>
              <w:top w:val="single" w:sz="6" w:space="0" w:color="D9D9D9"/>
              <w:left w:val="nil"/>
              <w:bottom w:val="single" w:sz="12" w:space="0" w:color="000000"/>
              <w:right w:val="nil"/>
            </w:tcBorders>
            <w:shd w:val="clear" w:color="auto" w:fill="auto"/>
            <w:tcMar>
              <w:top w:w="0" w:type="dxa"/>
              <w:left w:w="0" w:type="dxa"/>
              <w:bottom w:w="0" w:type="dxa"/>
              <w:right w:w="345" w:type="dxa"/>
            </w:tcMar>
            <w:vAlign w:val="center"/>
            <w:hideMark/>
          </w:tcPr>
          <w:p w:rsidR="006F2A21" w:rsidRPr="006F2A21" w:rsidRDefault="006F2A21" w:rsidP="006F2A21">
            <w:pPr>
              <w:spacing w:line="240" w:lineRule="atLeast"/>
              <w:jc w:val="center"/>
              <w:rPr>
                <w:rFonts w:ascii="Arial" w:hAnsi="Arial" w:cs="Arial"/>
                <w:color w:val="111418"/>
              </w:rPr>
            </w:pPr>
            <w:r w:rsidRPr="006F2A21">
              <w:rPr>
                <w:rFonts w:ascii="Arial" w:hAnsi="Arial" w:cs="Arial"/>
                <w:color w:val="111418"/>
              </w:rPr>
              <w:t>-0,01 </w:t>
            </w:r>
            <w:r w:rsidRPr="006F2A21">
              <w:rPr>
                <w:rFonts w:ascii="Arial" w:hAnsi="Arial" w:cs="Arial"/>
                <w:color w:val="111418"/>
                <w:bdr w:val="none" w:sz="0" w:space="0" w:color="auto" w:frame="1"/>
              </w:rPr>
              <w:t>Kč</w:t>
            </w:r>
          </w:p>
        </w:tc>
      </w:tr>
    </w:tbl>
    <w:p w:rsidR="006F2A21" w:rsidRPr="006F2A21" w:rsidRDefault="006F2A21" w:rsidP="006F2A21">
      <w:pPr>
        <w:jc w:val="center"/>
        <w:textAlignment w:val="baseline"/>
        <w:rPr>
          <w:rFonts w:ascii="Arial" w:hAnsi="Arial" w:cs="Arial"/>
          <w:color w:val="000000"/>
          <w:sz w:val="18"/>
          <w:szCs w:val="18"/>
        </w:rPr>
      </w:pPr>
      <w:r w:rsidRPr="006F2A21">
        <w:rPr>
          <w:rFonts w:ascii="Arial" w:hAnsi="Arial" w:cs="Arial"/>
          <w:b/>
          <w:bCs/>
          <w:color w:val="000000"/>
          <w:sz w:val="22"/>
          <w:szCs w:val="22"/>
          <w:bdr w:val="none" w:sz="0" w:space="0" w:color="auto" w:frame="1"/>
        </w:rPr>
        <w:t>Poznámka:</w:t>
      </w:r>
    </w:p>
    <w:tbl>
      <w:tblPr>
        <w:tblW w:w="5587" w:type="dxa"/>
        <w:shd w:val="clear" w:color="auto" w:fill="FFFFFF"/>
        <w:tblCellMar>
          <w:left w:w="0" w:type="dxa"/>
          <w:right w:w="0" w:type="dxa"/>
        </w:tblCellMar>
        <w:tblLook w:val="04A0" w:firstRow="1" w:lastRow="0" w:firstColumn="1" w:lastColumn="0" w:noHBand="0" w:noVBand="1"/>
      </w:tblPr>
      <w:tblGrid>
        <w:gridCol w:w="3576"/>
        <w:gridCol w:w="2011"/>
      </w:tblGrid>
      <w:tr w:rsidR="006F2A21" w:rsidRPr="006F2A21" w:rsidTr="006F2A21">
        <w:tc>
          <w:tcPr>
            <w:tcW w:w="0" w:type="auto"/>
            <w:tcBorders>
              <w:top w:val="single" w:sz="6" w:space="0" w:color="FFFFFF"/>
              <w:left w:val="nil"/>
              <w:bottom w:val="nil"/>
              <w:right w:val="nil"/>
            </w:tcBorders>
            <w:shd w:val="clear" w:color="auto" w:fill="FFFFFF"/>
            <w:vAlign w:val="center"/>
            <w:hideMark/>
          </w:tcPr>
          <w:p w:rsidR="006F2A21" w:rsidRPr="000E418E" w:rsidRDefault="006F2A21" w:rsidP="000E418E">
            <w:pPr>
              <w:rPr>
                <w:rFonts w:ascii="Arial" w:hAnsi="Arial" w:cs="Arial"/>
                <w:color w:val="111418"/>
                <w:sz w:val="22"/>
                <w:szCs w:val="22"/>
              </w:rPr>
            </w:pPr>
            <w:r w:rsidRPr="000E418E">
              <w:rPr>
                <w:rFonts w:ascii="Arial" w:hAnsi="Arial" w:cs="Arial"/>
                <w:color w:val="111418"/>
                <w:sz w:val="22"/>
                <w:szCs w:val="22"/>
              </w:rPr>
              <w:t>Suma bez DPH</w:t>
            </w:r>
          </w:p>
        </w:tc>
        <w:tc>
          <w:tcPr>
            <w:tcW w:w="0" w:type="auto"/>
            <w:tcBorders>
              <w:top w:val="single" w:sz="6" w:space="0" w:color="FFFFFF"/>
              <w:left w:val="nil"/>
              <w:bottom w:val="nil"/>
              <w:right w:val="nil"/>
            </w:tcBorders>
            <w:shd w:val="clear" w:color="auto" w:fill="FFFFFF"/>
            <w:tcMar>
              <w:top w:w="0" w:type="dxa"/>
              <w:left w:w="150" w:type="dxa"/>
              <w:bottom w:w="0" w:type="dxa"/>
              <w:right w:w="0" w:type="dxa"/>
            </w:tcMar>
            <w:vAlign w:val="center"/>
            <w:hideMark/>
          </w:tcPr>
          <w:p w:rsidR="006F2A21" w:rsidRPr="000E418E" w:rsidRDefault="006F2A21" w:rsidP="006F2A21">
            <w:pPr>
              <w:jc w:val="center"/>
              <w:rPr>
                <w:rFonts w:ascii="Arial" w:hAnsi="Arial" w:cs="Arial"/>
                <w:color w:val="111418"/>
                <w:sz w:val="22"/>
                <w:szCs w:val="22"/>
              </w:rPr>
            </w:pPr>
            <w:r w:rsidRPr="000E418E">
              <w:rPr>
                <w:rFonts w:ascii="Arial" w:hAnsi="Arial" w:cs="Arial"/>
                <w:color w:val="111418"/>
                <w:sz w:val="22"/>
                <w:szCs w:val="22"/>
              </w:rPr>
              <w:t>67 980,99 </w:t>
            </w:r>
            <w:r w:rsidRPr="000E418E">
              <w:rPr>
                <w:rFonts w:ascii="Arial" w:hAnsi="Arial" w:cs="Arial"/>
                <w:color w:val="111418"/>
                <w:sz w:val="22"/>
                <w:szCs w:val="22"/>
                <w:bdr w:val="none" w:sz="0" w:space="0" w:color="auto" w:frame="1"/>
              </w:rPr>
              <w:t>Kč</w:t>
            </w:r>
          </w:p>
        </w:tc>
      </w:tr>
      <w:tr w:rsidR="006F2A21" w:rsidRPr="006F2A21" w:rsidTr="006F2A21">
        <w:tc>
          <w:tcPr>
            <w:tcW w:w="0" w:type="auto"/>
            <w:tcBorders>
              <w:top w:val="single" w:sz="6" w:space="0" w:color="FFFFFF"/>
              <w:left w:val="nil"/>
              <w:bottom w:val="nil"/>
              <w:right w:val="nil"/>
            </w:tcBorders>
            <w:shd w:val="clear" w:color="auto" w:fill="FFFFFF"/>
            <w:vAlign w:val="center"/>
            <w:hideMark/>
          </w:tcPr>
          <w:p w:rsidR="006F2A21" w:rsidRPr="000E418E" w:rsidRDefault="006F2A21" w:rsidP="000E418E">
            <w:pPr>
              <w:rPr>
                <w:rFonts w:ascii="Arial" w:hAnsi="Arial" w:cs="Arial"/>
                <w:color w:val="111418"/>
                <w:sz w:val="22"/>
                <w:szCs w:val="22"/>
              </w:rPr>
            </w:pPr>
            <w:r w:rsidRPr="000E418E">
              <w:rPr>
                <w:rFonts w:ascii="Arial" w:hAnsi="Arial" w:cs="Arial"/>
                <w:color w:val="111418"/>
                <w:sz w:val="22"/>
                <w:szCs w:val="22"/>
              </w:rPr>
              <w:t>Základ daně pro 21% DPH</w:t>
            </w:r>
          </w:p>
        </w:tc>
        <w:tc>
          <w:tcPr>
            <w:tcW w:w="0" w:type="auto"/>
            <w:tcBorders>
              <w:top w:val="single" w:sz="6" w:space="0" w:color="FFFFFF"/>
              <w:left w:val="nil"/>
              <w:bottom w:val="nil"/>
              <w:right w:val="nil"/>
            </w:tcBorders>
            <w:shd w:val="clear" w:color="auto" w:fill="FFFFFF"/>
            <w:tcMar>
              <w:top w:w="0" w:type="dxa"/>
              <w:left w:w="150" w:type="dxa"/>
              <w:bottom w:w="0" w:type="dxa"/>
              <w:right w:w="0" w:type="dxa"/>
            </w:tcMar>
            <w:vAlign w:val="center"/>
            <w:hideMark/>
          </w:tcPr>
          <w:p w:rsidR="006F2A21" w:rsidRPr="000E418E" w:rsidRDefault="006F2A21" w:rsidP="006F2A21">
            <w:pPr>
              <w:jc w:val="center"/>
              <w:rPr>
                <w:rFonts w:ascii="Arial" w:hAnsi="Arial" w:cs="Arial"/>
                <w:color w:val="111418"/>
                <w:sz w:val="22"/>
                <w:szCs w:val="22"/>
              </w:rPr>
            </w:pPr>
            <w:r w:rsidRPr="000E418E">
              <w:rPr>
                <w:rFonts w:ascii="Arial" w:hAnsi="Arial" w:cs="Arial"/>
                <w:color w:val="111418"/>
                <w:sz w:val="22"/>
                <w:szCs w:val="22"/>
              </w:rPr>
              <w:t>67 981,00 </w:t>
            </w:r>
            <w:r w:rsidRPr="000E418E">
              <w:rPr>
                <w:rFonts w:ascii="Arial" w:hAnsi="Arial" w:cs="Arial"/>
                <w:color w:val="111418"/>
                <w:sz w:val="22"/>
                <w:szCs w:val="22"/>
                <w:bdr w:val="none" w:sz="0" w:space="0" w:color="auto" w:frame="1"/>
              </w:rPr>
              <w:t>Kč</w:t>
            </w:r>
          </w:p>
        </w:tc>
      </w:tr>
      <w:tr w:rsidR="006F2A21" w:rsidRPr="006F2A21" w:rsidTr="006F2A21">
        <w:tc>
          <w:tcPr>
            <w:tcW w:w="0" w:type="auto"/>
            <w:tcBorders>
              <w:top w:val="single" w:sz="6" w:space="0" w:color="FFFFFF"/>
              <w:left w:val="nil"/>
              <w:bottom w:val="nil"/>
              <w:right w:val="nil"/>
            </w:tcBorders>
            <w:shd w:val="clear" w:color="auto" w:fill="FFFFFF"/>
            <w:vAlign w:val="center"/>
            <w:hideMark/>
          </w:tcPr>
          <w:p w:rsidR="006F2A21" w:rsidRPr="000E418E" w:rsidRDefault="006F2A21" w:rsidP="000E418E">
            <w:pPr>
              <w:rPr>
                <w:rFonts w:ascii="Arial" w:hAnsi="Arial" w:cs="Arial"/>
                <w:color w:val="111418"/>
                <w:sz w:val="22"/>
                <w:szCs w:val="22"/>
              </w:rPr>
            </w:pPr>
            <w:r w:rsidRPr="000E418E">
              <w:rPr>
                <w:rFonts w:ascii="Arial" w:hAnsi="Arial" w:cs="Arial"/>
                <w:color w:val="111418"/>
                <w:sz w:val="22"/>
                <w:szCs w:val="22"/>
              </w:rPr>
              <w:t>Základ daně pro 0% DPH</w:t>
            </w:r>
          </w:p>
        </w:tc>
        <w:tc>
          <w:tcPr>
            <w:tcW w:w="0" w:type="auto"/>
            <w:tcBorders>
              <w:top w:val="single" w:sz="6" w:space="0" w:color="FFFFFF"/>
              <w:left w:val="nil"/>
              <w:bottom w:val="nil"/>
              <w:right w:val="nil"/>
            </w:tcBorders>
            <w:shd w:val="clear" w:color="auto" w:fill="FFFFFF"/>
            <w:tcMar>
              <w:top w:w="0" w:type="dxa"/>
              <w:left w:w="150" w:type="dxa"/>
              <w:bottom w:w="0" w:type="dxa"/>
              <w:right w:w="0" w:type="dxa"/>
            </w:tcMar>
            <w:vAlign w:val="center"/>
            <w:hideMark/>
          </w:tcPr>
          <w:p w:rsidR="006F2A21" w:rsidRPr="000E418E" w:rsidRDefault="006F2A21" w:rsidP="006F2A21">
            <w:pPr>
              <w:jc w:val="center"/>
              <w:rPr>
                <w:rFonts w:ascii="Arial" w:hAnsi="Arial" w:cs="Arial"/>
                <w:color w:val="111418"/>
                <w:sz w:val="22"/>
                <w:szCs w:val="22"/>
              </w:rPr>
            </w:pPr>
            <w:r w:rsidRPr="000E418E">
              <w:rPr>
                <w:rFonts w:ascii="Arial" w:hAnsi="Arial" w:cs="Arial"/>
                <w:color w:val="111418"/>
                <w:sz w:val="22"/>
                <w:szCs w:val="22"/>
              </w:rPr>
              <w:t>-0,01 </w:t>
            </w:r>
            <w:r w:rsidRPr="000E418E">
              <w:rPr>
                <w:rFonts w:ascii="Arial" w:hAnsi="Arial" w:cs="Arial"/>
                <w:color w:val="111418"/>
                <w:sz w:val="22"/>
                <w:szCs w:val="22"/>
                <w:bdr w:val="none" w:sz="0" w:space="0" w:color="auto" w:frame="1"/>
              </w:rPr>
              <w:t>Kč</w:t>
            </w:r>
          </w:p>
        </w:tc>
      </w:tr>
      <w:tr w:rsidR="006F2A21" w:rsidRPr="006F2A21" w:rsidTr="000E418E">
        <w:trPr>
          <w:trHeight w:val="65"/>
        </w:trPr>
        <w:tc>
          <w:tcPr>
            <w:tcW w:w="0" w:type="auto"/>
            <w:tcBorders>
              <w:top w:val="single" w:sz="6" w:space="0" w:color="FFFFFF"/>
              <w:left w:val="nil"/>
              <w:bottom w:val="nil"/>
              <w:right w:val="nil"/>
            </w:tcBorders>
            <w:shd w:val="clear" w:color="auto" w:fill="FFFFFF"/>
            <w:vAlign w:val="center"/>
            <w:hideMark/>
          </w:tcPr>
          <w:p w:rsidR="006F2A21" w:rsidRPr="000E418E" w:rsidRDefault="006F2A21" w:rsidP="000E418E">
            <w:pPr>
              <w:rPr>
                <w:rFonts w:ascii="Arial" w:hAnsi="Arial" w:cs="Arial"/>
                <w:color w:val="111418"/>
                <w:sz w:val="22"/>
                <w:szCs w:val="22"/>
              </w:rPr>
            </w:pPr>
            <w:r w:rsidRPr="000E418E">
              <w:rPr>
                <w:rFonts w:ascii="Arial" w:hAnsi="Arial" w:cs="Arial"/>
                <w:color w:val="111418"/>
                <w:sz w:val="22"/>
                <w:szCs w:val="22"/>
              </w:rPr>
              <w:t>DPH</w:t>
            </w:r>
          </w:p>
        </w:tc>
        <w:tc>
          <w:tcPr>
            <w:tcW w:w="0" w:type="auto"/>
            <w:tcBorders>
              <w:top w:val="single" w:sz="6" w:space="0" w:color="FFFFFF"/>
              <w:left w:val="nil"/>
              <w:bottom w:val="nil"/>
              <w:right w:val="nil"/>
            </w:tcBorders>
            <w:shd w:val="clear" w:color="auto" w:fill="FFFFFF"/>
            <w:tcMar>
              <w:top w:w="0" w:type="dxa"/>
              <w:left w:w="150" w:type="dxa"/>
              <w:bottom w:w="0" w:type="dxa"/>
              <w:right w:w="0" w:type="dxa"/>
            </w:tcMar>
            <w:vAlign w:val="center"/>
            <w:hideMark/>
          </w:tcPr>
          <w:p w:rsidR="006F2A21" w:rsidRPr="000E418E" w:rsidRDefault="006F2A21" w:rsidP="006F2A21">
            <w:pPr>
              <w:jc w:val="center"/>
              <w:rPr>
                <w:rFonts w:ascii="Arial" w:hAnsi="Arial" w:cs="Arial"/>
                <w:color w:val="111418"/>
                <w:sz w:val="22"/>
                <w:szCs w:val="22"/>
              </w:rPr>
            </w:pPr>
            <w:r w:rsidRPr="000E418E">
              <w:rPr>
                <w:rFonts w:ascii="Arial" w:hAnsi="Arial" w:cs="Arial"/>
                <w:color w:val="111418"/>
                <w:sz w:val="22"/>
                <w:szCs w:val="22"/>
              </w:rPr>
              <w:t>14 276,01 </w:t>
            </w:r>
            <w:r w:rsidRPr="000E418E">
              <w:rPr>
                <w:rFonts w:ascii="Arial" w:hAnsi="Arial" w:cs="Arial"/>
                <w:color w:val="111418"/>
                <w:sz w:val="22"/>
                <w:szCs w:val="22"/>
                <w:bdr w:val="none" w:sz="0" w:space="0" w:color="auto" w:frame="1"/>
              </w:rPr>
              <w:t>Kč</w:t>
            </w:r>
          </w:p>
        </w:tc>
      </w:tr>
      <w:tr w:rsidR="006F2A21" w:rsidRPr="006F2A21" w:rsidTr="006F2A21">
        <w:tc>
          <w:tcPr>
            <w:tcW w:w="0" w:type="auto"/>
            <w:tcBorders>
              <w:top w:val="single" w:sz="6" w:space="0" w:color="FFFFFF"/>
              <w:left w:val="nil"/>
              <w:bottom w:val="nil"/>
              <w:right w:val="nil"/>
            </w:tcBorders>
            <w:shd w:val="clear" w:color="auto" w:fill="FFFFFF"/>
            <w:vAlign w:val="center"/>
            <w:hideMark/>
          </w:tcPr>
          <w:p w:rsidR="006F2A21" w:rsidRPr="000E418E" w:rsidRDefault="006F2A21" w:rsidP="000E418E">
            <w:pPr>
              <w:rPr>
                <w:rFonts w:ascii="Arial" w:hAnsi="Arial" w:cs="Arial"/>
                <w:b/>
                <w:bCs/>
                <w:color w:val="111418"/>
                <w:sz w:val="22"/>
                <w:szCs w:val="22"/>
              </w:rPr>
            </w:pPr>
            <w:r w:rsidRPr="000E418E">
              <w:rPr>
                <w:rFonts w:ascii="Arial" w:hAnsi="Arial" w:cs="Arial"/>
                <w:b/>
                <w:bCs/>
                <w:color w:val="111418"/>
                <w:sz w:val="22"/>
                <w:szCs w:val="22"/>
              </w:rPr>
              <w:t>Celkem</w:t>
            </w:r>
          </w:p>
        </w:tc>
        <w:tc>
          <w:tcPr>
            <w:tcW w:w="0" w:type="auto"/>
            <w:tcBorders>
              <w:top w:val="single" w:sz="6" w:space="0" w:color="FFFFFF"/>
              <w:left w:val="nil"/>
              <w:bottom w:val="nil"/>
              <w:right w:val="nil"/>
            </w:tcBorders>
            <w:shd w:val="clear" w:color="auto" w:fill="FFFFFF"/>
            <w:tcMar>
              <w:top w:w="0" w:type="dxa"/>
              <w:left w:w="150" w:type="dxa"/>
              <w:bottom w:w="0" w:type="dxa"/>
              <w:right w:w="0" w:type="dxa"/>
            </w:tcMar>
            <w:vAlign w:val="center"/>
            <w:hideMark/>
          </w:tcPr>
          <w:p w:rsidR="006F2A21" w:rsidRPr="000E418E" w:rsidRDefault="006F2A21" w:rsidP="006F2A21">
            <w:pPr>
              <w:jc w:val="center"/>
              <w:rPr>
                <w:rFonts w:ascii="Arial" w:hAnsi="Arial" w:cs="Arial"/>
                <w:b/>
                <w:bCs/>
                <w:color w:val="111418"/>
                <w:sz w:val="22"/>
                <w:szCs w:val="22"/>
                <w:bdr w:val="none" w:sz="0" w:space="0" w:color="auto" w:frame="1"/>
              </w:rPr>
            </w:pPr>
            <w:r w:rsidRPr="000E418E">
              <w:rPr>
                <w:rFonts w:ascii="Arial" w:hAnsi="Arial" w:cs="Arial"/>
                <w:b/>
                <w:bCs/>
                <w:color w:val="111418"/>
                <w:sz w:val="22"/>
                <w:szCs w:val="22"/>
              </w:rPr>
              <w:t>82 257,00 </w:t>
            </w:r>
            <w:r w:rsidRPr="000E418E">
              <w:rPr>
                <w:rFonts w:ascii="Arial" w:hAnsi="Arial" w:cs="Arial"/>
                <w:b/>
                <w:bCs/>
                <w:color w:val="111418"/>
                <w:sz w:val="22"/>
                <w:szCs w:val="22"/>
                <w:bdr w:val="none" w:sz="0" w:space="0" w:color="auto" w:frame="1"/>
              </w:rPr>
              <w:t>Kč</w:t>
            </w:r>
          </w:p>
        </w:tc>
      </w:tr>
    </w:tbl>
    <w:p w:rsidR="00591E27" w:rsidRDefault="00591E27" w:rsidP="006F2A21">
      <w:pPr>
        <w:jc w:val="center"/>
        <w:rPr>
          <w:rFonts w:ascii="Arial" w:hAnsi="Arial" w:cs="Arial"/>
          <w:b/>
          <w:sz w:val="22"/>
        </w:rPr>
      </w:pPr>
    </w:p>
    <w:p w:rsidR="006F2A21" w:rsidRDefault="006F2A21" w:rsidP="006F2A21">
      <w:pPr>
        <w:jc w:val="center"/>
        <w:rPr>
          <w:rFonts w:ascii="Arial" w:hAnsi="Arial" w:cs="Arial"/>
          <w:b/>
          <w:sz w:val="22"/>
        </w:rPr>
      </w:pPr>
    </w:p>
    <w:p w:rsidR="006F2A21" w:rsidRDefault="006F2A21" w:rsidP="006F2A21">
      <w:pPr>
        <w:jc w:val="center"/>
        <w:rPr>
          <w:rFonts w:ascii="Arial" w:hAnsi="Arial" w:cs="Arial"/>
          <w:b/>
          <w:sz w:val="22"/>
        </w:rPr>
      </w:pPr>
    </w:p>
    <w:p w:rsidR="006F2A21" w:rsidRDefault="006F2A21" w:rsidP="006F2A21">
      <w:pPr>
        <w:jc w:val="center"/>
        <w:rPr>
          <w:rFonts w:ascii="Arial" w:hAnsi="Arial" w:cs="Arial"/>
          <w:b/>
          <w:sz w:val="22"/>
        </w:rPr>
      </w:pPr>
    </w:p>
    <w:p w:rsidR="006F2A21" w:rsidRDefault="006F2A21" w:rsidP="006F2A21">
      <w:pPr>
        <w:jc w:val="center"/>
        <w:rPr>
          <w:rFonts w:ascii="Arial" w:hAnsi="Arial" w:cs="Arial"/>
          <w:b/>
          <w:sz w:val="22"/>
        </w:rPr>
      </w:pPr>
    </w:p>
    <w:p w:rsidR="006F2A21" w:rsidRDefault="006F2A21" w:rsidP="006F2A21">
      <w:pPr>
        <w:jc w:val="center"/>
        <w:rPr>
          <w:rFonts w:ascii="Arial" w:hAnsi="Arial" w:cs="Arial"/>
          <w:b/>
          <w:sz w:val="22"/>
        </w:rPr>
      </w:pPr>
    </w:p>
    <w:p w:rsidR="006F2A21" w:rsidRDefault="006F2A21" w:rsidP="006F2A21">
      <w:pPr>
        <w:jc w:val="center"/>
        <w:rPr>
          <w:rFonts w:ascii="Arial" w:hAnsi="Arial" w:cs="Arial"/>
          <w:b/>
          <w:sz w:val="22"/>
        </w:rPr>
      </w:pPr>
    </w:p>
    <w:p w:rsidR="006F2A21" w:rsidRDefault="006F2A21" w:rsidP="006F2A21">
      <w:pPr>
        <w:jc w:val="center"/>
        <w:rPr>
          <w:rFonts w:ascii="Arial" w:hAnsi="Arial" w:cs="Arial"/>
          <w:b/>
          <w:sz w:val="22"/>
        </w:rPr>
      </w:pPr>
    </w:p>
    <w:p w:rsidR="006F2A21" w:rsidRDefault="006F2A21" w:rsidP="006F2A21">
      <w:pPr>
        <w:jc w:val="center"/>
        <w:rPr>
          <w:rFonts w:ascii="Arial" w:hAnsi="Arial" w:cs="Arial"/>
          <w:b/>
          <w:sz w:val="22"/>
        </w:rPr>
      </w:pPr>
    </w:p>
    <w:p w:rsidR="006F2A21" w:rsidRDefault="006F2A21" w:rsidP="006F2A21">
      <w:pPr>
        <w:jc w:val="center"/>
        <w:rPr>
          <w:rFonts w:ascii="Arial" w:hAnsi="Arial" w:cs="Arial"/>
          <w:b/>
          <w:sz w:val="22"/>
        </w:rPr>
      </w:pPr>
    </w:p>
    <w:p w:rsidR="006F2A21" w:rsidRPr="00524CB2" w:rsidRDefault="006F2A21" w:rsidP="006F2A21">
      <w:pPr>
        <w:pStyle w:val="Nadpis1"/>
        <w:shd w:val="clear" w:color="auto" w:fill="FFFFFF" w:themeFill="background1"/>
        <w:spacing w:before="0" w:after="225" w:line="360" w:lineRule="atLeast"/>
        <w:jc w:val="center"/>
        <w:rPr>
          <w:rFonts w:asciiTheme="majorHAnsi" w:hAnsiTheme="majorHAnsi" w:cstheme="majorHAnsi"/>
          <w:b w:val="0"/>
          <w:sz w:val="36"/>
          <w:szCs w:val="36"/>
        </w:rPr>
      </w:pPr>
      <w:r w:rsidRPr="00524CB2">
        <w:rPr>
          <w:rFonts w:asciiTheme="majorHAnsi" w:hAnsiTheme="majorHAnsi" w:cstheme="majorHAnsi"/>
          <w:b w:val="0"/>
          <w:sz w:val="36"/>
          <w:szCs w:val="36"/>
        </w:rPr>
        <w:t>RAV Nástěnné jednotky (KRT)</w:t>
      </w:r>
    </w:p>
    <w:p w:rsidR="006F2A21" w:rsidRPr="00524CB2" w:rsidRDefault="006F2A21" w:rsidP="006F2A21">
      <w:pPr>
        <w:pStyle w:val="Nadpis2"/>
        <w:shd w:val="clear" w:color="auto" w:fill="FFFFFF" w:themeFill="background1"/>
        <w:spacing w:before="0" w:line="435" w:lineRule="atLeast"/>
        <w:jc w:val="center"/>
        <w:rPr>
          <w:rFonts w:asciiTheme="majorHAnsi" w:hAnsiTheme="majorHAnsi" w:cstheme="majorHAnsi"/>
          <w:b w:val="0"/>
          <w:sz w:val="24"/>
          <w:szCs w:val="24"/>
        </w:rPr>
      </w:pPr>
      <w:r>
        <w:rPr>
          <w:rFonts w:asciiTheme="majorHAnsi" w:hAnsiTheme="majorHAnsi" w:cstheme="majorHAnsi"/>
          <w:b w:val="0"/>
          <w:noProof/>
          <w:sz w:val="24"/>
          <w:szCs w:val="24"/>
        </w:rPr>
        <w:drawing>
          <wp:inline distT="0" distB="0" distL="0" distR="0" wp14:anchorId="61A2045F" wp14:editId="1F8E9B96">
            <wp:extent cx="4587240" cy="1752600"/>
            <wp:effectExtent l="0" t="0" r="381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7240" cy="1752600"/>
                    </a:xfrm>
                    <a:prstGeom prst="rect">
                      <a:avLst/>
                    </a:prstGeom>
                    <a:noFill/>
                    <a:ln>
                      <a:noFill/>
                    </a:ln>
                  </pic:spPr>
                </pic:pic>
              </a:graphicData>
            </a:graphic>
          </wp:inline>
        </w:drawing>
      </w:r>
    </w:p>
    <w:p w:rsidR="006F2A21" w:rsidRPr="00524CB2" w:rsidRDefault="006F2A21" w:rsidP="006F2A21">
      <w:pPr>
        <w:shd w:val="clear" w:color="auto" w:fill="FFFFFF" w:themeFill="background1"/>
        <w:spacing w:line="360" w:lineRule="atLeast"/>
        <w:jc w:val="center"/>
        <w:textAlignment w:val="baseline"/>
        <w:rPr>
          <w:rFonts w:asciiTheme="majorHAnsi" w:hAnsiTheme="majorHAnsi" w:cstheme="majorHAnsi"/>
          <w:sz w:val="24"/>
          <w:szCs w:val="24"/>
        </w:rPr>
      </w:pPr>
    </w:p>
    <w:p w:rsidR="006F2A21" w:rsidRPr="00524CB2" w:rsidRDefault="006F2A21" w:rsidP="006F2A21">
      <w:pPr>
        <w:pStyle w:val="Normlnweb"/>
        <w:shd w:val="clear" w:color="auto" w:fill="FFFFFF" w:themeFill="background1"/>
        <w:spacing w:before="0" w:beforeAutospacing="0" w:after="150" w:afterAutospacing="0" w:line="360" w:lineRule="atLeast"/>
        <w:jc w:val="both"/>
        <w:textAlignment w:val="baseline"/>
        <w:rPr>
          <w:rFonts w:asciiTheme="majorHAnsi" w:hAnsiTheme="majorHAnsi" w:cstheme="majorHAnsi"/>
        </w:rPr>
      </w:pPr>
    </w:p>
    <w:p w:rsidR="006F2A21" w:rsidRPr="00524CB2" w:rsidRDefault="006F2A21" w:rsidP="006F2A21">
      <w:pPr>
        <w:pStyle w:val="Normlnweb"/>
        <w:shd w:val="clear" w:color="auto" w:fill="FFFFFF" w:themeFill="background1"/>
        <w:spacing w:before="0" w:beforeAutospacing="0" w:after="150" w:afterAutospacing="0" w:line="360" w:lineRule="atLeast"/>
        <w:jc w:val="center"/>
        <w:textAlignment w:val="baseline"/>
        <w:rPr>
          <w:rFonts w:asciiTheme="majorHAnsi" w:hAnsiTheme="majorHAnsi" w:cstheme="majorHAnsi"/>
        </w:rPr>
      </w:pPr>
      <w:r>
        <w:rPr>
          <w:rFonts w:asciiTheme="majorHAnsi" w:hAnsiTheme="majorHAnsi" w:cstheme="majorHAnsi"/>
          <w:noProof/>
        </w:rPr>
        <w:drawing>
          <wp:inline distT="0" distB="0" distL="0" distR="0" wp14:anchorId="3CF3929F" wp14:editId="674CC263">
            <wp:extent cx="3726180" cy="20193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6180" cy="2019300"/>
                    </a:xfrm>
                    <a:prstGeom prst="rect">
                      <a:avLst/>
                    </a:prstGeom>
                    <a:noFill/>
                    <a:ln>
                      <a:noFill/>
                    </a:ln>
                  </pic:spPr>
                </pic:pic>
              </a:graphicData>
            </a:graphic>
          </wp:inline>
        </w:drawing>
      </w:r>
    </w:p>
    <w:p w:rsidR="006F2A21" w:rsidRPr="00524CB2" w:rsidRDefault="006F2A21" w:rsidP="006F2A21">
      <w:pPr>
        <w:pStyle w:val="Normlnweb"/>
        <w:shd w:val="clear" w:color="auto" w:fill="FFFFFF" w:themeFill="background1"/>
        <w:spacing w:before="0" w:beforeAutospacing="0" w:after="150" w:afterAutospacing="0" w:line="360" w:lineRule="atLeast"/>
        <w:jc w:val="both"/>
        <w:textAlignment w:val="baseline"/>
        <w:rPr>
          <w:rFonts w:asciiTheme="majorHAnsi" w:hAnsiTheme="majorHAnsi" w:cstheme="majorHAnsi"/>
        </w:rPr>
      </w:pPr>
    </w:p>
    <w:p w:rsidR="006F2A21" w:rsidRPr="00524CB2" w:rsidRDefault="006F2A21" w:rsidP="006F2A21">
      <w:pPr>
        <w:pStyle w:val="Normlnweb"/>
        <w:shd w:val="clear" w:color="auto" w:fill="FFFFFF" w:themeFill="background1"/>
        <w:spacing w:before="0" w:beforeAutospacing="0" w:after="150" w:afterAutospacing="0" w:line="360" w:lineRule="atLeast"/>
        <w:jc w:val="both"/>
        <w:textAlignment w:val="baseline"/>
        <w:rPr>
          <w:rFonts w:asciiTheme="majorHAnsi" w:hAnsiTheme="majorHAnsi" w:cstheme="majorHAnsi"/>
        </w:rPr>
      </w:pPr>
    </w:p>
    <w:p w:rsidR="006F2A21" w:rsidRPr="00524CB2" w:rsidRDefault="006F2A21" w:rsidP="006F2A21">
      <w:pPr>
        <w:pStyle w:val="Normlnweb"/>
        <w:shd w:val="clear" w:color="auto" w:fill="FFFFFF" w:themeFill="background1"/>
        <w:spacing w:before="0" w:beforeAutospacing="0" w:after="150" w:afterAutospacing="0" w:line="360" w:lineRule="atLeast"/>
        <w:jc w:val="both"/>
        <w:textAlignment w:val="baseline"/>
        <w:rPr>
          <w:rFonts w:asciiTheme="majorHAnsi" w:hAnsiTheme="majorHAnsi" w:cstheme="majorHAnsi"/>
        </w:rPr>
      </w:pPr>
      <w:r w:rsidRPr="00524CB2">
        <w:rPr>
          <w:rFonts w:asciiTheme="majorHAnsi" w:hAnsiTheme="majorHAnsi" w:cstheme="majorHAnsi"/>
        </w:rPr>
        <w:t>Hlavně pro komerční prostory s náročným provozem nabízí Toshiba elegantní, malou a „štíhlou“ jednotku velmi kompaktního provedení. Je určena pro kanceláře, restaurace, technické místnosti a mnohé jiné prostory, kde je potřeba funkční a elegantní řešení.</w:t>
      </w:r>
    </w:p>
    <w:p w:rsidR="006F2A21" w:rsidRDefault="006F2A21" w:rsidP="006F2A21">
      <w:pPr>
        <w:pStyle w:val="Normlnweb"/>
        <w:shd w:val="clear" w:color="auto" w:fill="FFFFFF" w:themeFill="background1"/>
        <w:spacing w:before="0" w:beforeAutospacing="0" w:after="150" w:afterAutospacing="0" w:line="360" w:lineRule="atLeast"/>
        <w:jc w:val="both"/>
        <w:textAlignment w:val="baseline"/>
        <w:rPr>
          <w:rFonts w:asciiTheme="majorHAnsi" w:hAnsiTheme="majorHAnsi" w:cstheme="majorHAnsi"/>
        </w:rPr>
      </w:pPr>
      <w:r w:rsidRPr="00524CB2">
        <w:rPr>
          <w:rFonts w:asciiTheme="majorHAnsi" w:hAnsiTheme="majorHAnsi" w:cstheme="majorHAnsi"/>
        </w:rPr>
        <w:t xml:space="preserve">Nástěnné jednotky KRT přinášejí štíhlý, elegantní design. Mezi hlavní výhody patří snadná instalace a tichý provoz s pomocí </w:t>
      </w:r>
      <w:proofErr w:type="spellStart"/>
      <w:r w:rsidRPr="00524CB2">
        <w:rPr>
          <w:rFonts w:asciiTheme="majorHAnsi" w:hAnsiTheme="majorHAnsi" w:cstheme="majorHAnsi"/>
        </w:rPr>
        <w:t>třírychlostního</w:t>
      </w:r>
      <w:proofErr w:type="spellEnd"/>
      <w:r w:rsidRPr="00524CB2">
        <w:rPr>
          <w:rFonts w:asciiTheme="majorHAnsi" w:hAnsiTheme="majorHAnsi" w:cstheme="majorHAnsi"/>
        </w:rPr>
        <w:t xml:space="preserve"> ventilátoru. Lamela na výdechu zajišťuje optimální směr výdechu vzduchu do prostoru a dokonalou klimatizaci prostoru.</w:t>
      </w:r>
    </w:p>
    <w:p w:rsidR="006F2A21" w:rsidRPr="00524CB2" w:rsidRDefault="006F2A21" w:rsidP="006F2A21">
      <w:pPr>
        <w:pStyle w:val="Normlnweb"/>
        <w:shd w:val="clear" w:color="auto" w:fill="FFFFFF" w:themeFill="background1"/>
        <w:spacing w:before="0" w:beforeAutospacing="0" w:after="150" w:afterAutospacing="0" w:line="360" w:lineRule="atLeast"/>
        <w:jc w:val="both"/>
        <w:textAlignment w:val="baseline"/>
        <w:rPr>
          <w:rFonts w:asciiTheme="majorHAnsi" w:hAnsiTheme="majorHAnsi" w:cstheme="majorHAnsi"/>
        </w:rPr>
      </w:pPr>
    </w:p>
    <w:p w:rsidR="006F2A21" w:rsidRPr="00524CB2" w:rsidRDefault="006F2A21" w:rsidP="006F2A21">
      <w:pPr>
        <w:numPr>
          <w:ilvl w:val="0"/>
          <w:numId w:val="26"/>
        </w:numPr>
        <w:shd w:val="clear" w:color="auto" w:fill="FFFFFF" w:themeFill="background1"/>
        <w:spacing w:line="360" w:lineRule="atLeast"/>
        <w:ind w:left="180"/>
        <w:jc w:val="both"/>
        <w:textAlignment w:val="baseline"/>
        <w:rPr>
          <w:rFonts w:asciiTheme="majorHAnsi" w:hAnsiTheme="majorHAnsi" w:cstheme="majorHAnsi"/>
          <w:sz w:val="24"/>
          <w:szCs w:val="24"/>
        </w:rPr>
      </w:pPr>
      <w:r w:rsidRPr="00524CB2">
        <w:rPr>
          <w:rFonts w:asciiTheme="majorHAnsi" w:hAnsiTheme="majorHAnsi" w:cstheme="majorHAnsi"/>
          <w:sz w:val="24"/>
          <w:szCs w:val="24"/>
        </w:rPr>
        <w:t>infračervené dálkové ovládání</w:t>
      </w:r>
    </w:p>
    <w:p w:rsidR="006F2A21" w:rsidRPr="00524CB2" w:rsidRDefault="006F2A21" w:rsidP="006F2A21">
      <w:pPr>
        <w:numPr>
          <w:ilvl w:val="0"/>
          <w:numId w:val="26"/>
        </w:numPr>
        <w:shd w:val="clear" w:color="auto" w:fill="FFFFFF" w:themeFill="background1"/>
        <w:spacing w:line="360" w:lineRule="atLeast"/>
        <w:ind w:left="180"/>
        <w:jc w:val="both"/>
        <w:textAlignment w:val="baseline"/>
        <w:rPr>
          <w:rFonts w:asciiTheme="majorHAnsi" w:hAnsiTheme="majorHAnsi" w:cstheme="majorHAnsi"/>
          <w:sz w:val="24"/>
          <w:szCs w:val="24"/>
        </w:rPr>
      </w:pPr>
      <w:proofErr w:type="gramStart"/>
      <w:r w:rsidRPr="00524CB2">
        <w:rPr>
          <w:rFonts w:asciiTheme="majorHAnsi" w:hAnsiTheme="majorHAnsi" w:cstheme="majorHAnsi"/>
          <w:sz w:val="24"/>
          <w:szCs w:val="24"/>
        </w:rPr>
        <w:t>3-stupňový</w:t>
      </w:r>
      <w:proofErr w:type="gramEnd"/>
      <w:r w:rsidRPr="00524CB2">
        <w:rPr>
          <w:rFonts w:asciiTheme="majorHAnsi" w:hAnsiTheme="majorHAnsi" w:cstheme="majorHAnsi"/>
          <w:sz w:val="24"/>
          <w:szCs w:val="24"/>
        </w:rPr>
        <w:t xml:space="preserve"> filtrační systém pro čistý vzduch</w:t>
      </w:r>
    </w:p>
    <w:p w:rsidR="006F2A21" w:rsidRPr="00524CB2" w:rsidRDefault="006F2A21" w:rsidP="006F2A21">
      <w:pPr>
        <w:numPr>
          <w:ilvl w:val="1"/>
          <w:numId w:val="26"/>
        </w:numPr>
        <w:shd w:val="clear" w:color="auto" w:fill="FFFFFF" w:themeFill="background1"/>
        <w:spacing w:line="360" w:lineRule="atLeast"/>
        <w:ind w:left="585"/>
        <w:jc w:val="both"/>
        <w:textAlignment w:val="baseline"/>
        <w:rPr>
          <w:rFonts w:asciiTheme="majorHAnsi" w:hAnsiTheme="majorHAnsi" w:cstheme="majorHAnsi"/>
          <w:sz w:val="24"/>
          <w:szCs w:val="24"/>
        </w:rPr>
      </w:pPr>
      <w:r w:rsidRPr="00524CB2">
        <w:rPr>
          <w:rFonts w:asciiTheme="majorHAnsi" w:hAnsiTheme="majorHAnsi" w:cstheme="majorHAnsi"/>
          <w:sz w:val="24"/>
          <w:szCs w:val="24"/>
        </w:rPr>
        <w:t>základní omyvatelné filtry</w:t>
      </w:r>
    </w:p>
    <w:p w:rsidR="006F2A21" w:rsidRPr="00524CB2" w:rsidRDefault="006F2A21" w:rsidP="006F2A21">
      <w:pPr>
        <w:numPr>
          <w:ilvl w:val="1"/>
          <w:numId w:val="26"/>
        </w:numPr>
        <w:shd w:val="clear" w:color="auto" w:fill="FFFFFF" w:themeFill="background1"/>
        <w:spacing w:line="360" w:lineRule="atLeast"/>
        <w:ind w:left="585"/>
        <w:jc w:val="both"/>
        <w:textAlignment w:val="baseline"/>
        <w:rPr>
          <w:rFonts w:asciiTheme="majorHAnsi" w:hAnsiTheme="majorHAnsi" w:cstheme="majorHAnsi"/>
          <w:sz w:val="24"/>
          <w:szCs w:val="24"/>
        </w:rPr>
      </w:pPr>
      <w:r w:rsidRPr="00524CB2">
        <w:rPr>
          <w:rFonts w:asciiTheme="majorHAnsi" w:hAnsiTheme="majorHAnsi" w:cstheme="majorHAnsi"/>
          <w:sz w:val="24"/>
          <w:szCs w:val="24"/>
        </w:rPr>
        <w:lastRenderedPageBreak/>
        <w:t xml:space="preserve">super </w:t>
      </w:r>
      <w:proofErr w:type="spellStart"/>
      <w:r w:rsidRPr="00524CB2">
        <w:rPr>
          <w:rFonts w:asciiTheme="majorHAnsi" w:hAnsiTheme="majorHAnsi" w:cstheme="majorHAnsi"/>
          <w:sz w:val="24"/>
          <w:szCs w:val="24"/>
        </w:rPr>
        <w:t>Oxi-Deo</w:t>
      </w:r>
      <w:proofErr w:type="spellEnd"/>
      <w:r w:rsidRPr="00524CB2">
        <w:rPr>
          <w:rFonts w:asciiTheme="majorHAnsi" w:hAnsiTheme="majorHAnsi" w:cstheme="majorHAnsi"/>
          <w:sz w:val="24"/>
          <w:szCs w:val="24"/>
        </w:rPr>
        <w:t xml:space="preserve"> filtrační pás</w:t>
      </w:r>
    </w:p>
    <w:p w:rsidR="006F2A21" w:rsidRPr="00524CB2" w:rsidRDefault="006F2A21" w:rsidP="006F2A21">
      <w:pPr>
        <w:numPr>
          <w:ilvl w:val="1"/>
          <w:numId w:val="26"/>
        </w:numPr>
        <w:shd w:val="clear" w:color="auto" w:fill="FFFFFF" w:themeFill="background1"/>
        <w:spacing w:line="360" w:lineRule="atLeast"/>
        <w:ind w:left="585"/>
        <w:jc w:val="both"/>
        <w:textAlignment w:val="baseline"/>
        <w:rPr>
          <w:rFonts w:asciiTheme="majorHAnsi" w:hAnsiTheme="majorHAnsi" w:cstheme="majorHAnsi"/>
          <w:sz w:val="24"/>
          <w:szCs w:val="24"/>
        </w:rPr>
      </w:pPr>
      <w:r w:rsidRPr="00524CB2">
        <w:rPr>
          <w:rFonts w:asciiTheme="majorHAnsi" w:hAnsiTheme="majorHAnsi" w:cstheme="majorHAnsi"/>
          <w:sz w:val="24"/>
          <w:szCs w:val="24"/>
        </w:rPr>
        <w:t>super sterilizační filtrační pás</w:t>
      </w:r>
    </w:p>
    <w:p w:rsidR="006F2A21" w:rsidRPr="00524CB2" w:rsidRDefault="006F2A21" w:rsidP="006F2A21">
      <w:pPr>
        <w:numPr>
          <w:ilvl w:val="0"/>
          <w:numId w:val="26"/>
        </w:numPr>
        <w:shd w:val="clear" w:color="auto" w:fill="FFFFFF" w:themeFill="background1"/>
        <w:spacing w:line="360" w:lineRule="atLeast"/>
        <w:ind w:left="180"/>
        <w:jc w:val="both"/>
        <w:textAlignment w:val="baseline"/>
        <w:rPr>
          <w:rFonts w:asciiTheme="majorHAnsi" w:hAnsiTheme="majorHAnsi" w:cstheme="majorHAnsi"/>
          <w:sz w:val="24"/>
          <w:szCs w:val="24"/>
        </w:rPr>
      </w:pPr>
      <w:r w:rsidRPr="00524CB2">
        <w:rPr>
          <w:rFonts w:asciiTheme="majorHAnsi" w:hAnsiTheme="majorHAnsi" w:cstheme="majorHAnsi"/>
          <w:sz w:val="24"/>
          <w:szCs w:val="24"/>
        </w:rPr>
        <w:t>přesné řízení teploty</w:t>
      </w:r>
    </w:p>
    <w:p w:rsidR="006F2A21" w:rsidRPr="00524CB2" w:rsidRDefault="006F2A21" w:rsidP="006F2A21">
      <w:pPr>
        <w:numPr>
          <w:ilvl w:val="0"/>
          <w:numId w:val="27"/>
        </w:numPr>
        <w:shd w:val="clear" w:color="auto" w:fill="FFFFFF" w:themeFill="background1"/>
        <w:spacing w:line="360" w:lineRule="atLeast"/>
        <w:ind w:left="180"/>
        <w:textAlignment w:val="baseline"/>
        <w:rPr>
          <w:rFonts w:asciiTheme="majorHAnsi" w:hAnsiTheme="majorHAnsi" w:cstheme="majorHAnsi"/>
          <w:sz w:val="24"/>
          <w:szCs w:val="24"/>
        </w:rPr>
      </w:pPr>
      <w:r w:rsidRPr="00524CB2">
        <w:rPr>
          <w:rFonts w:asciiTheme="majorHAnsi" w:hAnsiTheme="majorHAnsi" w:cstheme="majorHAnsi"/>
          <w:sz w:val="24"/>
          <w:szCs w:val="24"/>
        </w:rPr>
        <w:t>Kompatibilní s DI / S-DI / BIG-DI</w:t>
      </w:r>
    </w:p>
    <w:p w:rsidR="006F2A21" w:rsidRPr="00524CB2" w:rsidRDefault="006F2A21" w:rsidP="006F2A21">
      <w:pPr>
        <w:numPr>
          <w:ilvl w:val="0"/>
          <w:numId w:val="27"/>
        </w:numPr>
        <w:shd w:val="clear" w:color="auto" w:fill="FFFFFF" w:themeFill="background1"/>
        <w:spacing w:line="360" w:lineRule="atLeast"/>
        <w:ind w:left="180"/>
        <w:textAlignment w:val="baseline"/>
        <w:rPr>
          <w:rFonts w:asciiTheme="majorHAnsi" w:hAnsiTheme="majorHAnsi" w:cstheme="majorHAnsi"/>
          <w:sz w:val="24"/>
          <w:szCs w:val="24"/>
        </w:rPr>
      </w:pPr>
      <w:r w:rsidRPr="00524CB2">
        <w:rPr>
          <w:rFonts w:asciiTheme="majorHAnsi" w:hAnsiTheme="majorHAnsi" w:cstheme="majorHAnsi"/>
          <w:sz w:val="24"/>
          <w:szCs w:val="24"/>
        </w:rPr>
        <w:t>Kompaktní design</w:t>
      </w:r>
    </w:p>
    <w:p w:rsidR="006F2A21" w:rsidRPr="00524CB2" w:rsidRDefault="006F2A21" w:rsidP="006F2A21">
      <w:pPr>
        <w:numPr>
          <w:ilvl w:val="0"/>
          <w:numId w:val="27"/>
        </w:numPr>
        <w:shd w:val="clear" w:color="auto" w:fill="FFFFFF" w:themeFill="background1"/>
        <w:spacing w:line="360" w:lineRule="atLeast"/>
        <w:ind w:left="180"/>
        <w:textAlignment w:val="baseline"/>
        <w:rPr>
          <w:rFonts w:asciiTheme="majorHAnsi" w:hAnsiTheme="majorHAnsi" w:cstheme="majorHAnsi"/>
          <w:sz w:val="24"/>
          <w:szCs w:val="24"/>
        </w:rPr>
      </w:pPr>
      <w:r w:rsidRPr="00524CB2">
        <w:rPr>
          <w:rFonts w:asciiTheme="majorHAnsi" w:hAnsiTheme="majorHAnsi" w:cstheme="majorHAnsi"/>
          <w:sz w:val="24"/>
          <w:szCs w:val="24"/>
        </w:rPr>
        <w:t>Přesná regulace teploty</w:t>
      </w:r>
    </w:p>
    <w:p w:rsidR="006F2A21" w:rsidRPr="00524CB2" w:rsidRDefault="006F2A21" w:rsidP="006F2A21">
      <w:pPr>
        <w:numPr>
          <w:ilvl w:val="0"/>
          <w:numId w:val="27"/>
        </w:numPr>
        <w:shd w:val="clear" w:color="auto" w:fill="FFFFFF" w:themeFill="background1"/>
        <w:spacing w:line="360" w:lineRule="atLeast"/>
        <w:ind w:left="180"/>
        <w:textAlignment w:val="baseline"/>
        <w:rPr>
          <w:rFonts w:asciiTheme="majorHAnsi" w:hAnsiTheme="majorHAnsi" w:cstheme="majorHAnsi"/>
          <w:sz w:val="24"/>
          <w:szCs w:val="24"/>
        </w:rPr>
      </w:pPr>
      <w:r w:rsidRPr="00524CB2">
        <w:rPr>
          <w:rFonts w:asciiTheme="majorHAnsi" w:hAnsiTheme="majorHAnsi" w:cstheme="majorHAnsi"/>
          <w:noProof/>
          <w:sz w:val="24"/>
          <w:szCs w:val="24"/>
        </w:rPr>
        <w:drawing>
          <wp:anchor distT="0" distB="0" distL="114300" distR="114300" simplePos="0" relativeHeight="251659264" behindDoc="0" locked="0" layoutInCell="1" allowOverlap="1" wp14:anchorId="06CA4DFF" wp14:editId="1A1EF70C">
            <wp:simplePos x="0" y="0"/>
            <wp:positionH relativeFrom="margin">
              <wp:posOffset>4480560</wp:posOffset>
            </wp:positionH>
            <wp:positionV relativeFrom="paragraph">
              <wp:posOffset>53340</wp:posOffset>
            </wp:positionV>
            <wp:extent cx="1760220" cy="2438400"/>
            <wp:effectExtent l="0" t="0" r="0" b="0"/>
            <wp:wrapNone/>
            <wp:docPr id="12" name="Obrázek 12" descr="snehulak logo fak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hulak logo faktu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220" cy="2438400"/>
                    </a:xfrm>
                    <a:prstGeom prst="rect">
                      <a:avLst/>
                    </a:prstGeom>
                    <a:noFill/>
                    <a:ln>
                      <a:noFill/>
                    </a:ln>
                  </pic:spPr>
                </pic:pic>
              </a:graphicData>
            </a:graphic>
            <wp14:sizeRelH relativeFrom="margin">
              <wp14:pctWidth>0</wp14:pctWidth>
            </wp14:sizeRelH>
          </wp:anchor>
        </w:drawing>
      </w:r>
      <w:r w:rsidRPr="00524CB2">
        <w:rPr>
          <w:rFonts w:asciiTheme="majorHAnsi" w:hAnsiTheme="majorHAnsi" w:cstheme="majorHAnsi"/>
          <w:sz w:val="24"/>
          <w:szCs w:val="24"/>
        </w:rPr>
        <w:t>Téměř neslyšný provoz</w:t>
      </w:r>
    </w:p>
    <w:p w:rsidR="006F2A21" w:rsidRPr="00524CB2" w:rsidRDefault="006F2A21" w:rsidP="006F2A21">
      <w:pPr>
        <w:numPr>
          <w:ilvl w:val="0"/>
          <w:numId w:val="27"/>
        </w:numPr>
        <w:shd w:val="clear" w:color="auto" w:fill="FFFFFF" w:themeFill="background1"/>
        <w:spacing w:line="360" w:lineRule="atLeast"/>
        <w:ind w:left="180"/>
        <w:textAlignment w:val="baseline"/>
        <w:rPr>
          <w:rFonts w:asciiTheme="majorHAnsi" w:hAnsiTheme="majorHAnsi" w:cstheme="majorHAnsi"/>
          <w:sz w:val="24"/>
          <w:szCs w:val="24"/>
        </w:rPr>
      </w:pPr>
      <w:r w:rsidRPr="00524CB2">
        <w:rPr>
          <w:rFonts w:asciiTheme="majorHAnsi" w:hAnsiTheme="majorHAnsi" w:cstheme="majorHAnsi"/>
          <w:sz w:val="24"/>
          <w:szCs w:val="24"/>
        </w:rPr>
        <w:t>3- stupňový filtrační systém</w:t>
      </w:r>
    </w:p>
    <w:p w:rsidR="006F2A21" w:rsidRPr="00524CB2" w:rsidRDefault="006F2A21" w:rsidP="006F2A21">
      <w:pPr>
        <w:shd w:val="clear" w:color="auto" w:fill="FFFFFF" w:themeFill="background1"/>
        <w:spacing w:line="360" w:lineRule="atLeast"/>
        <w:textAlignment w:val="baseline"/>
        <w:rPr>
          <w:rFonts w:asciiTheme="majorHAnsi" w:hAnsiTheme="majorHAnsi" w:cstheme="majorHAnsi"/>
          <w:sz w:val="24"/>
          <w:szCs w:val="24"/>
        </w:rPr>
      </w:pPr>
      <w:r w:rsidRPr="00524CB2">
        <w:rPr>
          <w:rFonts w:asciiTheme="majorHAnsi" w:hAnsiTheme="majorHAnsi" w:cstheme="majorHAnsi"/>
          <w:sz w:val="24"/>
          <w:szCs w:val="24"/>
        </w:rPr>
        <w:t xml:space="preserve">     </w:t>
      </w:r>
    </w:p>
    <w:p w:rsidR="006F2A21" w:rsidRPr="008F3025" w:rsidRDefault="006F2A21" w:rsidP="006F2A21">
      <w:pPr>
        <w:jc w:val="center"/>
        <w:rPr>
          <w:rFonts w:ascii="Arial" w:hAnsi="Arial" w:cs="Arial"/>
          <w:b/>
          <w:sz w:val="22"/>
        </w:rPr>
      </w:pPr>
    </w:p>
    <w:sectPr w:rsidR="006F2A21" w:rsidRPr="008F3025" w:rsidSect="000E418E">
      <w:headerReference w:type="default" r:id="rId15"/>
      <w:footerReference w:type="even" r:id="rId16"/>
      <w:footerReference w:type="default" r:id="rId17"/>
      <w:headerReference w:type="first" r:id="rId18"/>
      <w:footerReference w:type="first" r:id="rId19"/>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31" w:rsidRDefault="00EB7B31">
      <w:r>
        <w:separator/>
      </w:r>
    </w:p>
  </w:endnote>
  <w:endnote w:type="continuationSeparator" w:id="0">
    <w:p w:rsidR="00EB7B31" w:rsidRDefault="00EB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B4532F">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B4532F">
              <w:rPr>
                <w:rFonts w:ascii="Arial" w:hAnsi="Arial" w:cs="Arial"/>
                <w:b/>
                <w:bCs/>
                <w:noProof/>
                <w:sz w:val="18"/>
                <w:szCs w:val="18"/>
              </w:rPr>
              <w:t>9</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31" w:rsidRDefault="00EB7B31">
      <w:r>
        <w:separator/>
      </w:r>
    </w:p>
  </w:footnote>
  <w:footnote w:type="continuationSeparator" w:id="0">
    <w:p w:rsidR="00EB7B31" w:rsidRDefault="00EB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7"/>
  </w:num>
  <w:num w:numId="6">
    <w:abstractNumId w:val="13"/>
  </w:num>
  <w:num w:numId="7">
    <w:abstractNumId w:val="1"/>
  </w:num>
  <w:num w:numId="8">
    <w:abstractNumId w:val="9"/>
  </w:num>
  <w:num w:numId="9">
    <w:abstractNumId w:val="16"/>
  </w:num>
  <w:num w:numId="10">
    <w:abstractNumId w:val="18"/>
  </w:num>
  <w:num w:numId="11">
    <w:abstractNumId w:val="2"/>
  </w:num>
  <w:num w:numId="12">
    <w:abstractNumId w:val="3"/>
  </w:num>
  <w:num w:numId="13">
    <w:abstractNumId w:val="8"/>
  </w:num>
  <w:num w:numId="14">
    <w:abstractNumId w:val="5"/>
  </w:num>
  <w:num w:numId="15">
    <w:abstractNumId w:val="11"/>
  </w:num>
  <w:num w:numId="16">
    <w:abstractNumId w:val="24"/>
  </w:num>
  <w:num w:numId="17">
    <w:abstractNumId w:val="20"/>
  </w:num>
  <w:num w:numId="18">
    <w:abstractNumId w:val="14"/>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1"/>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6250"/>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559C"/>
    <w:rsid w:val="0009655A"/>
    <w:rsid w:val="00097164"/>
    <w:rsid w:val="000A03A3"/>
    <w:rsid w:val="000A3036"/>
    <w:rsid w:val="000A38EC"/>
    <w:rsid w:val="000B131A"/>
    <w:rsid w:val="000D0AAA"/>
    <w:rsid w:val="000D1CD5"/>
    <w:rsid w:val="000D2A67"/>
    <w:rsid w:val="000D2FC9"/>
    <w:rsid w:val="000E0EE6"/>
    <w:rsid w:val="000E418E"/>
    <w:rsid w:val="000F05B5"/>
    <w:rsid w:val="000F1C8D"/>
    <w:rsid w:val="000F30AC"/>
    <w:rsid w:val="000F4819"/>
    <w:rsid w:val="00105A58"/>
    <w:rsid w:val="0010779E"/>
    <w:rsid w:val="0011328D"/>
    <w:rsid w:val="001244F4"/>
    <w:rsid w:val="0013076B"/>
    <w:rsid w:val="00141F26"/>
    <w:rsid w:val="001430C5"/>
    <w:rsid w:val="00150BB2"/>
    <w:rsid w:val="00152D3A"/>
    <w:rsid w:val="001651D2"/>
    <w:rsid w:val="00166276"/>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5409"/>
    <w:rsid w:val="0027716B"/>
    <w:rsid w:val="00280521"/>
    <w:rsid w:val="0028234B"/>
    <w:rsid w:val="00283581"/>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4A6"/>
    <w:rsid w:val="00320EC3"/>
    <w:rsid w:val="00323C07"/>
    <w:rsid w:val="00341B59"/>
    <w:rsid w:val="00346ECD"/>
    <w:rsid w:val="003572B8"/>
    <w:rsid w:val="00360B49"/>
    <w:rsid w:val="00376954"/>
    <w:rsid w:val="003921FF"/>
    <w:rsid w:val="00394100"/>
    <w:rsid w:val="003A0084"/>
    <w:rsid w:val="003A44A3"/>
    <w:rsid w:val="003A76D4"/>
    <w:rsid w:val="003B26D5"/>
    <w:rsid w:val="003B7470"/>
    <w:rsid w:val="003D24DA"/>
    <w:rsid w:val="003D679F"/>
    <w:rsid w:val="003F127C"/>
    <w:rsid w:val="003F6D9D"/>
    <w:rsid w:val="004121CE"/>
    <w:rsid w:val="00420F02"/>
    <w:rsid w:val="00432439"/>
    <w:rsid w:val="00432E20"/>
    <w:rsid w:val="00434DB4"/>
    <w:rsid w:val="00445BD4"/>
    <w:rsid w:val="00447522"/>
    <w:rsid w:val="00453132"/>
    <w:rsid w:val="004536C9"/>
    <w:rsid w:val="004575D9"/>
    <w:rsid w:val="00457CBB"/>
    <w:rsid w:val="00465556"/>
    <w:rsid w:val="00481E94"/>
    <w:rsid w:val="0048663D"/>
    <w:rsid w:val="00486A58"/>
    <w:rsid w:val="00490610"/>
    <w:rsid w:val="004929A9"/>
    <w:rsid w:val="004B3093"/>
    <w:rsid w:val="004B7337"/>
    <w:rsid w:val="004C74FD"/>
    <w:rsid w:val="004D2579"/>
    <w:rsid w:val="004D2BCF"/>
    <w:rsid w:val="004E644A"/>
    <w:rsid w:val="004E65E3"/>
    <w:rsid w:val="00501B85"/>
    <w:rsid w:val="00501F5A"/>
    <w:rsid w:val="005057FA"/>
    <w:rsid w:val="005066AA"/>
    <w:rsid w:val="005078E3"/>
    <w:rsid w:val="00512BCB"/>
    <w:rsid w:val="0051332E"/>
    <w:rsid w:val="00517B28"/>
    <w:rsid w:val="00524DBB"/>
    <w:rsid w:val="00526B5D"/>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6020A"/>
    <w:rsid w:val="00672265"/>
    <w:rsid w:val="006750FB"/>
    <w:rsid w:val="00676859"/>
    <w:rsid w:val="006769BE"/>
    <w:rsid w:val="00676E2B"/>
    <w:rsid w:val="006955B9"/>
    <w:rsid w:val="00696075"/>
    <w:rsid w:val="006B0B09"/>
    <w:rsid w:val="006B27E1"/>
    <w:rsid w:val="006D2D86"/>
    <w:rsid w:val="006D3824"/>
    <w:rsid w:val="006E7753"/>
    <w:rsid w:val="006E7A85"/>
    <w:rsid w:val="006F2A21"/>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045B"/>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4FDE"/>
    <w:rsid w:val="008663A3"/>
    <w:rsid w:val="0089639A"/>
    <w:rsid w:val="0089659B"/>
    <w:rsid w:val="008B366C"/>
    <w:rsid w:val="008C4278"/>
    <w:rsid w:val="008C624F"/>
    <w:rsid w:val="008C65E6"/>
    <w:rsid w:val="008C6CAF"/>
    <w:rsid w:val="008C73D2"/>
    <w:rsid w:val="008D01E2"/>
    <w:rsid w:val="008D1E40"/>
    <w:rsid w:val="008D65AD"/>
    <w:rsid w:val="008E454F"/>
    <w:rsid w:val="008E684F"/>
    <w:rsid w:val="008F0FAB"/>
    <w:rsid w:val="008F3025"/>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3A1F"/>
    <w:rsid w:val="00A33947"/>
    <w:rsid w:val="00A4532E"/>
    <w:rsid w:val="00A51749"/>
    <w:rsid w:val="00A54C25"/>
    <w:rsid w:val="00A753B2"/>
    <w:rsid w:val="00A80A44"/>
    <w:rsid w:val="00A813E9"/>
    <w:rsid w:val="00A836A9"/>
    <w:rsid w:val="00A913B0"/>
    <w:rsid w:val="00A95D06"/>
    <w:rsid w:val="00A97079"/>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7489"/>
    <w:rsid w:val="00B3794C"/>
    <w:rsid w:val="00B406FF"/>
    <w:rsid w:val="00B4532F"/>
    <w:rsid w:val="00B4721E"/>
    <w:rsid w:val="00B56E8C"/>
    <w:rsid w:val="00B62056"/>
    <w:rsid w:val="00B62A17"/>
    <w:rsid w:val="00B648B3"/>
    <w:rsid w:val="00B70053"/>
    <w:rsid w:val="00B70CB9"/>
    <w:rsid w:val="00B82978"/>
    <w:rsid w:val="00B87D72"/>
    <w:rsid w:val="00B913AF"/>
    <w:rsid w:val="00B91E24"/>
    <w:rsid w:val="00B95516"/>
    <w:rsid w:val="00B95D9C"/>
    <w:rsid w:val="00BB50A0"/>
    <w:rsid w:val="00BD3EBA"/>
    <w:rsid w:val="00BD6F3B"/>
    <w:rsid w:val="00BF0EF3"/>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D03CB0"/>
    <w:rsid w:val="00D05309"/>
    <w:rsid w:val="00D244C4"/>
    <w:rsid w:val="00D25742"/>
    <w:rsid w:val="00D25888"/>
    <w:rsid w:val="00D26780"/>
    <w:rsid w:val="00D3342D"/>
    <w:rsid w:val="00D4217E"/>
    <w:rsid w:val="00D54B78"/>
    <w:rsid w:val="00D6266B"/>
    <w:rsid w:val="00D6300D"/>
    <w:rsid w:val="00D64973"/>
    <w:rsid w:val="00D734E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B7B31"/>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54572"/>
    <w:rsid w:val="00F64236"/>
    <w:rsid w:val="00F804CC"/>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h.cz/protikorupcni-a-compliance-program/d-1346/p1=1458"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8C14-A3CE-4AC9-ACF6-7A7EECF4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2481</Words>
  <Characters>14643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3</cp:revision>
  <cp:lastPrinted>2019-04-16T05:43:00Z</cp:lastPrinted>
  <dcterms:created xsi:type="dcterms:W3CDTF">2019-04-30T10:45:00Z</dcterms:created>
  <dcterms:modified xsi:type="dcterms:W3CDTF">2019-04-30T10:47:00Z</dcterms:modified>
  <cp:category>Výběrové řízení</cp:category>
</cp:coreProperties>
</file>