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C094" w14:textId="77777777" w:rsidR="000F2CE2" w:rsidRPr="00456570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DC52B5" w:rsidRPr="00456570">
        <w:rPr>
          <w:rFonts w:ascii="Arial" w:hAnsi="Arial" w:cs="Arial"/>
          <w:sz w:val="24"/>
        </w:rPr>
        <w:t>GTP</w:t>
      </w:r>
    </w:p>
    <w:p w14:paraId="73E8CECC" w14:textId="7777777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</w:p>
    <w:p w14:paraId="45524AA4" w14:textId="7777777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„NOZ“)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4FCA6BB3" w14:textId="77777777" w:rsidR="00593846" w:rsidRPr="00E93F51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republika - </w:t>
      </w:r>
      <w:r w:rsidR="003D4EA2" w:rsidRPr="00E93F51">
        <w:rPr>
          <w:rFonts w:ascii="Arial" w:hAnsi="Arial" w:cs="Arial"/>
          <w:i w:val="0"/>
          <w:sz w:val="22"/>
          <w:szCs w:val="22"/>
        </w:rPr>
        <w:t>Státní pozemkový úřad</w:t>
      </w:r>
      <w:r w:rsidR="00EA21B7" w:rsidRPr="00E93F51">
        <w:rPr>
          <w:rFonts w:ascii="Arial" w:hAnsi="Arial" w:cs="Arial"/>
          <w:i w:val="0"/>
          <w:sz w:val="22"/>
          <w:szCs w:val="22"/>
        </w:rPr>
        <w:t>,</w:t>
      </w:r>
    </w:p>
    <w:p w14:paraId="23928713" w14:textId="4245BE96" w:rsidR="00EA21B7" w:rsidRPr="00E93F51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ab/>
        <w:t xml:space="preserve">Krajský pozemkový úřad </w:t>
      </w:r>
      <w:r w:rsidR="004870F3">
        <w:rPr>
          <w:rFonts w:ascii="Arial" w:hAnsi="Arial" w:cs="Arial"/>
          <w:i w:val="0"/>
          <w:sz w:val="22"/>
          <w:szCs w:val="22"/>
        </w:rPr>
        <w:t>pro Jihočeský kraj</w:t>
      </w:r>
    </w:p>
    <w:p w14:paraId="47549D99" w14:textId="5FDD81A0" w:rsidR="00EA21B7" w:rsidRPr="00E93F51" w:rsidRDefault="004870F3" w:rsidP="001103D2">
      <w:pPr>
        <w:pStyle w:val="Zkladntext"/>
        <w:spacing w:line="276" w:lineRule="auto"/>
        <w:ind w:left="212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Pobočka Písek</w:t>
      </w:r>
    </w:p>
    <w:p w14:paraId="142ECB2E" w14:textId="231DC68E" w:rsidR="00EA21B7" w:rsidRPr="00E93F51" w:rsidRDefault="00EA21B7" w:rsidP="004870F3">
      <w:pPr>
        <w:pStyle w:val="Bezmezer"/>
        <w:tabs>
          <w:tab w:val="left" w:pos="4536"/>
        </w:tabs>
        <w:ind w:left="4950" w:hanging="4950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4870F3">
        <w:rPr>
          <w:rFonts w:ascii="Arial" w:hAnsi="Arial" w:cs="Arial"/>
          <w:sz w:val="22"/>
          <w:szCs w:val="22"/>
        </w:rPr>
        <w:tab/>
        <w:t xml:space="preserve">Ing. Jaroslavou </w:t>
      </w:r>
      <w:proofErr w:type="spellStart"/>
      <w:r w:rsidR="004870F3">
        <w:rPr>
          <w:rFonts w:ascii="Arial" w:hAnsi="Arial" w:cs="Arial"/>
          <w:sz w:val="22"/>
          <w:szCs w:val="22"/>
        </w:rPr>
        <w:t>Khekovou</w:t>
      </w:r>
      <w:proofErr w:type="spellEnd"/>
      <w:r w:rsidR="004870F3">
        <w:rPr>
          <w:rFonts w:ascii="Arial" w:hAnsi="Arial" w:cs="Arial"/>
          <w:sz w:val="22"/>
          <w:szCs w:val="22"/>
        </w:rPr>
        <w:t xml:space="preserve">, </w:t>
      </w:r>
      <w:r w:rsidR="004870F3">
        <w:rPr>
          <w:rFonts w:ascii="Arial" w:hAnsi="Arial" w:cs="Arial"/>
          <w:sz w:val="22"/>
          <w:szCs w:val="22"/>
        </w:rPr>
        <w:br/>
        <w:t>vedoucí Pobočky Písek</w:t>
      </w:r>
    </w:p>
    <w:p w14:paraId="623559F5" w14:textId="682EEE47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="004870F3">
        <w:rPr>
          <w:rFonts w:ascii="Arial" w:hAnsi="Arial" w:cs="Arial"/>
          <w:sz w:val="22"/>
          <w:szCs w:val="22"/>
        </w:rPr>
        <w:tab/>
        <w:t>Ing. Jaroslava Kheková</w:t>
      </w:r>
      <w:r w:rsidR="004870F3">
        <w:rPr>
          <w:rFonts w:ascii="Arial" w:hAnsi="Arial" w:cs="Arial"/>
          <w:sz w:val="22"/>
          <w:szCs w:val="22"/>
        </w:rPr>
        <w:br/>
      </w:r>
      <w:r w:rsidR="004870F3">
        <w:rPr>
          <w:rFonts w:ascii="Arial" w:hAnsi="Arial" w:cs="Arial"/>
          <w:sz w:val="22"/>
          <w:szCs w:val="22"/>
        </w:rPr>
        <w:tab/>
        <w:t>vedoucí Pobočky Písek</w:t>
      </w:r>
    </w:p>
    <w:p w14:paraId="33C8F953" w14:textId="05AEAD0C" w:rsidR="00EA21B7" w:rsidRPr="00E93F51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4870F3">
        <w:rPr>
          <w:rFonts w:ascii="Arial" w:hAnsi="Arial" w:cs="Arial"/>
          <w:snapToGrid w:val="0"/>
          <w:sz w:val="22"/>
          <w:szCs w:val="22"/>
        </w:rPr>
        <w:tab/>
        <w:t>Ing. Vladimír Pavlín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4011BF84" w14:textId="180E439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Adresa:</w:t>
      </w:r>
      <w:r w:rsidRPr="00E93F51">
        <w:rPr>
          <w:rFonts w:ascii="Arial" w:hAnsi="Arial" w:cs="Arial"/>
          <w:sz w:val="22"/>
          <w:szCs w:val="22"/>
        </w:rPr>
        <w:tab/>
      </w:r>
      <w:r w:rsidR="004870F3">
        <w:rPr>
          <w:rFonts w:ascii="Arial" w:hAnsi="Arial" w:cs="Arial"/>
          <w:sz w:val="22"/>
          <w:szCs w:val="22"/>
        </w:rPr>
        <w:tab/>
        <w:t>Nádražní 1988, 397 01 Píse</w:t>
      </w:r>
      <w:r w:rsidR="00B50BF9">
        <w:rPr>
          <w:rFonts w:ascii="Arial" w:hAnsi="Arial" w:cs="Arial"/>
          <w:sz w:val="22"/>
          <w:szCs w:val="22"/>
        </w:rPr>
        <w:t>k</w:t>
      </w:r>
    </w:p>
    <w:p w14:paraId="03ED070B" w14:textId="4A03FB98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="004870F3">
        <w:rPr>
          <w:rFonts w:ascii="Arial" w:hAnsi="Arial" w:cs="Arial"/>
          <w:sz w:val="22"/>
          <w:szCs w:val="22"/>
        </w:rPr>
        <w:tab/>
      </w:r>
      <w:proofErr w:type="spellStart"/>
      <w:r w:rsidR="00F7281D">
        <w:rPr>
          <w:rFonts w:ascii="Arial" w:hAnsi="Arial" w:cs="Arial"/>
          <w:sz w:val="22"/>
          <w:szCs w:val="22"/>
        </w:rPr>
        <w:t>xxxx</w:t>
      </w:r>
      <w:proofErr w:type="spellEnd"/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59391A8E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4870F3">
        <w:rPr>
          <w:rFonts w:ascii="Arial" w:hAnsi="Arial" w:cs="Arial"/>
          <w:sz w:val="22"/>
          <w:szCs w:val="22"/>
        </w:rPr>
        <w:tab/>
        <w:t>pisek.pk@</w:t>
      </w:r>
      <w:r w:rsidRPr="00E93F51">
        <w:rPr>
          <w:rFonts w:ascii="Arial" w:hAnsi="Arial" w:cs="Arial"/>
          <w:sz w:val="22"/>
          <w:szCs w:val="22"/>
        </w:rPr>
        <w:t>spucr.cz</w:t>
      </w:r>
    </w:p>
    <w:p w14:paraId="5E2C97FB" w14:textId="7C1DAF3F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ID DS:</w:t>
      </w:r>
      <w:r w:rsidRPr="00E93F51">
        <w:rPr>
          <w:rFonts w:ascii="Arial" w:hAnsi="Arial" w:cs="Arial"/>
          <w:sz w:val="22"/>
          <w:szCs w:val="22"/>
        </w:rPr>
        <w:tab/>
      </w:r>
      <w:r w:rsidR="004870F3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z49per3</w:t>
      </w:r>
    </w:p>
    <w:p w14:paraId="6FCF51A5" w14:textId="24EBE8F3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4870F3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882D5DB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4870F3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3723001/0710</w:t>
      </w:r>
    </w:p>
    <w:p w14:paraId="58445035" w14:textId="5E08C2DF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4870F3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 xml:space="preserve">01312774                                                                 </w:t>
      </w:r>
    </w:p>
    <w:p w14:paraId="4FC5D4A6" w14:textId="7E4E75F1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4870F3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2AC3A08" w14:textId="4329FF0A" w:rsidR="00ED61CA" w:rsidRPr="00C45F36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</w:t>
      </w:r>
      <w:r w:rsidRPr="00C45F36">
        <w:rPr>
          <w:rFonts w:ascii="Arial" w:hAnsi="Arial" w:cs="Arial"/>
          <w:b/>
          <w:sz w:val="22"/>
          <w:szCs w:val="22"/>
        </w:rPr>
        <w:t xml:space="preserve">2. </w:t>
      </w:r>
      <w:proofErr w:type="gramStart"/>
      <w:r w:rsidRPr="00C45F36">
        <w:rPr>
          <w:rFonts w:ascii="Arial" w:hAnsi="Arial" w:cs="Arial"/>
          <w:b/>
          <w:sz w:val="22"/>
          <w:szCs w:val="22"/>
        </w:rPr>
        <w:t xml:space="preserve">Zhotovitel:   </w:t>
      </w:r>
      <w:proofErr w:type="gramEnd"/>
      <w:r w:rsidRPr="00C45F36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4870F3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proofErr w:type="spellStart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ArtepGeo</w:t>
      </w:r>
      <w:proofErr w:type="spellEnd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s.r.o.</w:t>
      </w:r>
      <w:proofErr w:type="spellEnd"/>
      <w:r w:rsidRPr="00C45F36">
        <w:rPr>
          <w:rFonts w:ascii="Arial" w:hAnsi="Arial" w:cs="Arial"/>
          <w:b/>
          <w:sz w:val="22"/>
          <w:szCs w:val="22"/>
        </w:rPr>
        <w:tab/>
      </w:r>
    </w:p>
    <w:p w14:paraId="2A709E90" w14:textId="0B330824" w:rsidR="00ED61CA" w:rsidRPr="00C45F36" w:rsidRDefault="00ED61CA" w:rsidP="00601F9F">
      <w:pPr>
        <w:tabs>
          <w:tab w:val="left" w:pos="4253"/>
        </w:tabs>
        <w:spacing w:line="288" w:lineRule="auto"/>
        <w:ind w:left="4950" w:hanging="4950"/>
        <w:jc w:val="both"/>
        <w:rPr>
          <w:rFonts w:ascii="Arial" w:hAnsi="Arial" w:cs="Arial"/>
          <w:i/>
          <w:sz w:val="22"/>
          <w:szCs w:val="22"/>
        </w:rPr>
      </w:pPr>
      <w:r w:rsidRPr="00C45F36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C45F36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C45F36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4870F3" w:rsidRPr="00C45F36">
        <w:rPr>
          <w:rFonts w:ascii="Arial" w:hAnsi="Arial" w:cs="Arial"/>
          <w:sz w:val="22"/>
          <w:szCs w:val="22"/>
        </w:rPr>
        <w:tab/>
      </w:r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Ing. </w:t>
      </w:r>
      <w:proofErr w:type="spellStart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Jindřichem</w:t>
      </w:r>
      <w:proofErr w:type="spellEnd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Vlčkem</w:t>
      </w:r>
      <w:proofErr w:type="spellEnd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jednatelem</w:t>
      </w:r>
      <w:proofErr w:type="spellEnd"/>
      <w:r w:rsidR="00740750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společnosti</w:t>
      </w:r>
      <w:proofErr w:type="spellEnd"/>
    </w:p>
    <w:p w14:paraId="3D7FB62E" w14:textId="17FBE3EA" w:rsidR="00ED61CA" w:rsidRPr="00C45F36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45F36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C45F36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C45F36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4870F3" w:rsidRPr="00C45F36"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="00BB7154">
        <w:rPr>
          <w:rFonts w:ascii="Arial" w:hAnsi="Arial" w:cs="Arial"/>
          <w:bCs/>
          <w:snapToGrid w:val="0"/>
          <w:sz w:val="22"/>
          <w:szCs w:val="22"/>
          <w:lang w:val="en-US"/>
        </w:rPr>
        <w:t>xxxx</w:t>
      </w:r>
      <w:proofErr w:type="spellEnd"/>
      <w:r w:rsidRPr="00C45F36">
        <w:rPr>
          <w:rFonts w:ascii="Arial" w:hAnsi="Arial" w:cs="Arial"/>
          <w:sz w:val="22"/>
          <w:szCs w:val="22"/>
        </w:rPr>
        <w:tab/>
      </w:r>
    </w:p>
    <w:p w14:paraId="677CE191" w14:textId="673450C5" w:rsidR="00ED61CA" w:rsidRPr="00C45F36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C45F36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C45F36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C45F36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4870F3" w:rsidRPr="00C45F36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BB7154">
        <w:rPr>
          <w:rFonts w:ascii="Arial" w:hAnsi="Arial" w:cs="Arial"/>
          <w:bCs/>
          <w:snapToGrid w:val="0"/>
          <w:sz w:val="22"/>
          <w:szCs w:val="22"/>
          <w:lang w:val="en-US"/>
        </w:rPr>
        <w:t>xxxx</w:t>
      </w:r>
      <w:proofErr w:type="spellEnd"/>
    </w:p>
    <w:p w14:paraId="3CE6763B" w14:textId="1F49E104" w:rsidR="00ED61CA" w:rsidRPr="00C45F36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C45F36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C45F36">
        <w:rPr>
          <w:rFonts w:ascii="Arial" w:hAnsi="Arial" w:cs="Arial"/>
          <w:sz w:val="22"/>
          <w:szCs w:val="22"/>
        </w:rPr>
        <w:tab/>
      </w:r>
      <w:proofErr w:type="spellStart"/>
      <w:r w:rsidR="00F7281D">
        <w:rPr>
          <w:rFonts w:ascii="Arial" w:hAnsi="Arial" w:cs="Arial"/>
          <w:bCs/>
          <w:snapToGrid w:val="0"/>
          <w:sz w:val="22"/>
          <w:szCs w:val="22"/>
          <w:lang w:val="en-US"/>
        </w:rPr>
        <w:t>xxxx</w:t>
      </w:r>
      <w:proofErr w:type="spellEnd"/>
      <w:r w:rsidRPr="00C45F36">
        <w:rPr>
          <w:rFonts w:ascii="Arial" w:hAnsi="Arial" w:cs="Arial"/>
          <w:sz w:val="22"/>
          <w:szCs w:val="22"/>
        </w:rPr>
        <w:tab/>
      </w:r>
      <w:r w:rsidRPr="00C45F36">
        <w:rPr>
          <w:rFonts w:ascii="Arial" w:hAnsi="Arial" w:cs="Arial"/>
          <w:sz w:val="22"/>
          <w:szCs w:val="22"/>
        </w:rPr>
        <w:tab/>
        <w:t xml:space="preserve">   </w:t>
      </w:r>
      <w:r w:rsidRPr="00C45F36">
        <w:rPr>
          <w:rFonts w:ascii="Arial" w:hAnsi="Arial" w:cs="Arial"/>
          <w:sz w:val="22"/>
          <w:szCs w:val="22"/>
        </w:rPr>
        <w:tab/>
      </w:r>
      <w:r w:rsidRPr="00C45F36">
        <w:rPr>
          <w:rFonts w:ascii="Arial" w:hAnsi="Arial" w:cs="Arial"/>
          <w:sz w:val="22"/>
          <w:szCs w:val="22"/>
        </w:rPr>
        <w:tab/>
      </w:r>
    </w:p>
    <w:p w14:paraId="70528741" w14:textId="3EB49100" w:rsidR="00ED61CA" w:rsidRPr="00C45F36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45F36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C45F36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C45F36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4870F3" w:rsidRPr="00C45F36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BB7154">
        <w:rPr>
          <w:rFonts w:ascii="Arial" w:hAnsi="Arial" w:cs="Arial"/>
          <w:bCs/>
          <w:snapToGrid w:val="0"/>
          <w:sz w:val="22"/>
          <w:szCs w:val="22"/>
          <w:lang w:val="en-US"/>
        </w:rPr>
        <w:t>xxxx</w:t>
      </w:r>
      <w:proofErr w:type="spellEnd"/>
      <w:r w:rsidRPr="00C45F36">
        <w:rPr>
          <w:rFonts w:ascii="Arial" w:hAnsi="Arial" w:cs="Arial"/>
          <w:sz w:val="22"/>
          <w:szCs w:val="22"/>
        </w:rPr>
        <w:tab/>
      </w:r>
    </w:p>
    <w:p w14:paraId="291BAFF1" w14:textId="4A3CE5F8" w:rsidR="00ED61CA" w:rsidRPr="00C45F36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C45F36">
        <w:rPr>
          <w:rFonts w:ascii="Arial" w:hAnsi="Arial" w:cs="Arial"/>
          <w:sz w:val="22"/>
          <w:szCs w:val="22"/>
        </w:rPr>
        <w:t xml:space="preserve">    e-mail:</w:t>
      </w:r>
      <w:r w:rsidRPr="00C45F36">
        <w:rPr>
          <w:rFonts w:ascii="Arial" w:hAnsi="Arial" w:cs="Arial"/>
          <w:sz w:val="22"/>
          <w:szCs w:val="22"/>
        </w:rPr>
        <w:tab/>
      </w:r>
      <w:r w:rsidR="004870F3" w:rsidRPr="00C45F36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="00BB7154">
        <w:rPr>
          <w:rFonts w:ascii="Arial" w:hAnsi="Arial" w:cs="Arial"/>
          <w:bCs/>
          <w:snapToGrid w:val="0"/>
          <w:sz w:val="22"/>
          <w:szCs w:val="22"/>
          <w:lang w:val="en-US"/>
        </w:rPr>
        <w:t>xxxx</w:t>
      </w:r>
      <w:proofErr w:type="spellEnd"/>
    </w:p>
    <w:p w14:paraId="2639769C" w14:textId="747DB323" w:rsidR="00ED61CA" w:rsidRPr="00C45F36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C45F36">
        <w:rPr>
          <w:rFonts w:ascii="Arial" w:hAnsi="Arial" w:cs="Arial"/>
          <w:sz w:val="22"/>
          <w:szCs w:val="22"/>
        </w:rPr>
        <w:t xml:space="preserve">    bankovní spojení:</w:t>
      </w:r>
      <w:r w:rsidRPr="00C45F36">
        <w:rPr>
          <w:rFonts w:ascii="Arial" w:hAnsi="Arial" w:cs="Arial"/>
          <w:sz w:val="22"/>
          <w:szCs w:val="22"/>
        </w:rPr>
        <w:tab/>
      </w:r>
      <w:r w:rsidR="004870F3" w:rsidRPr="00C45F36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Komerční</w:t>
      </w:r>
      <w:proofErr w:type="spellEnd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banka</w:t>
      </w:r>
      <w:proofErr w:type="spellEnd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a.s.</w:t>
      </w:r>
      <w:proofErr w:type="spellEnd"/>
      <w:r w:rsidRPr="00C45F36">
        <w:rPr>
          <w:rFonts w:ascii="Arial" w:hAnsi="Arial" w:cs="Arial"/>
          <w:sz w:val="22"/>
          <w:szCs w:val="22"/>
        </w:rPr>
        <w:tab/>
      </w:r>
      <w:r w:rsidRPr="00C45F36">
        <w:rPr>
          <w:rFonts w:ascii="Arial" w:hAnsi="Arial" w:cs="Arial"/>
          <w:sz w:val="22"/>
          <w:szCs w:val="22"/>
        </w:rPr>
        <w:tab/>
      </w:r>
    </w:p>
    <w:p w14:paraId="05881225" w14:textId="69518A49" w:rsidR="00ED61CA" w:rsidRPr="00C45F36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45F36">
        <w:rPr>
          <w:rFonts w:ascii="Arial" w:hAnsi="Arial" w:cs="Arial"/>
          <w:sz w:val="22"/>
          <w:szCs w:val="22"/>
        </w:rPr>
        <w:t xml:space="preserve">    číslo účtu:</w:t>
      </w:r>
      <w:r w:rsidRPr="00C45F36">
        <w:rPr>
          <w:rFonts w:ascii="Arial" w:hAnsi="Arial" w:cs="Arial"/>
          <w:sz w:val="22"/>
          <w:szCs w:val="22"/>
        </w:rPr>
        <w:tab/>
      </w:r>
      <w:r w:rsidR="004870F3" w:rsidRPr="00C45F36">
        <w:rPr>
          <w:rFonts w:ascii="Arial" w:hAnsi="Arial" w:cs="Arial"/>
          <w:sz w:val="22"/>
          <w:szCs w:val="22"/>
        </w:rPr>
        <w:t xml:space="preserve">           </w:t>
      </w:r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35-9670300257/0100</w:t>
      </w:r>
      <w:r w:rsidRPr="00C45F36">
        <w:rPr>
          <w:rFonts w:ascii="Arial" w:hAnsi="Arial" w:cs="Arial"/>
          <w:sz w:val="22"/>
          <w:szCs w:val="22"/>
        </w:rPr>
        <w:tab/>
      </w:r>
      <w:r w:rsidRPr="00C45F36">
        <w:rPr>
          <w:rFonts w:ascii="Arial" w:hAnsi="Arial" w:cs="Arial"/>
          <w:sz w:val="22"/>
          <w:szCs w:val="22"/>
        </w:rPr>
        <w:tab/>
      </w:r>
      <w:r w:rsidRPr="00C45F36">
        <w:rPr>
          <w:rFonts w:ascii="Arial" w:hAnsi="Arial" w:cs="Arial"/>
          <w:sz w:val="22"/>
          <w:szCs w:val="22"/>
        </w:rPr>
        <w:tab/>
      </w:r>
    </w:p>
    <w:p w14:paraId="502CD641" w14:textId="51EDBE95" w:rsidR="00ED61CA" w:rsidRPr="00C45F36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45F36">
        <w:rPr>
          <w:rFonts w:ascii="Arial" w:hAnsi="Arial" w:cs="Arial"/>
          <w:sz w:val="22"/>
          <w:szCs w:val="22"/>
        </w:rPr>
        <w:t xml:space="preserve">    IČO:</w:t>
      </w:r>
      <w:r w:rsidRPr="00C45F36">
        <w:rPr>
          <w:rFonts w:ascii="Arial" w:hAnsi="Arial" w:cs="Arial"/>
          <w:sz w:val="22"/>
          <w:szCs w:val="22"/>
        </w:rPr>
        <w:tab/>
      </w:r>
      <w:r w:rsidR="004870F3" w:rsidRPr="00C45F36">
        <w:rPr>
          <w:rFonts w:ascii="Arial" w:hAnsi="Arial" w:cs="Arial"/>
          <w:sz w:val="22"/>
          <w:szCs w:val="22"/>
        </w:rPr>
        <w:t xml:space="preserve">           </w:t>
      </w:r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27919587</w:t>
      </w:r>
      <w:r w:rsidRPr="00C45F36">
        <w:rPr>
          <w:rFonts w:ascii="Arial" w:hAnsi="Arial" w:cs="Arial"/>
          <w:sz w:val="22"/>
          <w:szCs w:val="22"/>
        </w:rPr>
        <w:tab/>
      </w:r>
      <w:r w:rsidRPr="00C45F36">
        <w:rPr>
          <w:rFonts w:ascii="Arial" w:hAnsi="Arial" w:cs="Arial"/>
          <w:sz w:val="22"/>
          <w:szCs w:val="22"/>
        </w:rPr>
        <w:tab/>
      </w:r>
    </w:p>
    <w:p w14:paraId="63245A05" w14:textId="2C450084" w:rsidR="00ED61CA" w:rsidRPr="00C45F36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45F36">
        <w:rPr>
          <w:rFonts w:ascii="Arial" w:hAnsi="Arial" w:cs="Arial"/>
          <w:sz w:val="22"/>
          <w:szCs w:val="22"/>
        </w:rPr>
        <w:t xml:space="preserve">    DIČ:</w:t>
      </w:r>
      <w:r w:rsidRPr="00C45F36">
        <w:rPr>
          <w:rFonts w:ascii="Arial" w:hAnsi="Arial" w:cs="Arial"/>
          <w:sz w:val="22"/>
          <w:szCs w:val="22"/>
        </w:rPr>
        <w:tab/>
      </w:r>
      <w:r w:rsidR="004870F3" w:rsidRPr="00C45F36">
        <w:rPr>
          <w:rFonts w:ascii="Arial" w:hAnsi="Arial" w:cs="Arial"/>
          <w:sz w:val="22"/>
          <w:szCs w:val="22"/>
        </w:rPr>
        <w:t xml:space="preserve">           </w:t>
      </w:r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CZ27919587</w:t>
      </w:r>
    </w:p>
    <w:p w14:paraId="049E6CED" w14:textId="4736105C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C45F36">
        <w:rPr>
          <w:rFonts w:ascii="Arial" w:hAnsi="Arial" w:cs="Arial"/>
          <w:sz w:val="22"/>
          <w:szCs w:val="22"/>
        </w:rPr>
        <w:t xml:space="preserve">Společnost je zapsaná v obchodním rejstříku vedeném </w:t>
      </w:r>
      <w:r w:rsidR="00C45F36" w:rsidRPr="00C45F36">
        <w:rPr>
          <w:rFonts w:ascii="Arial" w:hAnsi="Arial" w:cs="Arial"/>
          <w:sz w:val="22"/>
          <w:szCs w:val="22"/>
        </w:rPr>
        <w:t>Městským soudem v Praze</w:t>
      </w:r>
      <w:r w:rsidRPr="00C45F36">
        <w:rPr>
          <w:rFonts w:ascii="Arial" w:hAnsi="Arial" w:cs="Arial"/>
          <w:sz w:val="22"/>
          <w:szCs w:val="22"/>
        </w:rPr>
        <w:t>, oddíl</w:t>
      </w:r>
      <w:r w:rsidR="00C45F36" w:rsidRPr="00C45F36">
        <w:rPr>
          <w:rFonts w:ascii="Arial" w:hAnsi="Arial" w:cs="Arial"/>
          <w:sz w:val="22"/>
          <w:szCs w:val="22"/>
        </w:rPr>
        <w:t xml:space="preserve"> C</w:t>
      </w:r>
      <w:r w:rsidRPr="00C45F36">
        <w:rPr>
          <w:rFonts w:ascii="Arial" w:hAnsi="Arial" w:cs="Arial"/>
          <w:sz w:val="22"/>
          <w:szCs w:val="22"/>
        </w:rPr>
        <w:t>, vložka</w:t>
      </w:r>
      <w:r w:rsidR="004870F3" w:rsidRPr="00C45F36">
        <w:rPr>
          <w:rFonts w:ascii="Arial" w:hAnsi="Arial" w:cs="Arial"/>
          <w:sz w:val="22"/>
          <w:szCs w:val="22"/>
        </w:rPr>
        <w:t xml:space="preserve"> </w:t>
      </w:r>
      <w:r w:rsidR="00C45F36" w:rsidRPr="00C45F36">
        <w:rPr>
          <w:rFonts w:ascii="Arial" w:hAnsi="Arial" w:cs="Arial"/>
          <w:bCs/>
          <w:snapToGrid w:val="0"/>
          <w:sz w:val="22"/>
          <w:szCs w:val="22"/>
          <w:lang w:val="en-US"/>
        </w:rPr>
        <w:t>126511</w:t>
      </w:r>
    </w:p>
    <w:p w14:paraId="4CC58448" w14:textId="33417F0A" w:rsidR="00593846" w:rsidRPr="00E93F51" w:rsidRDefault="004870F3" w:rsidP="004870F3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</w:t>
      </w:r>
      <w:r w:rsidR="004F5D4D"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="004F5D4D" w:rsidRPr="00E93F51">
        <w:rPr>
          <w:rFonts w:ascii="Arial" w:hAnsi="Arial" w:cs="Arial"/>
          <w:i w:val="0"/>
          <w:sz w:val="22"/>
          <w:szCs w:val="22"/>
        </w:rPr>
        <w:t>zhotovitel</w:t>
      </w:r>
      <w:r w:rsidR="004F5D4D"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DF632B1" w14:textId="6236D8C9" w:rsidR="00ED61CA" w:rsidRPr="00E93F51" w:rsidRDefault="000D303F" w:rsidP="00601F9F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</w:t>
      </w:r>
      <w:r w:rsidR="00EB04A3">
        <w:rPr>
          <w:rFonts w:ascii="Arial" w:hAnsi="Arial" w:cs="Arial"/>
          <w:sz w:val="22"/>
          <w:szCs w:val="22"/>
        </w:rPr>
        <w:t xml:space="preserve">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t>č. 134/2016 Sb., o zadávání veřejných zakázek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>uzavírají smluvní strany tuto smlouvu o dílo a poskytování služeb na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247EECB3" w:rsidR="00B04130" w:rsidRPr="00E93F51" w:rsidRDefault="0038308E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1. </w:t>
      </w:r>
      <w:r w:rsidR="007F5AFE"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A01ED1" w:rsidRPr="00A01ED1">
        <w:rPr>
          <w:rStyle w:val="Siln"/>
          <w:rFonts w:ascii="Arial" w:hAnsi="Arial" w:cs="Arial"/>
          <w:b w:val="0"/>
          <w:sz w:val="22"/>
          <w:szCs w:val="22"/>
        </w:rPr>
        <w:t>4VZ610/2019-505204</w:t>
      </w:r>
      <w:r w:rsidR="00A01ED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</w:t>
      </w:r>
      <w:r w:rsidR="00544F8C">
        <w:rPr>
          <w:rStyle w:val="Siln"/>
          <w:rFonts w:ascii="Arial" w:hAnsi="Arial" w:cs="Arial"/>
          <w:sz w:val="22"/>
          <w:szCs w:val="22"/>
        </w:rPr>
        <w:t xml:space="preserve">předběžného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geotechnického průzkumu v 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1A32A5" w:rsidRPr="00E93F51">
        <w:rPr>
          <w:rStyle w:val="Siln"/>
          <w:rFonts w:ascii="Arial" w:hAnsi="Arial" w:cs="Arial"/>
          <w:sz w:val="22"/>
          <w:szCs w:val="22"/>
        </w:rPr>
        <w:t>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870F3">
        <w:rPr>
          <w:rFonts w:ascii="Arial" w:hAnsi="Arial" w:cs="Arial"/>
          <w:b/>
          <w:sz w:val="22"/>
          <w:szCs w:val="22"/>
        </w:rPr>
        <w:t>Šerkov</w:t>
      </w:r>
      <w:proofErr w:type="spellEnd"/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1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>eotechnický průzkum (dále jen GTP)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DTR)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  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>.</w:t>
      </w:r>
      <w:r w:rsidR="004870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70F3">
        <w:rPr>
          <w:rFonts w:ascii="Arial" w:hAnsi="Arial" w:cs="Arial"/>
          <w:sz w:val="22"/>
          <w:szCs w:val="22"/>
        </w:rPr>
        <w:t>Šerkov</w:t>
      </w:r>
      <w:proofErr w:type="spellEnd"/>
      <w:r w:rsidR="004870F3">
        <w:rPr>
          <w:rFonts w:ascii="Arial" w:hAnsi="Arial" w:cs="Arial"/>
          <w:sz w:val="22"/>
          <w:szCs w:val="22"/>
        </w:rPr>
        <w:t>.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77777777" w:rsidR="009651BE" w:rsidRPr="00E93F51" w:rsidRDefault="00CB0D3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 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A01ED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>Identi</w:t>
      </w:r>
      <w:r w:rsidR="00787E13" w:rsidRPr="00A01ED1">
        <w:rPr>
          <w:rStyle w:val="Siln"/>
          <w:rFonts w:ascii="Arial" w:hAnsi="Arial" w:cs="Arial"/>
          <w:b w:val="0"/>
          <w:sz w:val="22"/>
          <w:szCs w:val="22"/>
        </w:rPr>
        <w:t>fikační údaje</w:t>
      </w:r>
    </w:p>
    <w:p w14:paraId="0E9D2D65" w14:textId="77777777" w:rsidR="00B9705D" w:rsidRPr="00A01ED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>Popis stavby včetně objektů</w:t>
      </w:r>
    </w:p>
    <w:p w14:paraId="3EE3268D" w14:textId="77777777" w:rsidR="00B9705D" w:rsidRPr="00A01ED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>Rozbor dostupných podkladů</w:t>
      </w:r>
    </w:p>
    <w:p w14:paraId="2B4AC52B" w14:textId="77777777" w:rsidR="00736627" w:rsidRPr="00A01ED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 xml:space="preserve">1. </w:t>
      </w:r>
      <w:r w:rsidR="008325A1" w:rsidRPr="00A01ED1">
        <w:rPr>
          <w:rStyle w:val="Siln"/>
          <w:rFonts w:ascii="Arial" w:hAnsi="Arial" w:cs="Arial"/>
          <w:b w:val="0"/>
          <w:sz w:val="22"/>
          <w:szCs w:val="22"/>
        </w:rPr>
        <w:t>Popis geologických poměrů</w:t>
      </w:r>
    </w:p>
    <w:p w14:paraId="6E7AC335" w14:textId="77777777" w:rsidR="008325A1" w:rsidRPr="00A01ED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 xml:space="preserve">2. </w:t>
      </w:r>
      <w:r w:rsidR="008325A1" w:rsidRPr="00A01ED1">
        <w:rPr>
          <w:rStyle w:val="Siln"/>
          <w:rFonts w:ascii="Arial" w:hAnsi="Arial" w:cs="Arial"/>
          <w:b w:val="0"/>
          <w:sz w:val="22"/>
          <w:szCs w:val="22"/>
        </w:rPr>
        <w:t>Popis hydrogeologických poměrů</w:t>
      </w:r>
    </w:p>
    <w:p w14:paraId="769FB81E" w14:textId="77777777" w:rsidR="008325A1" w:rsidRPr="00A01ED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>Popis geologického profilu průzkumných sond</w:t>
      </w:r>
    </w:p>
    <w:p w14:paraId="68675E71" w14:textId="77777777" w:rsidR="008325A1" w:rsidRPr="00A01ED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>Protokoly o laboratorních zkouškách</w:t>
      </w:r>
    </w:p>
    <w:p w14:paraId="609F0584" w14:textId="77777777" w:rsidR="008325A1" w:rsidRPr="00A01ED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6053C4" w:rsidRPr="00A01ED1">
        <w:rPr>
          <w:rStyle w:val="Siln"/>
          <w:rFonts w:ascii="Arial" w:hAnsi="Arial" w:cs="Arial"/>
          <w:b w:val="0"/>
          <w:sz w:val="22"/>
          <w:szCs w:val="22"/>
        </w:rPr>
        <w:t xml:space="preserve">ávěrečná zpráva </w:t>
      </w:r>
      <w:r w:rsidR="00B9705D" w:rsidRPr="00A01ED1">
        <w:rPr>
          <w:rStyle w:val="Siln"/>
          <w:rFonts w:ascii="Arial" w:hAnsi="Arial" w:cs="Arial"/>
          <w:b w:val="0"/>
          <w:sz w:val="22"/>
          <w:szCs w:val="22"/>
        </w:rPr>
        <w:t>(</w:t>
      </w:r>
      <w:r w:rsidR="006053C4" w:rsidRPr="00A01ED1">
        <w:rPr>
          <w:rStyle w:val="Siln"/>
          <w:rFonts w:ascii="Arial" w:hAnsi="Arial" w:cs="Arial"/>
          <w:b w:val="0"/>
          <w:sz w:val="22"/>
          <w:szCs w:val="22"/>
        </w:rPr>
        <w:t xml:space="preserve">včetně závěrů </w:t>
      </w:r>
      <w:r w:rsidRPr="00A01ED1">
        <w:rPr>
          <w:rStyle w:val="Siln"/>
          <w:rFonts w:ascii="Arial" w:hAnsi="Arial" w:cs="Arial"/>
          <w:b w:val="0"/>
          <w:sz w:val="22"/>
          <w:szCs w:val="22"/>
        </w:rPr>
        <w:t>a doporučení</w:t>
      </w:r>
      <w:r w:rsidR="00B9705D" w:rsidRPr="00A01ED1">
        <w:rPr>
          <w:rStyle w:val="Siln"/>
          <w:rFonts w:ascii="Arial" w:hAnsi="Arial" w:cs="Arial"/>
          <w:b w:val="0"/>
          <w:sz w:val="22"/>
          <w:szCs w:val="22"/>
        </w:rPr>
        <w:t>)</w:t>
      </w:r>
    </w:p>
    <w:p w14:paraId="4FA38B71" w14:textId="77777777" w:rsidR="00B9705D" w:rsidRPr="00A01ED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>Mapové podklady (včetně popisu a umístění sond)</w:t>
      </w:r>
    </w:p>
    <w:p w14:paraId="50295CDE" w14:textId="77777777" w:rsidR="00C57B52" w:rsidRPr="00A01ED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>Podrobná situace (měřítko dle podkladů zadání)</w:t>
      </w:r>
    </w:p>
    <w:p w14:paraId="5DDCA34A" w14:textId="77777777" w:rsidR="00C57B52" w:rsidRPr="00A01ED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A01ED1">
        <w:rPr>
          <w:rStyle w:val="Siln"/>
          <w:rFonts w:ascii="Arial" w:hAnsi="Arial" w:cs="Arial"/>
          <w:b w:val="0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685B8D79" w:rsidR="008325A1" w:rsidRPr="00E93F51" w:rsidRDefault="008325A1" w:rsidP="004870F3">
      <w:pPr>
        <w:pStyle w:val="Bezmezer"/>
        <w:spacing w:line="276" w:lineRule="auto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4870F3">
        <w:rPr>
          <w:rStyle w:val="Siln"/>
          <w:rFonts w:ascii="Arial" w:hAnsi="Arial" w:cs="Arial"/>
          <w:b w:val="0"/>
          <w:sz w:val="22"/>
          <w:szCs w:val="22"/>
        </w:rPr>
        <w:t>jako</w:t>
      </w:r>
      <w:r w:rsidR="004870F3" w:rsidRPr="004870F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4870F3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AC58BD" w:rsidRPr="004870F3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C58B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 náležitostmi dle přílohy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4870F3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26A78C3" w14:textId="77777777" w:rsidR="001115F0" w:rsidRPr="00E93F51" w:rsidRDefault="001115F0" w:rsidP="004870F3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E93F51">
        <w:rPr>
          <w:rStyle w:val="Siln"/>
          <w:rFonts w:ascii="Arial" w:hAnsi="Arial" w:cs="Arial"/>
          <w:sz w:val="22"/>
          <w:szCs w:val="22"/>
        </w:rPr>
        <w:t>Plnění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093FDF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A785E4C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Zhotovitel prohlašuje, že je ke všem výše uvedeným činnostem odborně způsobilý, </w:t>
      </w:r>
      <w:r w:rsidR="00A01ED1">
        <w:rPr>
          <w:rStyle w:val="Siln"/>
          <w:rFonts w:ascii="Arial" w:hAnsi="Arial" w:cs="Arial"/>
          <w:b w:val="0"/>
          <w:sz w:val="22"/>
          <w:szCs w:val="22"/>
          <w:lang w:eastAsia="cs-CZ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a je držitelem všech potřebných oprávnění a autorizací v souladu s právními předpisy, nebo si je sám na své náklady zajistí.</w:t>
      </w:r>
    </w:p>
    <w:p w14:paraId="78588D38" w14:textId="0647007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</w:t>
      </w:r>
      <w:r w:rsidR="00A01ED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92AF6" w:rsidRPr="00592AF6">
        <w:rPr>
          <w:rStyle w:val="Siln"/>
          <w:b w:val="0"/>
        </w:rPr>
        <w:t xml:space="preserve">Čl. </w:t>
      </w:r>
      <w:r w:rsidR="00592AF6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77777777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bezodkladně po podpisu této smlouvy tyto podklady:</w:t>
      </w:r>
    </w:p>
    <w:p w14:paraId="3518C5B1" w14:textId="77777777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1:5000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77777777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 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77777777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>A další dle přílohy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4DBA962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Dílo vymezené v čl. I. této smlouvy a přílohou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E13A8">
        <w:rPr>
          <w:rStyle w:val="Siln"/>
          <w:rFonts w:ascii="Arial" w:hAnsi="Arial" w:cs="Arial"/>
          <w:b w:val="0"/>
          <w:sz w:val="22"/>
          <w:szCs w:val="22"/>
        </w:rPr>
        <w:t>01. 07. 2019.</w:t>
      </w:r>
    </w:p>
    <w:p w14:paraId="64048125" w14:textId="77777777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podpisu </w:t>
      </w:r>
      <w:r w:rsidR="00977AE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77777777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zejména </w:t>
      </w:r>
      <w:r w:rsidR="00683FF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sídlo 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2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provádění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oboru; </w:t>
      </w:r>
    </w:p>
    <w:p w14:paraId="101D945E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díla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vrátit objednateli veškeré dokumenty, nosiče dat a jiné věci, které v souvislosti s poskytováním </w:t>
      </w:r>
      <w:r w:rsidR="001115F0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od objednatele obdržel, pokud nebyly určeny ke spotřebování při poskytnutí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59D18D53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díla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77777777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nést až do okamžiku předání díla nebezpečí škody na zhotoveném díle,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poskytování </w:t>
      </w:r>
      <w:r w:rsidR="001115F0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78CC8F0F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poskytování </w:t>
      </w:r>
      <w:r w:rsidR="001115F0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  <w:r w:rsidR="000B15D9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3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3"/>
    </w:p>
    <w:p w14:paraId="4F806BB6" w14:textId="05BD1FE3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5E13A8">
        <w:rPr>
          <w:rFonts w:ascii="Arial" w:hAnsi="Arial" w:cs="Arial"/>
          <w:b w:val="0"/>
          <w:i w:val="0"/>
          <w:sz w:val="22"/>
          <w:szCs w:val="22"/>
        </w:rPr>
        <w:br/>
      </w:r>
      <w:r w:rsidR="005E13A8">
        <w:rPr>
          <w:rFonts w:ascii="Arial" w:hAnsi="Arial" w:cs="Arial"/>
          <w:b w:val="0"/>
          <w:bCs/>
          <w:i w:val="0"/>
          <w:sz w:val="22"/>
          <w:szCs w:val="22"/>
        </w:rPr>
        <w:t>01. 07. 2019.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O akceptaci Díla bude vyhotoven předávací protokol, který bude podepsán oběma smluvními stranami.</w:t>
      </w:r>
    </w:p>
    <w:p w14:paraId="0CB0FCA3" w14:textId="77777777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své připomínky ke zhotovenému dílu, a to ve lhůtě 7 dnů od předání díla zhotovitelem objednateli. Pokud objednatel připomínky nepředloží, má se za to, že předané dílo akceptuje. </w:t>
      </w:r>
    </w:p>
    <w:p w14:paraId="7CD8B2AE" w14:textId="62245F9C" w:rsidR="0038308E" w:rsidRPr="00E93F51" w:rsidRDefault="004870F3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Zhotovitel upraví dílo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a tuto druhou verzi díla v písemné i elektronické podobě předá objednateli nejpozději do 7 dnů od doručení připomínek objednatele.</w:t>
      </w:r>
    </w:p>
    <w:p w14:paraId="204BC9A1" w14:textId="7319AE5A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díla nesplňuje požadavky této smlouvy nebo do ní nebyly zapracovány připomínky objednatele, je objednatel do 3 pracovních dnů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od předání druhé verze díla zhotovitelem povinen vyhotovit a zaslat zhotoviteli zjištěné nedostatky. Zhotovitel je povinen tyto nedostatky díla nebo jeho části napravit a předat dopracované dílo objednateli do 2 pracovních dnů. Pokud objednatel ve lhůtě </w:t>
      </w:r>
      <w:r w:rsidR="00A01ED1">
        <w:rPr>
          <w:rFonts w:ascii="Arial" w:hAnsi="Arial" w:cs="Arial"/>
          <w:b w:val="0"/>
          <w:i w:val="0"/>
          <w:sz w:val="22"/>
          <w:szCs w:val="22"/>
        </w:rPr>
        <w:br/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3 pracovních dnů od předání díla nezašle zhotoviteli rozdílový protokol, má se za to, že dílo nebo jeho část splňuje veškeré požadavky této smlouvy. </w:t>
      </w:r>
    </w:p>
    <w:p w14:paraId="1682E841" w14:textId="77777777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Převzetí díla:</w:t>
      </w:r>
    </w:p>
    <w:p w14:paraId="3714B305" w14:textId="77777777" w:rsidR="0038308E" w:rsidRPr="00E93F51" w:rsidRDefault="0038308E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v případě, kdy předané dílo, splňuje požadavky této smlouvy a byly do díla zapracovány případné připomínky objednatele, je tímto dílo akceptováno a o akceptaci díla bude vyhotoven protokol o převzetí a předání díla potvrzující, že dílo odpovídá zadání této smlouvy a případným připomínkám, jež bude následně podepsán oběma smluvními stranami. Podpisem protokolu smluvními stranami dochází k převzetí díla objednatelem.</w:t>
      </w:r>
    </w:p>
    <w:p w14:paraId="3024A381" w14:textId="77777777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Zjistí-li objednatel, že zhotovitel při provádění díla provádí služby 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proofErr w:type="gramStart"/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-ti</w:t>
      </w:r>
      <w:proofErr w:type="gramEnd"/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Smlouvy ze strany zhotovitele.</w:t>
      </w:r>
    </w:p>
    <w:p w14:paraId="08A159CB" w14:textId="7777777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dílo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v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e dvou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vyhotovení  v digitální formě na paměťovém médiu (CD/DVD/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flash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disk),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4" w:name="_Ref368985193"/>
      <w:bookmarkStart w:id="5" w:name="_Ref368985943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77777777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 předání celého Díla bude vyhotoven protokol o převzetí a předání Díla potvrzující, že Dílo odpovídá zadání této smlouvy a případným připomínkám Objednatele, jež bude následně podepsán oběma smluvními stranami. Podpisem finálního protokolu smluvními stranami dochází k převzetí Díla.</w:t>
      </w:r>
      <w:bookmarkEnd w:id="4"/>
      <w:bookmarkEnd w:id="5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6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6"/>
    </w:p>
    <w:p w14:paraId="7AD8DE56" w14:textId="73406A99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92AF6" w:rsidRPr="00592AF6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44A2746F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Plnění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, která 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obsahuje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 xml:space="preserve"> 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P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lnění.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77777777" w:rsidR="00CB673A" w:rsidRPr="00E93F51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7" w:name="_Ref369001345"/>
      <w:bookmarkStart w:id="8" w:name="_Ref368993045"/>
      <w:r w:rsidRPr="00E93F51">
        <w:rPr>
          <w:rFonts w:cs="Arial"/>
          <w:szCs w:val="22"/>
          <w:u w:val="none"/>
        </w:rPr>
        <w:t>Cena</w:t>
      </w:r>
      <w:bookmarkEnd w:id="7"/>
      <w:bookmarkEnd w:id="8"/>
    </w:p>
    <w:p w14:paraId="414B0376" w14:textId="5C53E903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provedení díla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5021F19" w14:textId="1DE70515" w:rsidR="006759AC" w:rsidRDefault="00083100" w:rsidP="006759AC">
      <w:pPr>
        <w:pStyle w:val="Zkladntext"/>
        <w:spacing w:line="276" w:lineRule="auto"/>
        <w:ind w:firstLine="708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C45F36">
        <w:rPr>
          <w:rFonts w:ascii="Arial" w:hAnsi="Arial" w:cs="Arial"/>
          <w:b w:val="0"/>
          <w:i w:val="0"/>
          <w:sz w:val="22"/>
          <w:szCs w:val="22"/>
        </w:rPr>
        <w:tab/>
      </w:r>
      <w:r w:rsidR="00C45F36">
        <w:rPr>
          <w:rFonts w:ascii="Arial" w:hAnsi="Arial" w:cs="Arial"/>
          <w:b w:val="0"/>
          <w:i w:val="0"/>
          <w:sz w:val="22"/>
          <w:szCs w:val="22"/>
        </w:rPr>
        <w:tab/>
        <w:t>63 000</w:t>
      </w:r>
      <w:r w:rsidR="006759AC">
        <w:rPr>
          <w:rFonts w:ascii="Arial" w:hAnsi="Arial" w:cs="Arial"/>
          <w:b w:val="0"/>
          <w:i w:val="0"/>
          <w:sz w:val="22"/>
          <w:szCs w:val="22"/>
        </w:rPr>
        <w:tab/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3C952260" w14:textId="11023E1E" w:rsidR="006759AC" w:rsidRDefault="00C86276" w:rsidP="006759AC">
      <w:pPr>
        <w:pStyle w:val="Zkladntext"/>
        <w:spacing w:line="276" w:lineRule="auto"/>
        <w:ind w:left="2832" w:firstLine="708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6759AC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47411B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45F36">
        <w:rPr>
          <w:rFonts w:ascii="Arial" w:hAnsi="Arial" w:cs="Arial"/>
          <w:b w:val="0"/>
          <w:i w:val="0"/>
          <w:sz w:val="22"/>
          <w:szCs w:val="22"/>
        </w:rPr>
        <w:tab/>
        <w:t>13 230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9279F14" w14:textId="5DF00746" w:rsidR="00B745E4" w:rsidRPr="00E93F51" w:rsidRDefault="00083100" w:rsidP="006759AC">
      <w:pPr>
        <w:pStyle w:val="Zkladntext"/>
        <w:spacing w:line="276" w:lineRule="auto"/>
        <w:ind w:firstLine="708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C45F36">
        <w:rPr>
          <w:rFonts w:ascii="Arial" w:hAnsi="Arial" w:cs="Arial"/>
          <w:b w:val="0"/>
          <w:i w:val="0"/>
          <w:sz w:val="22"/>
          <w:szCs w:val="22"/>
        </w:rPr>
        <w:tab/>
        <w:t xml:space="preserve">76 230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Kč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7FCC76C1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zákonné změny výše sazby DPH, a zahrnuje veškeré náklady zhotovitele související </w:t>
      </w:r>
      <w:r w:rsidR="00A01ED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provedením díla, 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3461BEDC" w14:textId="77777777" w:rsidR="00A01ED1" w:rsidRPr="00E93F51" w:rsidRDefault="00A01ED1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9"/>
    </w:p>
    <w:p w14:paraId="0673ECFF" w14:textId="77777777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77777777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objednatelem odsouhlasené dílo, což bude doloženo protokolem o předání a převzetí díla podepsaného objednatelem i zhotovitelem.</w:t>
      </w:r>
    </w:p>
    <w:p w14:paraId="4719265C" w14:textId="2816A0F1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musí obsahovat veškeré náležitosti účetního dokladu stanovené v § 28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01ED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 přepracování. V tomto případě neplatí původní lhůta splatnosti, ale lhůta splatnosti běží znovu ode dne doručení nově vystavené faktury.</w:t>
      </w:r>
    </w:p>
    <w:p w14:paraId="2AE1778E" w14:textId="77777777" w:rsidR="00D82157" w:rsidRPr="00E93F51" w:rsidRDefault="00192E89" w:rsidP="00D82157">
      <w:pPr>
        <w:pStyle w:val="Odstavecseseznamem"/>
        <w:numPr>
          <w:ilvl w:val="0"/>
          <w:numId w:val="6"/>
        </w:numPr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0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0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 xml:space="preserve">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C2F6789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165172D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Zhotovitel,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v případě nedostatku finančních prostředků na účtu objednatele, dojde </w:t>
      </w:r>
      <w:r w:rsidR="00A01ED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nelze </w:t>
      </w:r>
      <w:r w:rsidR="00A01ED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těchto důvodů vůči objednateli uplatňovat žádné sankce. Objednatel se zavazuje, že v případě, že tato skutečnost nastane, oznámí ji neprodleně a to písemně zhotoviteli nejpozději do 5 pracovních dní před původním termínem splatnosti faktury.</w:t>
      </w:r>
    </w:p>
    <w:p w14:paraId="267B94C4" w14:textId="3033B772" w:rsidR="00D3285F" w:rsidRDefault="004641A4" w:rsidP="006759A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4B115233" w14:textId="77777777" w:rsidR="00601F9F" w:rsidRPr="006759AC" w:rsidRDefault="00601F9F" w:rsidP="00601F9F">
      <w:pPr>
        <w:pStyle w:val="Bezmezer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1"/>
    </w:p>
    <w:p w14:paraId="1929EE95" w14:textId="138FE788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77777777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doporučeným dopisem, ve kterém vady popíše a určí lhůtu, do které zhotovitel vady odstraní.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 jeho část má vady, pokud neodpovídá (kvalitou či rozsahem) předmětu a účelu uvedenému ve smlouvě nebo požadavkům obecně závazných právních předpisů. Odstranění vad provede zhotovitel na svůj náklad nejpozději do 14 pracovních dnů od obdržení písemné reklamace.</w:t>
      </w:r>
      <w:bookmarkEnd w:id="12"/>
    </w:p>
    <w:p w14:paraId="2FF413BA" w14:textId="77777777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Převezme-li objednatel dílo se skrytou vadou, kterou nebylo možno zjistit v průběhu předání díla ani při správním řízení, má právo na 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7777777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0D303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NOZ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5EACA89B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512FE861" w14:textId="6D834C0A" w:rsidR="00F96E2D" w:rsidRPr="00E93F51" w:rsidRDefault="00F96E2D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zhotovitel nedodá objednateli první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 lhůtě vymezené v </w:t>
      </w:r>
      <w:r w:rsidR="009E77ED" w:rsidRPr="00E93F51">
        <w:rPr>
          <w:rFonts w:ascii="Arial" w:hAnsi="Arial" w:cs="Arial"/>
          <w:b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b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b/>
          <w:sz w:val="22"/>
          <w:szCs w:val="22"/>
        </w:rPr>
      </w:r>
      <w:r w:rsidR="009E77ED" w:rsidRPr="00E93F51">
        <w:rPr>
          <w:rFonts w:ascii="Arial" w:hAnsi="Arial" w:cs="Arial"/>
          <w:b/>
          <w:sz w:val="22"/>
          <w:szCs w:val="22"/>
        </w:rPr>
        <w:fldChar w:fldCharType="separate"/>
      </w:r>
      <w:r w:rsidR="00592AF6" w:rsidRPr="00592AF6">
        <w:rPr>
          <w:rStyle w:val="Siln"/>
        </w:rPr>
        <w:t>Čl. V</w:t>
      </w:r>
      <w:r w:rsidR="009E77ED" w:rsidRPr="00E93F51">
        <w:rPr>
          <w:rFonts w:ascii="Arial" w:hAnsi="Arial" w:cs="Arial"/>
          <w:b/>
          <w:sz w:val="22"/>
          <w:szCs w:val="22"/>
        </w:rPr>
        <w:fldChar w:fldCharType="end"/>
      </w:r>
      <w:r w:rsidR="009C320E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86276" w:rsidRPr="00E93F51">
        <w:rPr>
          <w:rFonts w:ascii="Arial" w:hAnsi="Arial" w:cs="Arial"/>
          <w:sz w:val="22"/>
          <w:szCs w:val="22"/>
        </w:rPr>
        <w:t>1.</w:t>
      </w:r>
      <w:r w:rsidR="00C86276" w:rsidRPr="00E93F51">
        <w:rPr>
          <w:rFonts w:ascii="Arial" w:hAnsi="Arial" w:cs="Arial"/>
          <w:b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smlouvy, uhradí objednateli smluvní pokutu ve výši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ceny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bez DPH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 </w:t>
      </w:r>
    </w:p>
    <w:p w14:paraId="35F2C12F" w14:textId="3589028A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 prodlení.</w:t>
      </w:r>
    </w:p>
    <w:p w14:paraId="3CE9E9C9" w14:textId="35BFCF97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92AF6" w:rsidRPr="00592AF6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uhradí zhotoviteli smluvní pokutu ve výši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%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 dlužné částky za každý </w:t>
      </w:r>
      <w:r w:rsidR="00A01ED1">
        <w:rPr>
          <w:rStyle w:val="Siln"/>
          <w:rFonts w:ascii="Arial" w:hAnsi="Arial" w:cs="Arial"/>
          <w:b w:val="0"/>
          <w:sz w:val="22"/>
          <w:szCs w:val="22"/>
        </w:rPr>
        <w:br/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332193B6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92AF6" w:rsidRPr="00592AF6">
        <w:rPr>
          <w:rStyle w:val="Siln"/>
          <w:b w:val="0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92AF6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Kč.</w:t>
      </w:r>
    </w:p>
    <w:p w14:paraId="37FE9ECF" w14:textId="77777777" w:rsidR="00630F6F" w:rsidRPr="00E93F51" w:rsidRDefault="00630F6F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pokuty jsou splatné 30. den ode dne doručení písemné výzvy oprávněné smluvní strany k jejich úhradě povinnou smluvní stranou, není-li ve výzvě uvedena lhůta delší.</w:t>
      </w:r>
    </w:p>
    <w:p w14:paraId="3E1F33F4" w14:textId="04D8898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souhlasí, aby objednatel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každou</w:t>
      </w:r>
      <w:proofErr w:type="gramEnd"/>
      <w:r w:rsidR="00DA2A0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byť i nesplatnou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 pokutu nebo náhradu škody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na níž mu vznikne nárok,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v plné výši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započetl vůči 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nároku zhotovitele na uhrazení faktury vystavené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92AF6" w:rsidRPr="00592AF6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této smlouvy. 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1BA2E1BC" w14:textId="28E04DD5" w:rsidR="009C320E" w:rsidRPr="00E93F51" w:rsidRDefault="006759AC" w:rsidP="006759AC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br/>
      </w: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A4326B3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92AF6" w:rsidRPr="00592AF6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663A3297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92AF6" w:rsidRPr="00592AF6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2DBA11C0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92AF6" w:rsidRPr="00592AF6">
        <w:rPr>
          <w:rStyle w:val="Siln"/>
          <w:b w:val="0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92AF6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39894E48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sepíší protokol o stavu prováděného díla ke dni odstoupení od této smlouvy. Protokol musí obsahovat zejména soupis veškerých uskutečněných prací </w:t>
      </w:r>
      <w:r w:rsidR="00A01ED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Odstoupením od této smlouvy nejsou dotčena práva smluvních stran na úhradu splatné smluvní pokuty a případnou náhradu škody.</w:t>
      </w:r>
    </w:p>
    <w:p w14:paraId="1913A9C5" w14:textId="6354DA45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</w:t>
      </w:r>
      <w:r w:rsidR="00A01ED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 vzájemném vyrovnání těchto nároků, je objednatel oprávněn zadržet veškeré fakturované a splatné platby zhotoviteli. </w:t>
      </w:r>
    </w:p>
    <w:p w14:paraId="2264B1AD" w14:textId="77777777" w:rsidR="00F77DFB" w:rsidRPr="00E93F51" w:rsidRDefault="00F77DFB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</w:p>
    <w:p w14:paraId="0C00FBCA" w14:textId="77777777" w:rsidR="00F77DFB" w:rsidRPr="00E93F51" w:rsidRDefault="00F77DFB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CC821DE" w14:textId="77777777" w:rsidR="00B35E68" w:rsidRPr="00E93F51" w:rsidRDefault="00B35E68" w:rsidP="00093FDF">
      <w:pPr>
        <w:pStyle w:val="Zkladntext"/>
        <w:spacing w:line="276" w:lineRule="auto"/>
        <w:ind w:left="66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89260"/>
      <w:r w:rsidRPr="00E93F51">
        <w:rPr>
          <w:rFonts w:cs="Arial"/>
          <w:szCs w:val="22"/>
          <w:u w:val="none"/>
        </w:rPr>
        <w:t>Ostatní ujednání</w:t>
      </w:r>
      <w:bookmarkEnd w:id="13"/>
    </w:p>
    <w:p w14:paraId="478C2D5B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4"/>
    </w:p>
    <w:p w14:paraId="67B4D2AC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úhradou zboží nebo služeb z veřejných výdajů.</w:t>
      </w:r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2A91A060" w14:textId="77777777" w:rsidR="00F96E2D" w:rsidRPr="00E93F51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Tato Smlouva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Smlouvy </w:t>
      </w:r>
    </w:p>
    <w:p w14:paraId="2FC24C9B" w14:textId="77777777" w:rsidR="00AF64D3" w:rsidRPr="00E93F51" w:rsidRDefault="00B0537B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může provést u zhotovitele kontrolu plnění smlouvy.</w:t>
      </w:r>
    </w:p>
    <w:p w14:paraId="4C01A5F5" w14:textId="5DBA05E9" w:rsidR="00B33CCB" w:rsidRPr="00E93F51" w:rsidRDefault="00B33CCB" w:rsidP="00B33CCB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ke dni podpisu této smlouvy má uzavřenou pojistnou smlouvu, jejímž předmětem je pojištění odpovědnosti za škodu způsobenou dodavatelem třetí osobě v souvislosti s výkonem jeho činnosti, ve výši nejméně </w:t>
      </w:r>
      <w:r w:rsidR="00A01ED1">
        <w:rPr>
          <w:rStyle w:val="Siln"/>
          <w:rFonts w:ascii="Arial" w:hAnsi="Arial" w:cs="Arial"/>
          <w:b w:val="0"/>
          <w:sz w:val="22"/>
          <w:szCs w:val="22"/>
        </w:rPr>
        <w:t>36 200,-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Kč. Zhotovitel se zavazuje, že po celou dobu trvání této smlouvy bude pojištěn ve smyslu tohoto ustanovení a že nedojde ke snížení pojistného plnění pod částku uvedenou v předchozí větě. Při podpisu této smlouvy zhotovitel předloží objednateli ověřenou kopii této smlouvy.</w:t>
      </w:r>
    </w:p>
    <w:p w14:paraId="76488510" w14:textId="77777777" w:rsidR="00B33CCB" w:rsidRPr="00E93F51" w:rsidRDefault="00B33CCB" w:rsidP="00B33CCB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Na žádost objednatele je zhotovitel povinen kdykoliv později předložit uspokojivé doklady o tom, že pojistné smlouvy uzavřené zhotovitelem jsou a zůstávají v platnosti a účinnosti po celou dobu trvání této smlouvy a záruční doby z ní vyplývající.</w:t>
      </w:r>
    </w:p>
    <w:p w14:paraId="5A9AC0D7" w14:textId="62E8405E" w:rsidR="00DA3F5E" w:rsidRPr="00E93F51" w:rsidRDefault="00DA3F5E" w:rsidP="006759A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601F9F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601F9F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601F9F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601F9F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77777777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0B370B" w:rsidRPr="00E93F51">
        <w:rPr>
          <w:rStyle w:val="Siln"/>
          <w:rFonts w:ascii="Arial" w:hAnsi="Arial" w:cs="Arial"/>
          <w:b w:val="0"/>
          <w:sz w:val="22"/>
          <w:szCs w:val="22"/>
        </w:rPr>
        <w:t>NOZ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80DDB23" w14:textId="7D6B9F3A" w:rsidR="006759AC" w:rsidRDefault="006759AC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4C86750" w14:textId="77777777" w:rsidR="00A01ED1" w:rsidRDefault="00A01ED1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E8334D5" w14:textId="607733DF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0129368D" w14:textId="1A633357" w:rsidR="00433AC4" w:rsidRDefault="00433AC4" w:rsidP="006759AC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AB559F5" w14:textId="57C42FEA" w:rsidR="00A01ED1" w:rsidRDefault="00A01ED1" w:rsidP="006759AC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5A5209E" w14:textId="3C04AFB4" w:rsidR="00A01ED1" w:rsidRPr="00E93F51" w:rsidRDefault="00A01ED1" w:rsidP="006759AC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D44AF73" w:rsidR="0029141F" w:rsidRPr="00E93F51" w:rsidRDefault="0029141F" w:rsidP="006759AC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F7281D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 w:rsidR="006759AC">
              <w:rPr>
                <w:rFonts w:ascii="Arial" w:hAnsi="Arial" w:cs="Arial"/>
                <w:b w:val="0"/>
                <w:i w:val="0"/>
                <w:sz w:val="22"/>
                <w:szCs w:val="22"/>
              </w:rPr>
              <w:t>Písku</w:t>
            </w:r>
            <w:r w:rsidR="00F7281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dne:</w:t>
            </w:r>
            <w:bookmarkStart w:id="15" w:name="_GoBack"/>
            <w:bookmarkEnd w:id="15"/>
            <w:r w:rsidR="00F7281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30. 04. 2019</w:t>
            </w:r>
          </w:p>
        </w:tc>
        <w:tc>
          <w:tcPr>
            <w:tcW w:w="4606" w:type="dxa"/>
            <w:shd w:val="clear" w:color="auto" w:fill="auto"/>
          </w:tcPr>
          <w:p w14:paraId="1A62A2E1" w14:textId="5EFC39DD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2759C0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Praze</w:t>
            </w:r>
            <w:r w:rsidR="00F7281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dne: 30. 04. 2019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6A395B04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565A090" w14:textId="22957961" w:rsidR="00601F9F" w:rsidRDefault="00601F9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B5E40C6" w14:textId="77777777" w:rsidR="002759C0" w:rsidRPr="00E93F51" w:rsidRDefault="002759C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20327C8E" w:rsidR="0029141F" w:rsidRPr="00E93F51" w:rsidRDefault="006759A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Jaroslava Kheková</w:t>
            </w:r>
          </w:p>
        </w:tc>
        <w:tc>
          <w:tcPr>
            <w:tcW w:w="4606" w:type="dxa"/>
            <w:shd w:val="clear" w:color="auto" w:fill="auto"/>
          </w:tcPr>
          <w:p w14:paraId="6D0D2AD1" w14:textId="5CEEC495" w:rsidR="0029141F" w:rsidRPr="00C45F36" w:rsidRDefault="00C45F3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C45F36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Ing. Jindřich </w:t>
            </w:r>
            <w:proofErr w:type="spellStart"/>
            <w:r w:rsidRPr="00C45F36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Vlček</w:t>
            </w:r>
            <w:proofErr w:type="spellEnd"/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D9CEAC8" w:rsidR="0029141F" w:rsidRPr="00E93F51" w:rsidRDefault="006759A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Písek</w:t>
            </w:r>
          </w:p>
        </w:tc>
        <w:tc>
          <w:tcPr>
            <w:tcW w:w="4606" w:type="dxa"/>
            <w:shd w:val="clear" w:color="auto" w:fill="auto"/>
          </w:tcPr>
          <w:p w14:paraId="4CCBF97C" w14:textId="4D42DF97" w:rsidR="0029141F" w:rsidRPr="00E93F51" w:rsidRDefault="00C45F3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společnosti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19888591" w:rsidR="0029141F" w:rsidRPr="00E93F51" w:rsidRDefault="006759A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</w:t>
            </w:r>
            <w:r w:rsidR="00C45F36">
              <w:rPr>
                <w:rFonts w:ascii="Arial" w:hAnsi="Arial" w:cs="Arial"/>
                <w:b w:val="0"/>
                <w:i w:val="0"/>
                <w:sz w:val="22"/>
                <w:szCs w:val="22"/>
              </w:rPr>
              <w:t>d</w:t>
            </w:r>
          </w:p>
        </w:tc>
        <w:tc>
          <w:tcPr>
            <w:tcW w:w="4606" w:type="dxa"/>
            <w:shd w:val="clear" w:color="auto" w:fill="auto"/>
          </w:tcPr>
          <w:p w14:paraId="1BF5BD4C" w14:textId="66F09B1D" w:rsidR="0029141F" w:rsidRPr="00E93F51" w:rsidRDefault="00C45F3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ArtepGeo</w:t>
            </w:r>
            <w:proofErr w:type="spellEnd"/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s.r.o.</w:t>
            </w: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659E3512" w14:textId="6CB3B04F" w:rsidR="00AF35CF" w:rsidRPr="00E93F51" w:rsidRDefault="00AF35CF" w:rsidP="006759AC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C861E18" w14:textId="3034882F" w:rsidR="00A85C66" w:rsidRPr="006759AC" w:rsidRDefault="00AF35C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AF35CF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DF721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DF721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1A3D4AFE" w:rsidR="00AF35CF" w:rsidRPr="00E93F51" w:rsidRDefault="00AF35CF" w:rsidP="00DF721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="00DF721E">
              <w:rPr>
                <w:rFonts w:ascii="Arial" w:hAnsi="Arial" w:cs="Arial"/>
                <w:sz w:val="22"/>
                <w:szCs w:val="22"/>
              </w:rPr>
              <w:t xml:space="preserve"> :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DF721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DF721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3A0EF2BB" w:rsidR="00AF35CF" w:rsidRPr="00E93F51" w:rsidRDefault="00AF35CF" w:rsidP="00DF721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="00DF72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721E">
              <w:rPr>
                <w:rFonts w:ascii="Arial" w:hAnsi="Arial" w:cs="Arial"/>
                <w:spacing w:val="-1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31F85A0D" w14:textId="70D69586" w:rsidR="00A01ED1" w:rsidRPr="00A01ED1" w:rsidRDefault="00AF35CF" w:rsidP="00A01ED1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proofErr w:type="gramEnd"/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</w:p>
    <w:p w14:paraId="785766B3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206-1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77777777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206-1)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573E0460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DE491" w14:textId="77777777" w:rsidR="00351D54" w:rsidRDefault="00351D54">
      <w:r>
        <w:separator/>
      </w:r>
    </w:p>
  </w:endnote>
  <w:endnote w:type="continuationSeparator" w:id="0">
    <w:p w14:paraId="5C21B7AA" w14:textId="77777777" w:rsidR="00351D54" w:rsidRDefault="00351D54">
      <w:r>
        <w:continuationSeparator/>
      </w:r>
    </w:p>
  </w:endnote>
  <w:endnote w:type="continuationNotice" w:id="1">
    <w:p w14:paraId="701485CA" w14:textId="77777777" w:rsidR="00351D54" w:rsidRDefault="00351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63D52" w14:textId="77777777" w:rsidR="004870F3" w:rsidRDefault="004870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4870F3" w:rsidRDefault="004870F3">
    <w:pPr>
      <w:pStyle w:val="Zpat"/>
    </w:pPr>
  </w:p>
  <w:p w14:paraId="78307A63" w14:textId="77777777" w:rsidR="004870F3" w:rsidRDefault="00487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35D79" w14:textId="1B4ECB09" w:rsidR="004870F3" w:rsidRPr="00E233FC" w:rsidRDefault="004870F3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 w:rsidR="005E13A8">
      <w:rPr>
        <w:rFonts w:ascii="Arial" w:hAnsi="Arial" w:cs="Arial"/>
        <w:noProof/>
        <w:sz w:val="22"/>
        <w:szCs w:val="22"/>
      </w:rPr>
      <w:t>10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4870F3" w:rsidRDefault="004870F3">
    <w:pPr>
      <w:pStyle w:val="Zpat"/>
    </w:pPr>
  </w:p>
  <w:p w14:paraId="27B209D1" w14:textId="77777777" w:rsidR="004870F3" w:rsidRDefault="004870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531A5" w14:textId="77777777" w:rsidR="00351D54" w:rsidRDefault="00351D54">
      <w:r>
        <w:separator/>
      </w:r>
    </w:p>
  </w:footnote>
  <w:footnote w:type="continuationSeparator" w:id="0">
    <w:p w14:paraId="2F6FA00A" w14:textId="77777777" w:rsidR="00351D54" w:rsidRDefault="00351D54">
      <w:r>
        <w:continuationSeparator/>
      </w:r>
    </w:p>
  </w:footnote>
  <w:footnote w:type="continuationNotice" w:id="1">
    <w:p w14:paraId="1783D1D0" w14:textId="77777777" w:rsidR="00351D54" w:rsidRDefault="00351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F9DB" w14:textId="50606194" w:rsidR="004870F3" w:rsidRPr="004652E6" w:rsidRDefault="004870F3" w:rsidP="00740750">
    <w:pPr>
      <w:pStyle w:val="Zhlav"/>
      <w:tabs>
        <w:tab w:val="clear" w:pos="453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  <w:r w:rsidR="00740750">
      <w:rPr>
        <w:rFonts w:ascii="Arial" w:hAnsi="Arial" w:cs="Arial"/>
        <w:i/>
        <w:sz w:val="20"/>
        <w:szCs w:val="20"/>
      </w:rPr>
      <w:t xml:space="preserve"> </w:t>
    </w:r>
    <w:r w:rsidR="00740750" w:rsidRPr="00740750">
      <w:rPr>
        <w:rFonts w:ascii="Arial" w:hAnsi="Arial" w:cs="Arial"/>
        <w:i/>
        <w:sz w:val="20"/>
        <w:szCs w:val="20"/>
      </w:rPr>
      <w:t>310-2019-505204</w:t>
    </w:r>
  </w:p>
  <w:p w14:paraId="131E08A6" w14:textId="24976C1B" w:rsidR="004870F3" w:rsidRPr="004652E6" w:rsidRDefault="00740750" w:rsidP="00740750">
    <w:pPr>
      <w:pStyle w:val="Zhlav"/>
      <w:tabs>
        <w:tab w:val="clear" w:pos="453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                         </w:t>
    </w:r>
    <w:r w:rsidR="004870F3"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4870F3" w:rsidRPr="004652E6" w:rsidRDefault="004870F3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C520DF5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57B7F"/>
    <w:multiLevelType w:val="hybridMultilevel"/>
    <w:tmpl w:val="42B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52192"/>
    <w:multiLevelType w:val="hybridMultilevel"/>
    <w:tmpl w:val="9F68B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2A7E558B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94D41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5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4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0417"/>
    <w:multiLevelType w:val="hybridMultilevel"/>
    <w:tmpl w:val="067E7E46"/>
    <w:lvl w:ilvl="0" w:tplc="EF621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2" w15:restartNumberingAfterBreak="0">
    <w:nsid w:val="722366FB"/>
    <w:multiLevelType w:val="hybridMultilevel"/>
    <w:tmpl w:val="9F68B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E95239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6"/>
  </w:num>
  <w:num w:numId="5">
    <w:abstractNumId w:val="42"/>
  </w:num>
  <w:num w:numId="6">
    <w:abstractNumId w:val="13"/>
  </w:num>
  <w:num w:numId="7">
    <w:abstractNumId w:val="4"/>
  </w:num>
  <w:num w:numId="8">
    <w:abstractNumId w:val="22"/>
  </w:num>
  <w:num w:numId="9">
    <w:abstractNumId w:val="38"/>
  </w:num>
  <w:num w:numId="10">
    <w:abstractNumId w:val="33"/>
  </w:num>
  <w:num w:numId="11">
    <w:abstractNumId w:val="44"/>
  </w:num>
  <w:num w:numId="12">
    <w:abstractNumId w:val="9"/>
  </w:num>
  <w:num w:numId="13">
    <w:abstractNumId w:val="8"/>
  </w:num>
  <w:num w:numId="14">
    <w:abstractNumId w:val="43"/>
  </w:num>
  <w:num w:numId="15">
    <w:abstractNumId w:val="15"/>
  </w:num>
  <w:num w:numId="16">
    <w:abstractNumId w:val="28"/>
  </w:num>
  <w:num w:numId="17">
    <w:abstractNumId w:val="23"/>
  </w:num>
  <w:num w:numId="18">
    <w:abstractNumId w:val="0"/>
  </w:num>
  <w:num w:numId="19">
    <w:abstractNumId w:val="2"/>
  </w:num>
  <w:num w:numId="20">
    <w:abstractNumId w:val="10"/>
  </w:num>
  <w:num w:numId="21">
    <w:abstractNumId w:val="26"/>
  </w:num>
  <w:num w:numId="22">
    <w:abstractNumId w:val="29"/>
  </w:num>
  <w:num w:numId="23">
    <w:abstractNumId w:val="27"/>
  </w:num>
  <w:num w:numId="24">
    <w:abstractNumId w:val="24"/>
  </w:num>
  <w:num w:numId="25">
    <w:abstractNumId w:val="21"/>
  </w:num>
  <w:num w:numId="26">
    <w:abstractNumId w:val="3"/>
  </w:num>
  <w:num w:numId="27">
    <w:abstractNumId w:val="35"/>
  </w:num>
  <w:num w:numId="28">
    <w:abstractNumId w:val="45"/>
  </w:num>
  <w:num w:numId="29">
    <w:abstractNumId w:val="12"/>
  </w:num>
  <w:num w:numId="30">
    <w:abstractNumId w:val="32"/>
  </w:num>
  <w:num w:numId="31">
    <w:abstractNumId w:val="17"/>
  </w:num>
  <w:num w:numId="32">
    <w:abstractNumId w:val="30"/>
  </w:num>
  <w:num w:numId="33">
    <w:abstractNumId w:val="18"/>
  </w:num>
  <w:num w:numId="34">
    <w:abstractNumId w:val="20"/>
  </w:num>
  <w:num w:numId="35">
    <w:abstractNumId w:val="31"/>
  </w:num>
  <w:num w:numId="36">
    <w:abstractNumId w:val="19"/>
  </w:num>
  <w:num w:numId="37">
    <w:abstractNumId w:val="6"/>
  </w:num>
  <w:num w:numId="38">
    <w:abstractNumId w:val="46"/>
  </w:num>
  <w:num w:numId="39">
    <w:abstractNumId w:val="1"/>
  </w:num>
  <w:num w:numId="40">
    <w:abstractNumId w:val="41"/>
  </w:num>
  <w:num w:numId="41">
    <w:abstractNumId w:val="25"/>
  </w:num>
  <w:num w:numId="42">
    <w:abstractNumId w:val="39"/>
  </w:num>
  <w:num w:numId="43">
    <w:abstractNumId w:val="40"/>
  </w:num>
  <w:num w:numId="44">
    <w:abstractNumId w:val="37"/>
  </w:num>
  <w:num w:numId="45">
    <w:abstractNumId w:val="34"/>
  </w:num>
  <w:num w:numId="46">
    <w:abstractNumId w:val="14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A3E"/>
    <w:rsid w:val="000B0D6A"/>
    <w:rsid w:val="000B15D9"/>
    <w:rsid w:val="000B370B"/>
    <w:rsid w:val="000B5BD4"/>
    <w:rsid w:val="000B61FE"/>
    <w:rsid w:val="000B64A6"/>
    <w:rsid w:val="000C6754"/>
    <w:rsid w:val="000D045E"/>
    <w:rsid w:val="000D303F"/>
    <w:rsid w:val="000D5B15"/>
    <w:rsid w:val="000E2569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3538"/>
    <w:rsid w:val="001B5B5F"/>
    <w:rsid w:val="001B7847"/>
    <w:rsid w:val="001C2A32"/>
    <w:rsid w:val="001C4016"/>
    <w:rsid w:val="001C6458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4F0B"/>
    <w:rsid w:val="00212D7B"/>
    <w:rsid w:val="00215A9F"/>
    <w:rsid w:val="00216B47"/>
    <w:rsid w:val="00217A6D"/>
    <w:rsid w:val="002210D5"/>
    <w:rsid w:val="00221872"/>
    <w:rsid w:val="00222A70"/>
    <w:rsid w:val="00230883"/>
    <w:rsid w:val="00230C48"/>
    <w:rsid w:val="0023219C"/>
    <w:rsid w:val="002339A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59C0"/>
    <w:rsid w:val="00277E6B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2AA1"/>
    <w:rsid w:val="002B455B"/>
    <w:rsid w:val="002B46EF"/>
    <w:rsid w:val="002B4EE2"/>
    <w:rsid w:val="002C02B5"/>
    <w:rsid w:val="002C0467"/>
    <w:rsid w:val="002C0BDD"/>
    <w:rsid w:val="002C0FA0"/>
    <w:rsid w:val="002C2DF8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829"/>
    <w:rsid w:val="00307007"/>
    <w:rsid w:val="00307F23"/>
    <w:rsid w:val="003129F1"/>
    <w:rsid w:val="00313197"/>
    <w:rsid w:val="00313A87"/>
    <w:rsid w:val="003148DB"/>
    <w:rsid w:val="003170A6"/>
    <w:rsid w:val="003217BA"/>
    <w:rsid w:val="003218EA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3BAB"/>
    <w:rsid w:val="00343C04"/>
    <w:rsid w:val="00344DBA"/>
    <w:rsid w:val="003465E3"/>
    <w:rsid w:val="003473A4"/>
    <w:rsid w:val="00351D54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EB7"/>
    <w:rsid w:val="003B155C"/>
    <w:rsid w:val="003B2CC3"/>
    <w:rsid w:val="003B301F"/>
    <w:rsid w:val="003B4379"/>
    <w:rsid w:val="003B518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129CA"/>
    <w:rsid w:val="00413625"/>
    <w:rsid w:val="004165D7"/>
    <w:rsid w:val="0042439B"/>
    <w:rsid w:val="00425F20"/>
    <w:rsid w:val="00427232"/>
    <w:rsid w:val="0043049E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870F3"/>
    <w:rsid w:val="004916CA"/>
    <w:rsid w:val="00492685"/>
    <w:rsid w:val="00497EEC"/>
    <w:rsid w:val="004A12AD"/>
    <w:rsid w:val="004A3833"/>
    <w:rsid w:val="004A61AB"/>
    <w:rsid w:val="004B0ACE"/>
    <w:rsid w:val="004B30FA"/>
    <w:rsid w:val="004B5876"/>
    <w:rsid w:val="004C2ACE"/>
    <w:rsid w:val="004C463F"/>
    <w:rsid w:val="004D3057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4F8C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16F4"/>
    <w:rsid w:val="0056298A"/>
    <w:rsid w:val="00563A12"/>
    <w:rsid w:val="00563AAC"/>
    <w:rsid w:val="005644A3"/>
    <w:rsid w:val="005644FA"/>
    <w:rsid w:val="00564BCA"/>
    <w:rsid w:val="00565E84"/>
    <w:rsid w:val="00572DCD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2AF6"/>
    <w:rsid w:val="00593526"/>
    <w:rsid w:val="00593846"/>
    <w:rsid w:val="00597B8D"/>
    <w:rsid w:val="005A384B"/>
    <w:rsid w:val="005A45ED"/>
    <w:rsid w:val="005A4C95"/>
    <w:rsid w:val="005A57EA"/>
    <w:rsid w:val="005A6189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13A8"/>
    <w:rsid w:val="005E2A53"/>
    <w:rsid w:val="005E4AB4"/>
    <w:rsid w:val="005E52D3"/>
    <w:rsid w:val="005F37A7"/>
    <w:rsid w:val="005F4DB2"/>
    <w:rsid w:val="005F724E"/>
    <w:rsid w:val="006015DE"/>
    <w:rsid w:val="00601865"/>
    <w:rsid w:val="00601C3A"/>
    <w:rsid w:val="00601F9F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4AB0"/>
    <w:rsid w:val="006452B7"/>
    <w:rsid w:val="0064551B"/>
    <w:rsid w:val="0064593F"/>
    <w:rsid w:val="00647D29"/>
    <w:rsid w:val="00653C80"/>
    <w:rsid w:val="006570AE"/>
    <w:rsid w:val="0066461E"/>
    <w:rsid w:val="00664D6D"/>
    <w:rsid w:val="00665892"/>
    <w:rsid w:val="006759AC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4552"/>
    <w:rsid w:val="006F582D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0750"/>
    <w:rsid w:val="00741D67"/>
    <w:rsid w:val="00743708"/>
    <w:rsid w:val="007473C5"/>
    <w:rsid w:val="00753D75"/>
    <w:rsid w:val="00763283"/>
    <w:rsid w:val="00765839"/>
    <w:rsid w:val="0076595F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31F3"/>
    <w:rsid w:val="0081348F"/>
    <w:rsid w:val="0081631D"/>
    <w:rsid w:val="00817F24"/>
    <w:rsid w:val="00817FF3"/>
    <w:rsid w:val="00821765"/>
    <w:rsid w:val="00827C35"/>
    <w:rsid w:val="008325A1"/>
    <w:rsid w:val="00832D8A"/>
    <w:rsid w:val="00833D15"/>
    <w:rsid w:val="00835864"/>
    <w:rsid w:val="00835E21"/>
    <w:rsid w:val="008417DB"/>
    <w:rsid w:val="008458B2"/>
    <w:rsid w:val="0084749A"/>
    <w:rsid w:val="0085040D"/>
    <w:rsid w:val="008552E1"/>
    <w:rsid w:val="00857463"/>
    <w:rsid w:val="00857536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15A7"/>
    <w:rsid w:val="008932A3"/>
    <w:rsid w:val="008A10CC"/>
    <w:rsid w:val="008A1FCA"/>
    <w:rsid w:val="008A6351"/>
    <w:rsid w:val="008B199D"/>
    <w:rsid w:val="008B4419"/>
    <w:rsid w:val="008C45CD"/>
    <w:rsid w:val="008C6059"/>
    <w:rsid w:val="008C69A5"/>
    <w:rsid w:val="008D0F2F"/>
    <w:rsid w:val="008D2F56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1F46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4C3F"/>
    <w:rsid w:val="00990017"/>
    <w:rsid w:val="00991B05"/>
    <w:rsid w:val="00992D78"/>
    <w:rsid w:val="00995118"/>
    <w:rsid w:val="0099559D"/>
    <w:rsid w:val="00997036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1ED1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C5F"/>
    <w:rsid w:val="00A83C34"/>
    <w:rsid w:val="00A85C66"/>
    <w:rsid w:val="00A874AF"/>
    <w:rsid w:val="00A87AFD"/>
    <w:rsid w:val="00A90FAC"/>
    <w:rsid w:val="00A920E7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35CF"/>
    <w:rsid w:val="00AF55EF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A31"/>
    <w:rsid w:val="00B50BF9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965AA"/>
    <w:rsid w:val="00B9705D"/>
    <w:rsid w:val="00BA7054"/>
    <w:rsid w:val="00BA7A24"/>
    <w:rsid w:val="00BA7EF2"/>
    <w:rsid w:val="00BB144C"/>
    <w:rsid w:val="00BB196E"/>
    <w:rsid w:val="00BB7154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E71"/>
    <w:rsid w:val="00C37A62"/>
    <w:rsid w:val="00C40FA7"/>
    <w:rsid w:val="00C431EB"/>
    <w:rsid w:val="00C44466"/>
    <w:rsid w:val="00C4486F"/>
    <w:rsid w:val="00C45F36"/>
    <w:rsid w:val="00C472EF"/>
    <w:rsid w:val="00C47C05"/>
    <w:rsid w:val="00C57B52"/>
    <w:rsid w:val="00C57C6E"/>
    <w:rsid w:val="00C60B08"/>
    <w:rsid w:val="00C613FE"/>
    <w:rsid w:val="00C61E6F"/>
    <w:rsid w:val="00C66535"/>
    <w:rsid w:val="00C66869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BC2"/>
    <w:rsid w:val="00CD2D9A"/>
    <w:rsid w:val="00CD480E"/>
    <w:rsid w:val="00CD5549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07B5A"/>
    <w:rsid w:val="00D10C42"/>
    <w:rsid w:val="00D14976"/>
    <w:rsid w:val="00D1701F"/>
    <w:rsid w:val="00D277EA"/>
    <w:rsid w:val="00D3285F"/>
    <w:rsid w:val="00D331FF"/>
    <w:rsid w:val="00D34AF8"/>
    <w:rsid w:val="00D35E1F"/>
    <w:rsid w:val="00D45BFD"/>
    <w:rsid w:val="00D464D1"/>
    <w:rsid w:val="00D52107"/>
    <w:rsid w:val="00D55029"/>
    <w:rsid w:val="00D61B2B"/>
    <w:rsid w:val="00D6237F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F07BB"/>
    <w:rsid w:val="00DF53A1"/>
    <w:rsid w:val="00DF721E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5EE9"/>
    <w:rsid w:val="00E5320A"/>
    <w:rsid w:val="00E605DF"/>
    <w:rsid w:val="00E6262C"/>
    <w:rsid w:val="00E74254"/>
    <w:rsid w:val="00E77656"/>
    <w:rsid w:val="00E85C03"/>
    <w:rsid w:val="00E91766"/>
    <w:rsid w:val="00E9221C"/>
    <w:rsid w:val="00E93368"/>
    <w:rsid w:val="00E93F51"/>
    <w:rsid w:val="00E94EB0"/>
    <w:rsid w:val="00E96C05"/>
    <w:rsid w:val="00EA21B7"/>
    <w:rsid w:val="00EA34A4"/>
    <w:rsid w:val="00EA5A32"/>
    <w:rsid w:val="00EA5A95"/>
    <w:rsid w:val="00EA5BF6"/>
    <w:rsid w:val="00EA6702"/>
    <w:rsid w:val="00EA7AF8"/>
    <w:rsid w:val="00EB04A3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D37"/>
    <w:rsid w:val="00F54954"/>
    <w:rsid w:val="00F56F46"/>
    <w:rsid w:val="00F60137"/>
    <w:rsid w:val="00F6343B"/>
    <w:rsid w:val="00F654D5"/>
    <w:rsid w:val="00F6564A"/>
    <w:rsid w:val="00F67A41"/>
    <w:rsid w:val="00F67ECC"/>
    <w:rsid w:val="00F70897"/>
    <w:rsid w:val="00F718D8"/>
    <w:rsid w:val="00F72658"/>
    <w:rsid w:val="00F7281D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6174E6F813E4C899FC32304BF7755" ma:contentTypeVersion="17" ma:contentTypeDescription="Create a new document." ma:contentTypeScope="" ma:versionID="a9c4a5d69f8a936863092266e849d7b7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41F80-71CD-4999-98F7-3610776C7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1ECF6C-72C8-4844-BEC0-7A69D94EE7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8DE52DC-65A7-47C6-8E74-90086F7D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3999</Words>
  <Characters>23596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27540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Sobotková</dc:creator>
  <cp:lastModifiedBy>Pavlín Vladimír Ing.</cp:lastModifiedBy>
  <cp:revision>2</cp:revision>
  <cp:lastPrinted>2019-04-29T10:29:00Z</cp:lastPrinted>
  <dcterms:created xsi:type="dcterms:W3CDTF">2019-04-30T10:52:00Z</dcterms:created>
  <dcterms:modified xsi:type="dcterms:W3CDTF">2019-04-30T10:52:00Z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0x0101004586174E6F813E4C899FC32304BF7755</vt:lpwstr>
  </property>
</Properties>
</file>