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357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Věc: </w:t>
      </w:r>
      <w:r>
        <w:rPr>
          <w:b/>
          <w:w w:val="105"/>
          <w:sz w:val="22"/>
          <w:u w:val="thick"/>
        </w:rPr>
        <w:t>Objednávka ZUŠVP/0040/2019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157"/>
        <w:ind w:left="373" w:right="0" w:firstLine="0"/>
        <w:jc w:val="left"/>
        <w:rPr>
          <w:b/>
          <w:sz w:val="22"/>
        </w:rPr>
      </w:pPr>
      <w:r>
        <w:rPr>
          <w:b/>
          <w:sz w:val="22"/>
        </w:rPr>
        <w:t>OBJEDNATEL:</w:t>
      </w:r>
    </w:p>
    <w:p>
      <w:pPr>
        <w:pStyle w:val="BodyText"/>
        <w:spacing w:before="9"/>
        <w:rPr>
          <w:b/>
          <w:sz w:val="28"/>
        </w:rPr>
      </w:pPr>
    </w:p>
    <w:p>
      <w:pPr>
        <w:spacing w:before="0"/>
        <w:ind w:left="478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ZUŠ Vadima Petrova</w:t>
      </w:r>
    </w:p>
    <w:p>
      <w:pPr>
        <w:pStyle w:val="BodyText"/>
        <w:tabs>
          <w:tab w:pos="2708" w:val="left" w:leader="none"/>
        </w:tabs>
        <w:spacing w:before="84"/>
        <w:ind w:left="471"/>
      </w:pPr>
      <w:r>
        <w:rPr>
          <w:w w:val="105"/>
        </w:rPr>
        <w:t>se</w:t>
      </w:r>
      <w:r>
        <w:rPr>
          <w:spacing w:val="-9"/>
          <w:w w:val="105"/>
        </w:rPr>
        <w:t> </w:t>
      </w:r>
      <w:r>
        <w:rPr>
          <w:w w:val="105"/>
        </w:rPr>
        <w:t>sídlem:</w:t>
        <w:tab/>
        <w:t>Dunická 3136/1,</w:t>
      </w:r>
      <w:r>
        <w:rPr>
          <w:spacing w:val="-13"/>
          <w:w w:val="105"/>
        </w:rPr>
        <w:t> </w:t>
      </w:r>
      <w:r>
        <w:rPr>
          <w:w w:val="105"/>
        </w:rPr>
        <w:t>141</w:t>
      </w:r>
      <w:r>
        <w:rPr>
          <w:spacing w:val="-23"/>
          <w:w w:val="105"/>
        </w:rPr>
        <w:t> </w:t>
      </w:r>
      <w:r>
        <w:rPr>
          <w:w w:val="105"/>
        </w:rPr>
        <w:t>00</w:t>
      </w:r>
      <w:r>
        <w:rPr>
          <w:spacing w:val="-12"/>
          <w:w w:val="105"/>
        </w:rPr>
        <w:t> </w:t>
      </w:r>
      <w:r>
        <w:rPr>
          <w:w w:val="105"/>
        </w:rPr>
        <w:t>Praha</w:t>
      </w:r>
      <w:r>
        <w:rPr>
          <w:spacing w:val="-8"/>
          <w:w w:val="105"/>
        </w:rPr>
        <w:t> </w:t>
      </w:r>
      <w:r>
        <w:rPr>
          <w:w w:val="105"/>
        </w:rPr>
        <w:t>4</w:t>
      </w:r>
    </w:p>
    <w:p>
      <w:pPr>
        <w:spacing w:after="0"/>
        <w:sectPr>
          <w:footerReference w:type="default" r:id="rId5"/>
          <w:type w:val="continuous"/>
          <w:pgSz w:w="11910" w:h="16850"/>
          <w:pgMar w:footer="1218" w:top="1600" w:bottom="1400" w:left="1560" w:right="1440"/>
        </w:sectPr>
      </w:pPr>
    </w:p>
    <w:p>
      <w:pPr>
        <w:pStyle w:val="BodyText"/>
        <w:spacing w:before="140"/>
        <w:ind w:left="477"/>
      </w:pPr>
      <w:r>
        <w:rPr>
          <w:w w:val="105"/>
        </w:rPr>
        <w:t>zastoupené:</w:t>
      </w:r>
    </w:p>
    <w:p>
      <w:pPr>
        <w:spacing w:before="141"/>
        <w:ind w:left="477" w:right="0" w:firstLine="0"/>
        <w:jc w:val="left"/>
        <w:rPr>
          <w:sz w:val="22"/>
        </w:rPr>
      </w:pPr>
      <w:r>
        <w:rPr>
          <w:w w:val="105"/>
          <w:sz w:val="22"/>
        </w:rPr>
        <w:t>IČO:</w:t>
      </w:r>
    </w:p>
    <w:p>
      <w:pPr>
        <w:spacing w:before="144"/>
        <w:ind w:left="478" w:right="0" w:firstLine="0"/>
        <w:jc w:val="left"/>
        <w:rPr>
          <w:sz w:val="22"/>
        </w:rPr>
      </w:pPr>
      <w:r>
        <w:rPr>
          <w:w w:val="105"/>
          <w:sz w:val="22"/>
        </w:rPr>
        <w:t>DIČ:</w:t>
      </w:r>
    </w:p>
    <w:p>
      <w:pPr>
        <w:pStyle w:val="BodyText"/>
        <w:spacing w:before="135"/>
        <w:ind w:left="483"/>
      </w:pPr>
      <w:r>
        <w:rPr>
          <w:w w:val="105"/>
        </w:rPr>
        <w:t>bankovní účet:</w:t>
      </w:r>
    </w:p>
    <w:p>
      <w:pPr>
        <w:pStyle w:val="BodyText"/>
        <w:spacing w:line="360" w:lineRule="auto" w:before="140"/>
        <w:ind w:left="477" w:right="4080"/>
      </w:pPr>
      <w:r>
        <w:rPr/>
        <w:br w:type="column"/>
      </w:r>
      <w:r>
        <w:rPr/>
        <w:t>Mgr. Josef Zámečník 45245118 CZ45245118</w:t>
      </w:r>
    </w:p>
    <w:p>
      <w:pPr>
        <w:pStyle w:val="BodyText"/>
        <w:ind w:left="483"/>
      </w:pPr>
      <w:r>
        <w:rPr/>
        <w:t>2002560000/6000 PPP Banka a.s.</w:t>
      </w:r>
    </w:p>
    <w:p>
      <w:pPr>
        <w:spacing w:after="0"/>
        <w:sectPr>
          <w:type w:val="continuous"/>
          <w:pgSz w:w="11910" w:h="16850"/>
          <w:pgMar w:top="1600" w:bottom="1400" w:left="1560" w:right="1440"/>
          <w:cols w:num="2" w:equalWidth="0">
            <w:col w:w="1971" w:space="268"/>
            <w:col w:w="66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1"/>
        <w:ind w:left="378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DODAVATEL:</w:t>
      </w:r>
    </w:p>
    <w:p>
      <w:pPr>
        <w:pStyle w:val="BodyText"/>
        <w:rPr>
          <w:b/>
          <w:sz w:val="24"/>
        </w:rPr>
      </w:pPr>
    </w:p>
    <w:p>
      <w:pPr>
        <w:spacing w:before="178"/>
        <w:ind w:left="377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Mgr. Arnold Kinkal, Brass Studio Prague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tabs>
          <w:tab w:pos="2751" w:val="left" w:leader="none"/>
        </w:tabs>
        <w:ind w:left="367"/>
      </w:pPr>
      <w:r>
        <w:rPr>
          <w:w w:val="105"/>
        </w:rPr>
        <w:t>Se</w:t>
      </w:r>
      <w:r>
        <w:rPr>
          <w:spacing w:val="-11"/>
          <w:w w:val="105"/>
        </w:rPr>
        <w:t> </w:t>
      </w:r>
      <w:r>
        <w:rPr>
          <w:w w:val="105"/>
        </w:rPr>
        <w:t>sídlem:</w:t>
        <w:tab/>
        <w:t>Náměstí</w:t>
      </w:r>
      <w:r>
        <w:rPr>
          <w:spacing w:val="-12"/>
          <w:w w:val="105"/>
        </w:rPr>
        <w:t> </w:t>
      </w:r>
      <w:r>
        <w:rPr>
          <w:w w:val="105"/>
        </w:rPr>
        <w:t>Bořislavka</w:t>
      </w:r>
      <w:r>
        <w:rPr>
          <w:spacing w:val="5"/>
          <w:w w:val="105"/>
        </w:rPr>
        <w:t> </w:t>
      </w:r>
      <w:r>
        <w:rPr>
          <w:w w:val="105"/>
        </w:rPr>
        <w:t>2075/11,</w:t>
      </w:r>
      <w:r>
        <w:rPr>
          <w:spacing w:val="-12"/>
          <w:w w:val="105"/>
        </w:rPr>
        <w:t> </w:t>
      </w:r>
      <w:r>
        <w:rPr>
          <w:w w:val="105"/>
        </w:rPr>
        <w:t>160</w:t>
      </w:r>
      <w:r>
        <w:rPr>
          <w:spacing w:val="-18"/>
          <w:w w:val="105"/>
        </w:rPr>
        <w:t> </w:t>
      </w:r>
      <w:r>
        <w:rPr>
          <w:w w:val="105"/>
        </w:rPr>
        <w:t>00</w:t>
      </w:r>
      <w:r>
        <w:rPr>
          <w:spacing w:val="-12"/>
          <w:w w:val="105"/>
        </w:rPr>
        <w:t> </w:t>
      </w:r>
      <w:r>
        <w:rPr>
          <w:w w:val="105"/>
        </w:rPr>
        <w:t>Praha</w:t>
      </w:r>
      <w:r>
        <w:rPr>
          <w:spacing w:val="-6"/>
          <w:w w:val="105"/>
        </w:rPr>
        <w:t> </w:t>
      </w:r>
      <w:r>
        <w:rPr>
          <w:w w:val="105"/>
        </w:rPr>
        <w:t>6</w:t>
      </w:r>
    </w:p>
    <w:p>
      <w:pPr>
        <w:pStyle w:val="BodyText"/>
        <w:spacing w:before="1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50"/>
          <w:pgMar w:top="1600" w:bottom="1400" w:left="1560" w:right="1440"/>
        </w:sectPr>
      </w:pPr>
    </w:p>
    <w:p>
      <w:pPr>
        <w:spacing w:line="554" w:lineRule="auto" w:before="100"/>
        <w:ind w:left="370" w:right="23" w:firstLine="5"/>
        <w:jc w:val="left"/>
        <w:rPr>
          <w:sz w:val="22"/>
        </w:rPr>
      </w:pPr>
      <w:r>
        <w:rPr>
          <w:w w:val="105"/>
          <w:sz w:val="22"/>
        </w:rPr>
        <w:t>IČO: DIČ:</w:t>
      </w:r>
    </w:p>
    <w:p>
      <w:pPr>
        <w:pStyle w:val="BodyText"/>
        <w:spacing w:before="91"/>
        <w:ind w:left="376"/>
      </w:pPr>
      <w:r>
        <w:rPr/>
        <w:br w:type="column"/>
      </w:r>
      <w:r>
        <w:rPr/>
        <w:t>66021090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370"/>
      </w:pPr>
      <w:r>
        <w:rPr/>
        <w:t>CZ5809161160</w:t>
      </w:r>
    </w:p>
    <w:p>
      <w:pPr>
        <w:spacing w:after="0"/>
        <w:sectPr>
          <w:type w:val="continuous"/>
          <w:pgSz w:w="11910" w:h="16850"/>
          <w:pgMar w:top="1600" w:bottom="1400" w:left="1560" w:right="1440"/>
          <w:cols w:num="2" w:equalWidth="0">
            <w:col w:w="880" w:space="1447"/>
            <w:col w:w="6583"/>
          </w:cols>
        </w:sectPr>
      </w:pPr>
    </w:p>
    <w:p>
      <w:pPr>
        <w:pStyle w:val="BodyText"/>
        <w:tabs>
          <w:tab w:pos="2722" w:val="left" w:leader="none"/>
        </w:tabs>
        <w:spacing w:line="263" w:lineRule="exact"/>
        <w:ind w:left="370"/>
      </w:pPr>
      <w:r>
        <w:rPr/>
        <w:pict>
          <v:line style="position:absolute;mso-position-horizontal-relative:page;mso-position-vertical-relative:page;z-index:1024" from="1.082614pt,841.679569pt" to="1.082614pt,798.387207pt" stroked="true" strokeweight=".360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048" from="1.082614pt,786.842558pt" to="1.082614pt,742.107117pt" stroked="true" strokeweight=".360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072" from=".721743pt,729.119427pt" to=".721743pt,665.623962pt" stroked="true" strokeweight=".360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096" from="4.330448pt,619.445415pt" to="4.330448pt,503.999115pt" stroked="true" strokeweight=".36087pt" strokecolor="#000000">
            <v:stroke dashstyle="solid"/>
            <w10:wrap type="none"/>
          </v:line>
        </w:pict>
      </w:r>
      <w:r>
        <w:rPr>
          <w:w w:val="105"/>
        </w:rPr>
        <w:t>Bankovní</w:t>
      </w:r>
      <w:r>
        <w:rPr>
          <w:spacing w:val="-17"/>
          <w:w w:val="105"/>
        </w:rPr>
        <w:t> </w:t>
      </w:r>
      <w:r>
        <w:rPr>
          <w:w w:val="105"/>
        </w:rPr>
        <w:t>spojení:</w:t>
        <w:tab/>
      </w:r>
      <w:r>
        <w:rPr>
          <w:w w:val="105"/>
          <w:position w:val="1"/>
        </w:rPr>
        <w:t>206870001/5500 Raiffeisenbank</w:t>
      </w:r>
      <w:r>
        <w:rPr>
          <w:spacing w:val="-26"/>
          <w:w w:val="105"/>
          <w:position w:val="1"/>
        </w:rPr>
        <w:t> </w:t>
      </w:r>
      <w:r>
        <w:rPr>
          <w:w w:val="105"/>
          <w:position w:val="1"/>
        </w:rPr>
        <w:t>a.s.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7"/>
        </w:rPr>
      </w:pPr>
    </w:p>
    <w:p>
      <w:pPr>
        <w:pStyle w:val="BodyText"/>
        <w:ind w:left="372"/>
      </w:pPr>
      <w:r>
        <w:rPr>
          <w:w w:val="105"/>
        </w:rPr>
        <w:t>(dále též „Smluviú strany")</w:t>
      </w:r>
    </w:p>
    <w:p>
      <w:pPr>
        <w:spacing w:after="0"/>
        <w:sectPr>
          <w:type w:val="continuous"/>
          <w:pgSz w:w="11910" w:h="16850"/>
          <w:pgMar w:top="1600" w:bottom="1400" w:left="1560" w:right="1440"/>
        </w:sectPr>
      </w:pPr>
    </w:p>
    <w:p>
      <w:pPr>
        <w:pStyle w:val="BodyText"/>
        <w:spacing w:line="321" w:lineRule="auto" w:before="75"/>
        <w:ind w:left="112" w:right="494" w:hanging="8"/>
        <w:jc w:val="both"/>
      </w:pPr>
      <w:r>
        <w:rPr/>
        <w:pict>
          <v:line style="position:absolute;mso-position-horizontal-relative:page;mso-position-vertical-relative:page;z-index:1120" from=".180438pt,796.94411pt" to=".180438pt,734.891724pt" stroked="true" strokeweight=".360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44" from=".180438pt,730.56249pt" to=".180438pt,440.503662pt" stroked="true" strokeweight=".36087pt" strokecolor="#000000">
            <v:stroke dashstyle="solid"/>
            <w10:wrap type="none"/>
          </v:line>
        </w:pict>
      </w:r>
      <w:r>
        <w:rPr>
          <w:w w:val="105"/>
        </w:rPr>
        <w:t>Ve smyslu §  27  a  §  31 zákona  č. 134/2016  Sb.,  o  zadávání  veřejných  zakázek, v platném znění, u Vás objednáváme hudební nástroj - Lesní roh F/B Hans Hoyer 6801GA-L v rozsahu a za podmínek dále</w:t>
      </w:r>
      <w:r>
        <w:rPr>
          <w:spacing w:val="-1"/>
          <w:w w:val="105"/>
        </w:rPr>
        <w:t> </w:t>
      </w:r>
      <w:r>
        <w:rPr>
          <w:w w:val="105"/>
        </w:rPr>
        <w:t>uvedených.</w:t>
      </w:r>
    </w:p>
    <w:p>
      <w:pPr>
        <w:pStyle w:val="BodyText"/>
        <w:spacing w:line="316" w:lineRule="auto" w:before="221"/>
        <w:ind w:left="135" w:right="463" w:hanging="9"/>
        <w:jc w:val="both"/>
      </w:pPr>
      <w:r>
        <w:rPr>
          <w:w w:val="105"/>
        </w:rPr>
        <w:t>V souladu s občanským zákoníkem se akceptací této objednávky</w:t>
      </w:r>
      <w:r>
        <w:rPr>
          <w:spacing w:val="60"/>
          <w:w w:val="105"/>
        </w:rPr>
        <w:t> </w:t>
      </w:r>
      <w:r>
        <w:rPr>
          <w:w w:val="105"/>
        </w:rPr>
        <w:t>zakládá dvoustranný smluvní vztah mezi Objednatelem a Dodavatelem. Dodavateli tak vzniká povinnost realizovat předmět plnění v požadovaném</w:t>
      </w:r>
      <w:r>
        <w:rPr>
          <w:spacing w:val="60"/>
          <w:w w:val="105"/>
        </w:rPr>
        <w:t> </w:t>
      </w:r>
      <w:r>
        <w:rPr>
          <w:w w:val="105"/>
        </w:rPr>
        <w:t>rozsahu  a  jeho výsledky předat níže uvedenému zástupci Objednatele a Objednateli vzniká povinnost zaplatit Dodavateli dohodnutou smluvní</w:t>
      </w:r>
      <w:r>
        <w:rPr>
          <w:spacing w:val="30"/>
          <w:w w:val="105"/>
        </w:rPr>
        <w:t> </w:t>
      </w:r>
      <w:r>
        <w:rPr>
          <w:w w:val="105"/>
        </w:rPr>
        <w:t>odměnu.</w:t>
      </w:r>
    </w:p>
    <w:p>
      <w:pPr>
        <w:pStyle w:val="BodyText"/>
        <w:spacing w:before="9"/>
        <w:rPr>
          <w:sz w:val="33"/>
        </w:rPr>
      </w:pPr>
    </w:p>
    <w:p>
      <w:pPr>
        <w:pStyle w:val="Heading2"/>
        <w:numPr>
          <w:ilvl w:val="0"/>
          <w:numId w:val="1"/>
        </w:numPr>
        <w:tabs>
          <w:tab w:pos="519" w:val="left" w:leader="none"/>
          <w:tab w:pos="520" w:val="left" w:leader="none"/>
        </w:tabs>
        <w:spacing w:line="240" w:lineRule="auto" w:before="0" w:after="0"/>
        <w:ind w:left="662" w:right="0" w:hanging="504"/>
        <w:jc w:val="left"/>
        <w:rPr>
          <w:u w:val="none"/>
        </w:rPr>
      </w:pPr>
      <w:r>
        <w:rPr>
          <w:w w:val="105"/>
          <w:u w:val="thick"/>
        </w:rPr>
        <w:t>Předmět</w:t>
      </w:r>
      <w:r>
        <w:rPr>
          <w:spacing w:val="-1"/>
          <w:w w:val="105"/>
          <w:u w:val="thick"/>
        </w:rPr>
        <w:t> </w:t>
      </w:r>
      <w:r>
        <w:rPr>
          <w:w w:val="105"/>
          <w:u w:val="thick"/>
        </w:rPr>
        <w:t>plnění: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ind w:left="168"/>
      </w:pPr>
      <w:r>
        <w:rPr>
          <w:w w:val="105"/>
        </w:rPr>
        <w:t>Hudební nástroj - Lesní roh F/B Hans Hoyer 6801GA-L v.č. 474469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2"/>
        <w:numPr>
          <w:ilvl w:val="0"/>
          <w:numId w:val="1"/>
        </w:numPr>
        <w:tabs>
          <w:tab w:pos="552" w:val="left" w:leader="none"/>
          <w:tab w:pos="553" w:val="left" w:leader="none"/>
        </w:tabs>
        <w:spacing w:line="240" w:lineRule="auto" w:before="1" w:after="0"/>
        <w:ind w:left="552" w:right="0" w:hanging="372"/>
        <w:jc w:val="left"/>
        <w:rPr>
          <w:u w:val="none"/>
        </w:rPr>
      </w:pPr>
      <w:r>
        <w:rPr>
          <w:w w:val="105"/>
          <w:u w:val="thick"/>
        </w:rPr>
        <w:t>Cena za předmět</w:t>
      </w:r>
      <w:r>
        <w:rPr>
          <w:spacing w:val="-9"/>
          <w:w w:val="105"/>
          <w:u w:val="thick"/>
        </w:rPr>
        <w:t> </w:t>
      </w:r>
      <w:r>
        <w:rPr>
          <w:w w:val="105"/>
          <w:u w:val="thick"/>
        </w:rPr>
        <w:t>plnění: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314" w:lineRule="auto"/>
        <w:ind w:left="624" w:right="424" w:hanging="7"/>
        <w:jc w:val="both"/>
      </w:pPr>
      <w:r>
        <w:rPr>
          <w:w w:val="105"/>
        </w:rPr>
        <w:t>Uvedená cena za předmět plnění vč. daně z přidané hodnoty  (dále  jen „DPH") je stanovena jako smluvní odměna ve výši 120.000,00 Kč. Tato cena je cenou maximální a nepřekročiteh1ou. V této částce jsou zahrnuty veškeré náklady Dodavatele vynaložené v souvislosti s realizací předmětu</w:t>
      </w:r>
      <w:r>
        <w:rPr>
          <w:spacing w:val="34"/>
          <w:w w:val="105"/>
        </w:rPr>
        <w:t> </w:t>
      </w:r>
      <w:r>
        <w:rPr>
          <w:w w:val="105"/>
        </w:rPr>
        <w:t>plnění.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Heading2"/>
        <w:numPr>
          <w:ilvl w:val="0"/>
          <w:numId w:val="1"/>
        </w:numPr>
        <w:tabs>
          <w:tab w:pos="584" w:val="left" w:leader="none"/>
          <w:tab w:pos="585" w:val="left" w:leader="none"/>
        </w:tabs>
        <w:spacing w:line="240" w:lineRule="auto" w:before="0" w:after="0"/>
        <w:ind w:left="584" w:right="0" w:hanging="368"/>
        <w:jc w:val="left"/>
        <w:rPr>
          <w:u w:val="none"/>
        </w:rPr>
      </w:pPr>
      <w:r>
        <w:rPr>
          <w:w w:val="105"/>
          <w:u w:val="thick"/>
        </w:rPr>
        <w:t>Platební</w:t>
      </w:r>
      <w:r>
        <w:rPr>
          <w:spacing w:val="4"/>
          <w:w w:val="105"/>
          <w:u w:val="thick"/>
        </w:rPr>
        <w:t> </w:t>
      </w:r>
      <w:r>
        <w:rPr>
          <w:w w:val="105"/>
          <w:u w:val="thick"/>
        </w:rPr>
        <w:t>podmínky: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319" w:lineRule="auto"/>
        <w:ind w:left="662" w:right="384" w:hanging="439"/>
        <w:jc w:val="both"/>
      </w:pPr>
      <w:r>
        <w:rPr>
          <w:w w:val="105"/>
        </w:rPr>
        <w:t>• Cena za předmět plnění bude účtována Objednateli na základě vystaveného daňového dokladu (faktury) jednorázovou</w:t>
      </w:r>
      <w:r>
        <w:rPr>
          <w:spacing w:val="60"/>
          <w:w w:val="105"/>
        </w:rPr>
        <w:t> </w:t>
      </w:r>
      <w:r>
        <w:rPr>
          <w:w w:val="105"/>
        </w:rPr>
        <w:t>platbou  po  předání  předmětu plnění. Faktura musí být vystavena nejpozději do 5 dnů ode dne splnění předmětu objednávky. Součástí faktury musí být podrobný rozpis konkrétně uskutečněného</w:t>
      </w:r>
      <w:r>
        <w:rPr>
          <w:spacing w:val="18"/>
          <w:w w:val="105"/>
        </w:rPr>
        <w:t> </w:t>
      </w:r>
      <w:r>
        <w:rPr>
          <w:w w:val="105"/>
        </w:rPr>
        <w:t>plnění.</w:t>
      </w:r>
    </w:p>
    <w:p>
      <w:pPr>
        <w:pStyle w:val="BodyText"/>
        <w:tabs>
          <w:tab w:pos="608" w:val="left" w:leader="none"/>
        </w:tabs>
        <w:spacing w:line="340" w:lineRule="auto" w:before="211"/>
        <w:ind w:left="676" w:right="378" w:hanging="431"/>
      </w:pPr>
      <w:r>
        <w:rPr>
          <w:w w:val="105"/>
        </w:rPr>
        <w:t>•</w:t>
        <w:tab/>
        <w:t>Faktura bude vystavena na adresu sídla Objednatele uvedenou v záhlaví objednávky.</w:t>
      </w:r>
    </w:p>
    <w:p>
      <w:pPr>
        <w:pStyle w:val="BodyText"/>
        <w:tabs>
          <w:tab w:pos="615" w:val="left" w:leader="none"/>
        </w:tabs>
        <w:spacing w:line="340" w:lineRule="auto" w:before="187"/>
        <w:ind w:left="683" w:right="378" w:hanging="431"/>
      </w:pPr>
      <w:r>
        <w:rPr>
          <w:w w:val="105"/>
        </w:rPr>
        <w:t>•</w:t>
        <w:tab/>
        <w:t>Faktura bude doručena na adresu pracoviště Objednatele uvedenou v záhlaví objednávky.</w:t>
      </w:r>
    </w:p>
    <w:p>
      <w:pPr>
        <w:pStyle w:val="BodyText"/>
        <w:tabs>
          <w:tab w:pos="612" w:val="left" w:leader="none"/>
        </w:tabs>
        <w:spacing w:before="194"/>
        <w:ind w:left="260"/>
      </w:pPr>
      <w:r>
        <w:rPr>
          <w:w w:val="105"/>
        </w:rPr>
        <w:t>•</w:t>
        <w:tab/>
        <w:t>Splah1ost faktury bude stanovena na minimálně 14</w:t>
      </w:r>
      <w:r>
        <w:rPr>
          <w:spacing w:val="-27"/>
          <w:w w:val="105"/>
        </w:rPr>
        <w:t> </w:t>
      </w:r>
      <w:r>
        <w:rPr>
          <w:w w:val="105"/>
        </w:rPr>
        <w:t>dnů.</w:t>
      </w:r>
    </w:p>
    <w:p>
      <w:pPr>
        <w:pStyle w:val="BodyText"/>
        <w:spacing w:before="1"/>
        <w:rPr>
          <w:sz w:val="21"/>
        </w:rPr>
      </w:pPr>
    </w:p>
    <w:p>
      <w:pPr>
        <w:spacing w:before="1"/>
        <w:ind w:left="0" w:right="80" w:firstLine="0"/>
        <w:jc w:val="center"/>
        <w:rPr>
          <w:rFonts w:ascii="Arial"/>
          <w:sz w:val="28"/>
        </w:rPr>
      </w:pPr>
      <w:r>
        <w:rPr>
          <w:rFonts w:ascii="Arial"/>
          <w:w w:val="76"/>
          <w:sz w:val="28"/>
        </w:rPr>
        <w:t>z</w:t>
      </w:r>
    </w:p>
    <w:p>
      <w:pPr>
        <w:spacing w:after="0"/>
        <w:jc w:val="center"/>
        <w:rPr>
          <w:rFonts w:ascii="Arial"/>
          <w:sz w:val="28"/>
        </w:rPr>
        <w:sectPr>
          <w:footerReference w:type="default" r:id="rId6"/>
          <w:pgSz w:w="11910" w:h="16850"/>
          <w:pgMar w:footer="0" w:header="0" w:top="1520" w:bottom="280" w:left="1560" w:right="1440"/>
        </w:sectPr>
      </w:pPr>
    </w:p>
    <w:p>
      <w:pPr>
        <w:pStyle w:val="BodyText"/>
        <w:spacing w:line="321" w:lineRule="auto" w:before="66"/>
        <w:ind w:left="969" w:right="473" w:hanging="435"/>
        <w:jc w:val="both"/>
      </w:pPr>
      <w:r>
        <w:rPr/>
        <w:pict>
          <v:line style="position:absolute;mso-position-horizontal-relative:page;mso-position-vertical-relative:page;z-index:1168" from=".721743pt,796.944097pt" to=".721743pt,739.220947pt" stroked="true" strokeweight=".360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92" from=".180438pt,734.89169pt" to=".180438pt,697.371643pt" stroked="true" strokeweight=".360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216" from=".180438pt,612.230032pt" to=".180438pt,388.552826pt" stroked="true" strokeweight=".36087pt" strokecolor="#000000">
            <v:stroke dashstyle="solid"/>
            <w10:wrap type="none"/>
          </v:line>
        </w:pict>
      </w:r>
      <w:r>
        <w:rPr>
          <w:w w:val="105"/>
        </w:rPr>
        <w:t>• Vystavená faktura musí</w:t>
      </w:r>
      <w:r>
        <w:rPr>
          <w:spacing w:val="60"/>
          <w:w w:val="105"/>
        </w:rPr>
        <w:t> </w:t>
      </w:r>
      <w:r>
        <w:rPr>
          <w:w w:val="105"/>
        </w:rPr>
        <w:t>mít  veškeré  náležitosti  daňového  dokladu  ve smyslu zákona č. 235/2004</w:t>
      </w:r>
      <w:r>
        <w:rPr>
          <w:spacing w:val="-30"/>
          <w:w w:val="105"/>
        </w:rPr>
        <w:t> </w:t>
      </w:r>
      <w:r>
        <w:rPr>
          <w:w w:val="105"/>
        </w:rPr>
        <w:t>Sb.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16" w:lineRule="auto"/>
        <w:ind w:left="978" w:right="462" w:hanging="430"/>
        <w:jc w:val="both"/>
      </w:pPr>
      <w:r>
        <w:rPr>
          <w:w w:val="110"/>
        </w:rPr>
        <w:t>• V případě, že faktura bude obsahovat nesprávné údaje nebo nebude obsahovat právnúni předpisy vyžadované údaje, je Objednatel oprávněn fakturu vrátit Dodavateli k opravě. Splatnost opravené faktury musí být stanovena opět na minimálně 14 dnů.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319" w:lineRule="auto" w:before="1" w:after="0"/>
        <w:ind w:left="565" w:right="449" w:hanging="428"/>
        <w:jc w:val="both"/>
        <w:rPr>
          <w:sz w:val="23"/>
        </w:rPr>
      </w:pPr>
      <w:r>
        <w:rPr>
          <w:w w:val="105"/>
          <w:sz w:val="23"/>
        </w:rPr>
        <w:t>Objednatel uhradí cenu za předmět plnění bankovnún převodem na účet Dodavatele, vedený u banky v České republice, specifikovaný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v  této objednávce. Ke splnění závazku Objednatele dojde odepsánún částky z účtu Objednatele.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519" w:val="left" w:leader="none"/>
          <w:tab w:pos="521" w:val="left" w:leader="none"/>
        </w:tabs>
        <w:spacing w:line="240" w:lineRule="auto" w:before="0" w:after="0"/>
        <w:ind w:left="520" w:right="0" w:hanging="355"/>
        <w:jc w:val="left"/>
        <w:rPr>
          <w:u w:val="none"/>
        </w:rPr>
      </w:pPr>
      <w:r>
        <w:rPr>
          <w:w w:val="105"/>
          <w:u w:val="thick"/>
        </w:rPr>
        <w:t>Stanovený termín a místo</w:t>
      </w:r>
      <w:r>
        <w:rPr>
          <w:spacing w:val="-25"/>
          <w:w w:val="105"/>
          <w:u w:val="thick"/>
        </w:rPr>
        <w:t> </w:t>
      </w:r>
      <w:r>
        <w:rPr>
          <w:w w:val="105"/>
          <w:u w:val="thick"/>
        </w:rPr>
        <w:t>plnění:</w:t>
      </w:r>
    </w:p>
    <w:p>
      <w:pPr>
        <w:pStyle w:val="BodyText"/>
        <w:spacing w:before="8"/>
        <w:rPr>
          <w:b/>
          <w:sz w:val="38"/>
        </w:rPr>
      </w:pPr>
    </w:p>
    <w:p>
      <w:pPr>
        <w:pStyle w:val="ListParagraph"/>
        <w:numPr>
          <w:ilvl w:val="0"/>
          <w:numId w:val="1"/>
        </w:numPr>
        <w:tabs>
          <w:tab w:pos="525" w:val="left" w:leader="none"/>
        </w:tabs>
        <w:spacing w:line="316" w:lineRule="auto" w:before="0" w:after="0"/>
        <w:ind w:left="525" w:right="437" w:hanging="359"/>
        <w:jc w:val="both"/>
        <w:rPr>
          <w:sz w:val="23"/>
        </w:rPr>
      </w:pPr>
      <w:r>
        <w:rPr>
          <w:w w:val="105"/>
          <w:sz w:val="23"/>
        </w:rPr>
        <w:t>Objednatel je povinen oznámit Dodavateli přesné datum zahájení provádění předmětu plnění (dále jen „Datum zahájení prací") nejpozději do 1 měsíce po uzavření této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objednávky.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314" w:lineRule="auto" w:before="1" w:after="0"/>
        <w:ind w:left="538" w:right="436" w:hanging="357"/>
        <w:jc w:val="both"/>
        <w:rPr>
          <w:sz w:val="23"/>
        </w:rPr>
      </w:pPr>
      <w:r>
        <w:rPr>
          <w:w w:val="105"/>
          <w:sz w:val="23"/>
        </w:rPr>
        <w:t>Předmět plnění podle této objednávky je Dodavatel povinen předat k rukám ředitele zadavatele p. Mgr. Josefa Zárnečnika na adrese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zadavatele.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7"/>
        </w:rPr>
      </w:pPr>
    </w:p>
    <w:p>
      <w:pPr>
        <w:pStyle w:val="Heading1"/>
        <w:numPr>
          <w:ilvl w:val="0"/>
          <w:numId w:val="1"/>
        </w:numPr>
        <w:tabs>
          <w:tab w:pos="548" w:val="left" w:leader="none"/>
          <w:tab w:pos="549" w:val="left" w:leader="none"/>
        </w:tabs>
        <w:spacing w:line="240" w:lineRule="auto" w:before="0" w:after="0"/>
        <w:ind w:left="548" w:right="0" w:hanging="354"/>
        <w:jc w:val="left"/>
        <w:rPr>
          <w:u w:val="none"/>
        </w:rPr>
      </w:pPr>
      <w:r>
        <w:rPr>
          <w:u w:val="thick"/>
        </w:rPr>
        <w:t>Smluvní</w:t>
      </w:r>
      <w:r>
        <w:rPr>
          <w:spacing w:val="38"/>
          <w:u w:val="thick"/>
        </w:rPr>
        <w:t> </w:t>
      </w:r>
      <w:r>
        <w:rPr>
          <w:u w:val="thick"/>
        </w:rPr>
        <w:t>sankce:</w:t>
      </w:r>
    </w:p>
    <w:p>
      <w:pPr>
        <w:pStyle w:val="BodyText"/>
        <w:spacing w:before="9"/>
        <w:rPr>
          <w:b/>
          <w:sz w:val="38"/>
        </w:rPr>
      </w:pPr>
    </w:p>
    <w:p>
      <w:pPr>
        <w:pStyle w:val="ListParagraph"/>
        <w:numPr>
          <w:ilvl w:val="1"/>
          <w:numId w:val="1"/>
        </w:numPr>
        <w:tabs>
          <w:tab w:pos="689" w:val="left" w:leader="none"/>
        </w:tabs>
        <w:spacing w:line="316" w:lineRule="auto" w:before="0" w:after="0"/>
        <w:ind w:left="690" w:right="417" w:hanging="358"/>
        <w:jc w:val="both"/>
        <w:rPr>
          <w:sz w:val="23"/>
        </w:rPr>
      </w:pPr>
      <w:r>
        <w:rPr>
          <w:w w:val="105"/>
          <w:sz w:val="23"/>
        </w:rPr>
        <w:t>Při prodlení Dodavatele s předánún předmětu plněiú dle článku </w:t>
      </w:r>
      <w:r>
        <w:rPr>
          <w:rFonts w:ascii="Arial" w:hAnsi="Arial"/>
          <w:w w:val="105"/>
          <w:sz w:val="20"/>
        </w:rPr>
        <w:t>1. </w:t>
      </w:r>
      <w:r>
        <w:rPr>
          <w:w w:val="105"/>
          <w:sz w:val="23"/>
        </w:rPr>
        <w:t>této objednávky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zaplatí  Dodavatel  Objednateli  smluvní   pokutu  ve  výši  0,5  </w:t>
      </w:r>
      <w:r>
        <w:rPr>
          <w:rFonts w:ascii="Arial" w:hAnsi="Arial"/>
          <w:w w:val="105"/>
          <w:sz w:val="22"/>
        </w:rPr>
        <w:t>%  </w:t>
      </w:r>
      <w:r>
        <w:rPr>
          <w:w w:val="105"/>
          <w:sz w:val="23"/>
        </w:rPr>
        <w:t>z maximální ceny předmětu plnění včetně DPH stanovené v článku 2. této objednávky za každý započatý kalendářní den prodlení až do řádného splnění této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povinnosti.</w:t>
      </w:r>
    </w:p>
    <w:p>
      <w:pPr>
        <w:pStyle w:val="ListParagraph"/>
        <w:numPr>
          <w:ilvl w:val="1"/>
          <w:numId w:val="1"/>
        </w:numPr>
        <w:tabs>
          <w:tab w:pos="746" w:val="left" w:leader="none"/>
        </w:tabs>
        <w:spacing w:line="314" w:lineRule="auto" w:before="224" w:after="0"/>
        <w:ind w:left="698" w:right="421" w:hanging="359"/>
        <w:jc w:val="both"/>
        <w:rPr>
          <w:sz w:val="23"/>
        </w:rPr>
      </w:pPr>
      <w:r>
        <w:rPr/>
        <w:tab/>
      </w:r>
      <w:r>
        <w:rPr>
          <w:w w:val="105"/>
          <w:sz w:val="23"/>
        </w:rPr>
        <w:t>Při porušení povinnosti Dodavatele zahájit provádění předmětu plnění podle článku 4.1 objednávky je Dodavatel povinen zaplatit Objednateli smluvní pokutu ve výši 0,1 </w:t>
      </w:r>
      <w:r>
        <w:rPr>
          <w:rFonts w:ascii="Arial" w:hAnsi="Arial"/>
          <w:w w:val="105"/>
          <w:sz w:val="22"/>
        </w:rPr>
        <w:t>% </w:t>
      </w:r>
      <w:r>
        <w:rPr>
          <w:w w:val="105"/>
          <w:sz w:val="23"/>
        </w:rPr>
        <w:t>z maximální ceny předmětu plnění včetně DPH dle čl. 2. objednávky, nejméně však 1.000,-Kč včetně DPH za každý započatý den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trvání</w:t>
      </w:r>
    </w:p>
    <w:p>
      <w:pPr>
        <w:spacing w:after="0" w:line="314" w:lineRule="auto"/>
        <w:jc w:val="both"/>
        <w:rPr>
          <w:sz w:val="23"/>
        </w:rPr>
        <w:sectPr>
          <w:footerReference w:type="default" r:id="rId7"/>
          <w:pgSz w:w="11910" w:h="16850"/>
          <w:pgMar w:footer="1325" w:header="0" w:top="1580" w:bottom="1520" w:left="1560" w:right="1440"/>
          <w:pgNumType w:start="3"/>
        </w:sectPr>
      </w:pPr>
    </w:p>
    <w:p>
      <w:pPr>
        <w:pStyle w:val="BodyText"/>
        <w:spacing w:before="69"/>
        <w:ind w:left="606"/>
      </w:pPr>
      <w:r>
        <w:rPr/>
        <w:pict>
          <v:line style="position:absolute;mso-position-horizontal-relative:page;mso-position-vertical-relative:page;z-index:1240" from=".180438pt,759.424063pt" to=".180438pt,727.676331pt" stroked="true" strokeweight=".360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264" from=".180438pt,840.236468pt" to=".180438pt,778.184082pt" stroked="true" strokeweight=".360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288" from=".180438pt,714.688621pt" to=".180438pt,469.365234pt" stroked="true" strokeweight=".36087pt" strokecolor="#000000">
            <v:stroke dashstyle="solid"/>
            <w10:wrap type="none"/>
          </v:line>
        </w:pict>
      </w:r>
      <w:r>
        <w:rPr>
          <w:w w:val="110"/>
        </w:rPr>
        <w:t>prodlení.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21" w:lineRule="auto"/>
        <w:ind w:left="611" w:right="519" w:hanging="366"/>
        <w:jc w:val="both"/>
      </w:pPr>
      <w:r>
        <w:rPr>
          <w:w w:val="105"/>
        </w:rPr>
        <w:t>• Dodavatel</w:t>
      </w:r>
      <w:r>
        <w:rPr>
          <w:spacing w:val="60"/>
          <w:w w:val="105"/>
        </w:rPr>
        <w:t> </w:t>
      </w:r>
      <w:r>
        <w:rPr>
          <w:w w:val="105"/>
        </w:rPr>
        <w:t>je povinen  smluvní pokutu  uhradit na výzvu  Objednatele  do 5 dnů od jejího</w:t>
      </w:r>
      <w:r>
        <w:rPr>
          <w:spacing w:val="5"/>
          <w:w w:val="105"/>
        </w:rPr>
        <w:t> </w:t>
      </w:r>
      <w:r>
        <w:rPr>
          <w:w w:val="105"/>
        </w:rPr>
        <w:t>doručení.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14" w:lineRule="auto"/>
        <w:ind w:left="618" w:right="507" w:hanging="366"/>
        <w:jc w:val="both"/>
      </w:pPr>
      <w:r>
        <w:rPr>
          <w:w w:val="105"/>
        </w:rPr>
        <w:t>• Objednatel je oprávněn započíst</w:t>
      </w:r>
      <w:r>
        <w:rPr>
          <w:spacing w:val="60"/>
          <w:w w:val="105"/>
        </w:rPr>
        <w:t> </w:t>
      </w:r>
      <w:r>
        <w:rPr>
          <w:w w:val="105"/>
        </w:rPr>
        <w:t>si  jednostranně  vzniklou  smluvní  pokutu oproti odměně za provedení veřejné</w:t>
      </w:r>
      <w:r>
        <w:rPr>
          <w:spacing w:val="-8"/>
          <w:w w:val="105"/>
        </w:rPr>
        <w:t> </w:t>
      </w:r>
      <w:r>
        <w:rPr>
          <w:w w:val="105"/>
        </w:rPr>
        <w:t>zakázky.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316" w:lineRule="auto"/>
        <w:ind w:left="618" w:right="495" w:hanging="359"/>
        <w:jc w:val="both"/>
      </w:pPr>
      <w:r>
        <w:rPr>
          <w:w w:val="105"/>
        </w:rPr>
        <w:t>• Zaplacením smluv1úch pokut dle této Objednávky není dotčeno právo Objednatele na náhradu újmy v části převyšující</w:t>
      </w:r>
      <w:r>
        <w:rPr>
          <w:spacing w:val="60"/>
          <w:w w:val="105"/>
        </w:rPr>
        <w:t> </w:t>
      </w:r>
      <w:r>
        <w:rPr>
          <w:w w:val="105"/>
        </w:rPr>
        <w:t>již  uhrazenou  smluvní pokutu.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01" w:val="left" w:leader="none"/>
          <w:tab w:pos="502" w:val="left" w:leader="none"/>
        </w:tabs>
        <w:spacing w:line="240" w:lineRule="auto" w:before="0" w:after="0"/>
        <w:ind w:left="501" w:right="0" w:hanging="364"/>
        <w:jc w:val="left"/>
        <w:rPr>
          <w:b/>
          <w:sz w:val="23"/>
        </w:rPr>
      </w:pPr>
      <w:r>
        <w:rPr>
          <w:b/>
          <w:w w:val="105"/>
          <w:sz w:val="23"/>
          <w:u w:val="thick"/>
        </w:rPr>
        <w:t>Další</w:t>
      </w:r>
      <w:r>
        <w:rPr>
          <w:b/>
          <w:spacing w:val="6"/>
          <w:w w:val="105"/>
          <w:sz w:val="23"/>
          <w:u w:val="thick"/>
        </w:rPr>
        <w:t> </w:t>
      </w:r>
      <w:r>
        <w:rPr>
          <w:b/>
          <w:w w:val="105"/>
          <w:sz w:val="23"/>
          <w:u w:val="thick"/>
        </w:rPr>
        <w:t>podmínky: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ListParagraph"/>
        <w:numPr>
          <w:ilvl w:val="1"/>
          <w:numId w:val="1"/>
        </w:numPr>
        <w:tabs>
          <w:tab w:pos="642" w:val="left" w:leader="none"/>
        </w:tabs>
        <w:spacing w:line="314" w:lineRule="auto" w:before="0" w:after="0"/>
        <w:ind w:left="649" w:right="478" w:hanging="367"/>
        <w:jc w:val="both"/>
        <w:rPr>
          <w:sz w:val="23"/>
        </w:rPr>
      </w:pPr>
      <w:r>
        <w:rPr>
          <w:w w:val="105"/>
          <w:sz w:val="23"/>
        </w:rPr>
        <w:t>Smluvní strany této objednávky výslovně souhlasí s tím, aby tato objednávka byla uvedena v Centrální evidenci smluv (CES) vedené hlavním městem Prahou, která je veřejně přístupná a která obsahuje údaje o jejích účastnících, předmětu, číselné označení této objednávky, datum jejího podpisu a její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text.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49" w:val="left" w:leader="none"/>
        </w:tabs>
        <w:spacing w:line="316" w:lineRule="auto" w:before="0" w:after="0"/>
        <w:ind w:left="654" w:right="471" w:hanging="358"/>
        <w:jc w:val="both"/>
        <w:rPr>
          <w:sz w:val="23"/>
        </w:rPr>
      </w:pPr>
      <w:r>
        <w:rPr>
          <w:w w:val="105"/>
          <w:sz w:val="23"/>
        </w:rPr>
        <w:t>Smluvní strany prohlašují, že skutečnosti uvedené v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této  objednávce nepovažují za obchodní tajemství ve smyslu </w:t>
      </w:r>
      <w:r>
        <w:rPr>
          <w:rFonts w:ascii="Arial" w:hAnsi="Arial"/>
          <w:w w:val="105"/>
          <w:sz w:val="22"/>
        </w:rPr>
        <w:t>§ </w:t>
      </w:r>
      <w:r>
        <w:rPr>
          <w:w w:val="105"/>
          <w:sz w:val="22"/>
        </w:rPr>
        <w:t>504 </w:t>
      </w:r>
      <w:r>
        <w:rPr>
          <w:w w:val="105"/>
          <w:sz w:val="23"/>
        </w:rPr>
        <w:t>občanského zákoníku a udělují svolení k jejich užití a zveřejnění bez stanovení jakýchkoliv dalších podmínek.</w:t>
      </w:r>
    </w:p>
    <w:p>
      <w:pPr>
        <w:pStyle w:val="ListParagraph"/>
        <w:numPr>
          <w:ilvl w:val="1"/>
          <w:numId w:val="1"/>
        </w:numPr>
        <w:tabs>
          <w:tab w:pos="655" w:val="left" w:leader="none"/>
          <w:tab w:pos="656" w:val="left" w:leader="none"/>
        </w:tabs>
        <w:spacing w:line="314" w:lineRule="auto" w:before="227" w:after="0"/>
        <w:ind w:left="662" w:right="335" w:hanging="359"/>
        <w:jc w:val="left"/>
        <w:rPr>
          <w:sz w:val="23"/>
        </w:rPr>
      </w:pPr>
      <w:r>
        <w:rPr>
          <w:w w:val="105"/>
          <w:sz w:val="23"/>
        </w:rPr>
        <w:t>Smluvní strany této objednávky výslovně sjednávají, že uveřejnění této · objednávky v registru smluv dle zákona č. </w:t>
      </w:r>
      <w:r>
        <w:rPr>
          <w:w w:val="105"/>
          <w:sz w:val="22"/>
        </w:rPr>
        <w:t>340/2015 </w:t>
      </w:r>
      <w:r>
        <w:rPr>
          <w:w w:val="105"/>
          <w:sz w:val="23"/>
        </w:rPr>
        <w:t>Sb., o zvláštních podmínkách účínnosti některých smluv, uveřejňování těchto smluv a o registru smluv (zákon o registru smluv) zajistí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Zadavatel.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67" w:val="left" w:leader="none"/>
        </w:tabs>
        <w:spacing w:line="314" w:lineRule="auto" w:before="0" w:after="0"/>
        <w:ind w:left="671" w:right="463" w:hanging="360"/>
        <w:jc w:val="both"/>
        <w:rPr>
          <w:sz w:val="23"/>
        </w:rPr>
      </w:pPr>
      <w:r>
        <w:rPr>
          <w:w w:val="105"/>
          <w:sz w:val="23"/>
        </w:rPr>
        <w:t>Dodavatel bere na vědomí, že Objednatel je povinen na dotaz třetí osoby poskytovat informace v souladu se zákonem č. </w:t>
      </w:r>
      <w:r>
        <w:rPr>
          <w:w w:val="105"/>
          <w:sz w:val="22"/>
        </w:rPr>
        <w:t>106/1999 </w:t>
      </w:r>
      <w:r>
        <w:rPr>
          <w:w w:val="105"/>
          <w:sz w:val="23"/>
        </w:rPr>
        <w:t>Sb., o svobodném přístupu k informacím, ve znění pozdějších předpisů, a souhlasí s tím, aby veškeré informace obsažené v této objednávce byly v souladu s citovaným zákonem poskytnuty třetím osobám, pokud o ně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požádají.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74" w:val="left" w:leader="none"/>
        </w:tabs>
        <w:spacing w:line="314" w:lineRule="auto" w:before="0" w:after="0"/>
        <w:ind w:left="675" w:right="465" w:hanging="364"/>
        <w:jc w:val="both"/>
        <w:rPr>
          <w:sz w:val="23"/>
        </w:rPr>
      </w:pPr>
      <w:r>
        <w:rPr>
          <w:w w:val="105"/>
          <w:sz w:val="23"/>
        </w:rPr>
        <w:t>Dodavatel je podle </w:t>
      </w:r>
      <w:r>
        <w:rPr>
          <w:rFonts w:ascii="Arial" w:hAnsi="Arial"/>
          <w:w w:val="105"/>
          <w:sz w:val="20"/>
        </w:rPr>
        <w:t>§ </w:t>
      </w:r>
      <w:r>
        <w:rPr>
          <w:w w:val="105"/>
          <w:sz w:val="22"/>
        </w:rPr>
        <w:t>2 </w:t>
      </w:r>
      <w:r>
        <w:rPr>
          <w:w w:val="105"/>
          <w:sz w:val="23"/>
        </w:rPr>
        <w:t>písm. e) zákona č. </w:t>
      </w:r>
      <w:r>
        <w:rPr>
          <w:w w:val="105"/>
          <w:sz w:val="22"/>
        </w:rPr>
        <w:t>320/2001 </w:t>
      </w:r>
      <w:r>
        <w:rPr>
          <w:w w:val="105"/>
          <w:sz w:val="23"/>
        </w:rPr>
        <w:t>Sb., o finanční kontrole ve veřejné správě a o změně některých zákonů (zákon o finanční kontrole), ve znění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pozdějších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předpisů,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osobou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povínnou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spolupůsobit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při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výkonu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finanční</w:t>
      </w:r>
    </w:p>
    <w:p>
      <w:pPr>
        <w:spacing w:after="0" w:line="314" w:lineRule="auto"/>
        <w:jc w:val="both"/>
        <w:rPr>
          <w:sz w:val="23"/>
        </w:rPr>
        <w:sectPr>
          <w:pgSz w:w="11910" w:h="16850"/>
          <w:pgMar w:header="0" w:footer="1325" w:top="1440" w:bottom="1540" w:left="1560" w:right="1440"/>
        </w:sectPr>
      </w:pPr>
    </w:p>
    <w:p>
      <w:pPr>
        <w:pStyle w:val="BodyText"/>
        <w:spacing w:line="314" w:lineRule="auto" w:before="74"/>
        <w:ind w:left="617" w:right="492" w:hanging="1"/>
        <w:jc w:val="both"/>
      </w:pPr>
      <w:r>
        <w:rPr>
          <w:color w:val="232323"/>
          <w:w w:val="105"/>
        </w:rPr>
        <w:t>kontroly prováděné v </w:t>
      </w:r>
      <w:r>
        <w:rPr>
          <w:color w:val="343434"/>
          <w:w w:val="105"/>
        </w:rPr>
        <w:t>souvislosti s </w:t>
      </w:r>
      <w:r>
        <w:rPr>
          <w:color w:val="232323"/>
          <w:w w:val="105"/>
        </w:rPr>
        <w:t>úhradou </w:t>
      </w:r>
      <w:r>
        <w:rPr>
          <w:color w:val="343434"/>
          <w:w w:val="105"/>
        </w:rPr>
        <w:t>zboží </w:t>
      </w:r>
      <w:r>
        <w:rPr>
          <w:color w:val="232323"/>
          <w:w w:val="105"/>
        </w:rPr>
        <w:t>nebo </w:t>
      </w:r>
      <w:r>
        <w:rPr>
          <w:color w:val="343434"/>
          <w:w w:val="105"/>
        </w:rPr>
        <w:t>služeb </w:t>
      </w:r>
      <w:r>
        <w:rPr>
          <w:color w:val="464646"/>
          <w:w w:val="105"/>
        </w:rPr>
        <w:t>z </w:t>
      </w:r>
      <w:r>
        <w:rPr>
          <w:color w:val="343434"/>
          <w:w w:val="105"/>
        </w:rPr>
        <w:t>veřejných </w:t>
      </w:r>
      <w:r>
        <w:rPr>
          <w:color w:val="232323"/>
          <w:w w:val="105"/>
        </w:rPr>
        <w:t>výdajů včetně prostředků  poskytnutých  </w:t>
      </w:r>
      <w:r>
        <w:rPr>
          <w:color w:val="343434"/>
          <w:w w:val="105"/>
        </w:rPr>
        <w:t>z  Evropské </w:t>
      </w:r>
      <w:r>
        <w:rPr>
          <w:color w:val="232323"/>
          <w:w w:val="105"/>
        </w:rPr>
        <w:t>unie. Toto </w:t>
      </w:r>
      <w:r>
        <w:rPr>
          <w:color w:val="343434"/>
          <w:w w:val="105"/>
        </w:rPr>
        <w:t>spolupůsobení </w:t>
      </w:r>
      <w:r>
        <w:rPr>
          <w:color w:val="232323"/>
          <w:w w:val="105"/>
        </w:rPr>
        <w:t>je povinen </w:t>
      </w:r>
      <w:r>
        <w:rPr>
          <w:color w:val="343434"/>
          <w:w w:val="105"/>
        </w:rPr>
        <w:t>zajistit </w:t>
      </w:r>
      <w:r>
        <w:rPr>
          <w:color w:val="232323"/>
          <w:w w:val="105"/>
        </w:rPr>
        <w:t>i u </w:t>
      </w:r>
      <w:r>
        <w:rPr>
          <w:color w:val="343434"/>
          <w:w w:val="105"/>
        </w:rPr>
        <w:t>svých </w:t>
      </w:r>
      <w:r>
        <w:rPr>
          <w:color w:val="232323"/>
          <w:w w:val="105"/>
        </w:rPr>
        <w:t>případných</w:t>
      </w:r>
      <w:r>
        <w:rPr>
          <w:color w:val="232323"/>
          <w:spacing w:val="-16"/>
          <w:w w:val="105"/>
        </w:rPr>
        <w:t> </w:t>
      </w:r>
      <w:r>
        <w:rPr>
          <w:color w:val="343434"/>
          <w:w w:val="105"/>
        </w:rPr>
        <w:t>subdodavatelů.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16" w:val="left" w:leader="none"/>
        </w:tabs>
        <w:spacing w:line="312" w:lineRule="auto" w:before="0" w:after="0"/>
        <w:ind w:left="626" w:right="475" w:hanging="366"/>
        <w:jc w:val="both"/>
        <w:rPr>
          <w:color w:val="232323"/>
          <w:sz w:val="23"/>
        </w:rPr>
      </w:pPr>
      <w:r>
        <w:rPr>
          <w:color w:val="232323"/>
          <w:w w:val="110"/>
          <w:sz w:val="23"/>
        </w:rPr>
        <w:t>Dodavatel není oprávněn postoupit </w:t>
      </w:r>
      <w:r>
        <w:rPr>
          <w:color w:val="343434"/>
          <w:w w:val="110"/>
          <w:sz w:val="23"/>
        </w:rPr>
        <w:t>jakékoliv své </w:t>
      </w:r>
      <w:r>
        <w:rPr>
          <w:color w:val="232323"/>
          <w:w w:val="110"/>
          <w:sz w:val="23"/>
        </w:rPr>
        <w:t>pohledávky </w:t>
      </w:r>
      <w:r>
        <w:rPr>
          <w:color w:val="343434"/>
          <w:w w:val="110"/>
          <w:sz w:val="23"/>
        </w:rPr>
        <w:t>z této</w:t>
      </w:r>
      <w:r>
        <w:rPr>
          <w:color w:val="232323"/>
          <w:w w:val="110"/>
          <w:sz w:val="23"/>
        </w:rPr>
        <w:t> objednávky</w:t>
      </w:r>
      <w:r>
        <w:rPr>
          <w:color w:val="232323"/>
          <w:spacing w:val="-20"/>
          <w:w w:val="110"/>
          <w:sz w:val="23"/>
        </w:rPr>
        <w:t> </w:t>
      </w:r>
      <w:r>
        <w:rPr>
          <w:color w:val="232323"/>
          <w:w w:val="110"/>
          <w:sz w:val="23"/>
        </w:rPr>
        <w:t>na</w:t>
      </w:r>
      <w:r>
        <w:rPr>
          <w:color w:val="232323"/>
          <w:spacing w:val="-10"/>
          <w:w w:val="110"/>
          <w:sz w:val="23"/>
        </w:rPr>
        <w:t> </w:t>
      </w:r>
      <w:r>
        <w:rPr>
          <w:color w:val="232323"/>
          <w:w w:val="110"/>
          <w:sz w:val="23"/>
        </w:rPr>
        <w:t>třetí</w:t>
      </w:r>
      <w:r>
        <w:rPr>
          <w:color w:val="232323"/>
          <w:spacing w:val="-29"/>
          <w:w w:val="110"/>
          <w:sz w:val="23"/>
        </w:rPr>
        <w:t> </w:t>
      </w:r>
      <w:r>
        <w:rPr>
          <w:color w:val="232323"/>
          <w:w w:val="110"/>
          <w:sz w:val="23"/>
        </w:rPr>
        <w:t>osobu</w:t>
      </w:r>
      <w:r>
        <w:rPr>
          <w:color w:val="232323"/>
          <w:spacing w:val="-21"/>
          <w:w w:val="110"/>
          <w:sz w:val="23"/>
        </w:rPr>
        <w:t> </w:t>
      </w:r>
      <w:r>
        <w:rPr>
          <w:color w:val="232323"/>
          <w:spacing w:val="-4"/>
          <w:w w:val="110"/>
          <w:sz w:val="23"/>
        </w:rPr>
        <w:t>be</w:t>
      </w:r>
      <w:r>
        <w:rPr>
          <w:color w:val="464646"/>
          <w:spacing w:val="-4"/>
          <w:w w:val="110"/>
          <w:sz w:val="23"/>
        </w:rPr>
        <w:t>z</w:t>
      </w:r>
      <w:r>
        <w:rPr>
          <w:color w:val="464646"/>
          <w:spacing w:val="-22"/>
          <w:w w:val="110"/>
          <w:sz w:val="23"/>
        </w:rPr>
        <w:t> </w:t>
      </w:r>
      <w:r>
        <w:rPr>
          <w:color w:val="232323"/>
          <w:w w:val="110"/>
          <w:sz w:val="23"/>
        </w:rPr>
        <w:t>předchozího</w:t>
      </w:r>
      <w:r>
        <w:rPr>
          <w:color w:val="232323"/>
          <w:spacing w:val="-23"/>
          <w:w w:val="110"/>
          <w:sz w:val="23"/>
        </w:rPr>
        <w:t> </w:t>
      </w:r>
      <w:r>
        <w:rPr>
          <w:color w:val="232323"/>
          <w:w w:val="110"/>
          <w:sz w:val="23"/>
        </w:rPr>
        <w:t>písemného</w:t>
      </w:r>
      <w:r>
        <w:rPr>
          <w:color w:val="232323"/>
          <w:spacing w:val="-20"/>
          <w:w w:val="110"/>
          <w:sz w:val="23"/>
        </w:rPr>
        <w:t> </w:t>
      </w:r>
      <w:r>
        <w:rPr>
          <w:color w:val="343434"/>
          <w:w w:val="110"/>
          <w:sz w:val="23"/>
        </w:rPr>
        <w:t>souhlasu</w:t>
      </w:r>
      <w:r>
        <w:rPr>
          <w:color w:val="343434"/>
          <w:spacing w:val="-22"/>
          <w:w w:val="110"/>
          <w:sz w:val="23"/>
        </w:rPr>
        <w:t> </w:t>
      </w:r>
      <w:r>
        <w:rPr>
          <w:color w:val="232323"/>
          <w:w w:val="110"/>
          <w:sz w:val="23"/>
        </w:rPr>
        <w:t>Objednatele,</w:t>
      </w:r>
      <w:r>
        <w:rPr>
          <w:color w:val="232323"/>
          <w:spacing w:val="-16"/>
          <w:w w:val="110"/>
          <w:sz w:val="23"/>
        </w:rPr>
        <w:t> </w:t>
      </w:r>
      <w:r>
        <w:rPr>
          <w:color w:val="232323"/>
          <w:w w:val="110"/>
          <w:sz w:val="23"/>
        </w:rPr>
        <w:t>a to </w:t>
      </w:r>
      <w:r>
        <w:rPr>
          <w:color w:val="343434"/>
          <w:w w:val="110"/>
          <w:sz w:val="23"/>
        </w:rPr>
        <w:t>ani</w:t>
      </w:r>
      <w:r>
        <w:rPr>
          <w:color w:val="343434"/>
          <w:spacing w:val="-38"/>
          <w:w w:val="110"/>
          <w:sz w:val="23"/>
        </w:rPr>
        <w:t> </w:t>
      </w:r>
      <w:r>
        <w:rPr>
          <w:color w:val="343434"/>
          <w:w w:val="110"/>
          <w:sz w:val="23"/>
        </w:rPr>
        <w:t>částečně.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631" w:val="left" w:leader="none"/>
        </w:tabs>
        <w:spacing w:line="307" w:lineRule="auto" w:before="0" w:after="0"/>
        <w:ind w:left="622" w:right="489" w:hanging="355"/>
        <w:jc w:val="both"/>
        <w:rPr>
          <w:color w:val="232323"/>
          <w:sz w:val="23"/>
        </w:rPr>
      </w:pPr>
      <w:r>
        <w:rPr>
          <w:color w:val="343434"/>
          <w:w w:val="110"/>
          <w:sz w:val="23"/>
        </w:rPr>
        <w:t>Pro </w:t>
      </w:r>
      <w:r>
        <w:rPr>
          <w:color w:val="232323"/>
          <w:w w:val="110"/>
          <w:sz w:val="23"/>
        </w:rPr>
        <w:t>případné </w:t>
      </w:r>
      <w:r>
        <w:rPr>
          <w:color w:val="343434"/>
          <w:w w:val="110"/>
          <w:sz w:val="23"/>
        </w:rPr>
        <w:t>spory </w:t>
      </w:r>
      <w:r>
        <w:rPr>
          <w:color w:val="232323"/>
          <w:w w:val="110"/>
          <w:sz w:val="23"/>
        </w:rPr>
        <w:t>smluvní </w:t>
      </w:r>
      <w:r>
        <w:rPr>
          <w:color w:val="343434"/>
          <w:w w:val="110"/>
          <w:sz w:val="23"/>
        </w:rPr>
        <w:t>strany sjednávají </w:t>
      </w:r>
      <w:r>
        <w:rPr>
          <w:color w:val="232323"/>
          <w:w w:val="110"/>
          <w:sz w:val="23"/>
        </w:rPr>
        <w:t>místní příslušnost obecného</w:t>
      </w:r>
      <w:r>
        <w:rPr>
          <w:color w:val="343434"/>
          <w:w w:val="110"/>
          <w:sz w:val="23"/>
        </w:rPr>
        <w:t> soudu</w:t>
      </w:r>
      <w:r>
        <w:rPr>
          <w:color w:val="343434"/>
          <w:spacing w:val="-15"/>
          <w:w w:val="110"/>
          <w:sz w:val="23"/>
        </w:rPr>
        <w:t> </w:t>
      </w:r>
      <w:r>
        <w:rPr>
          <w:color w:val="232323"/>
          <w:w w:val="110"/>
          <w:sz w:val="23"/>
        </w:rPr>
        <w:t>Objednatele.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14" w:lineRule="auto" w:before="0" w:after="0"/>
        <w:ind w:left="626" w:right="467" w:hanging="359"/>
        <w:jc w:val="both"/>
        <w:rPr>
          <w:color w:val="232323"/>
          <w:sz w:val="23"/>
        </w:rPr>
      </w:pPr>
      <w:r>
        <w:rPr>
          <w:color w:val="232323"/>
          <w:w w:val="105"/>
          <w:sz w:val="23"/>
        </w:rPr>
        <w:t>Tato objednávka je </w:t>
      </w:r>
      <w:r>
        <w:rPr>
          <w:color w:val="343434"/>
          <w:w w:val="105"/>
          <w:sz w:val="23"/>
        </w:rPr>
        <w:t>vyhotovena ve </w:t>
      </w:r>
      <w:r>
        <w:rPr>
          <w:color w:val="232323"/>
          <w:w w:val="105"/>
          <w:sz w:val="23"/>
        </w:rPr>
        <w:t>dvou </w:t>
      </w:r>
      <w:r>
        <w:rPr>
          <w:color w:val="343434"/>
          <w:w w:val="105"/>
          <w:sz w:val="23"/>
        </w:rPr>
        <w:t>stejnopisech, z </w:t>
      </w:r>
      <w:r>
        <w:rPr>
          <w:color w:val="232323"/>
          <w:w w:val="105"/>
          <w:sz w:val="23"/>
        </w:rPr>
        <w:t>nichž jeden obdrží Objednatel a jeden</w:t>
      </w:r>
      <w:r>
        <w:rPr>
          <w:color w:val="232323"/>
          <w:spacing w:val="-21"/>
          <w:w w:val="105"/>
          <w:sz w:val="23"/>
        </w:rPr>
        <w:t> </w:t>
      </w:r>
      <w:r>
        <w:rPr>
          <w:color w:val="232323"/>
          <w:w w:val="105"/>
          <w:sz w:val="23"/>
        </w:rPr>
        <w:t>Dodavatel.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312" w:lineRule="auto" w:before="0" w:after="0"/>
        <w:ind w:left="635" w:right="477" w:hanging="361"/>
        <w:jc w:val="both"/>
        <w:rPr>
          <w:color w:val="232323"/>
          <w:sz w:val="23"/>
        </w:rPr>
      </w:pPr>
      <w:r>
        <w:rPr/>
        <w:pict>
          <v:shape style="position:absolute;margin-left:483.71701pt;margin-top:42.025078pt;width:33.950pt;height:77.7pt;mso-position-horizontal-relative:page;mso-position-vertical-relative:paragraph;z-index:-6208" type="#_x0000_t202" filled="false" stroked="false">
            <v:textbox inset="0,0,0,0">
              <w:txbxContent>
                <w:p>
                  <w:pPr>
                    <w:spacing w:line="1553" w:lineRule="exact" w:before="0"/>
                    <w:ind w:left="0" w:right="0" w:firstLine="0"/>
                    <w:jc w:val="left"/>
                    <w:rPr>
                      <w:i/>
                      <w:sz w:val="140"/>
                    </w:rPr>
                  </w:pPr>
                  <w:r>
                    <w:rPr>
                      <w:i/>
                      <w:color w:val="3B4190"/>
                      <w:w w:val="55"/>
                      <w:sz w:val="140"/>
                    </w:rPr>
                    <w:t>!?</w:t>
                  </w:r>
                </w:p>
              </w:txbxContent>
            </v:textbox>
            <w10:wrap type="none"/>
          </v:shape>
        </w:pict>
      </w:r>
      <w:r>
        <w:rPr>
          <w:color w:val="232323"/>
          <w:w w:val="110"/>
          <w:sz w:val="23"/>
        </w:rPr>
        <w:t>Tato </w:t>
      </w:r>
      <w:r>
        <w:rPr>
          <w:color w:val="343434"/>
          <w:w w:val="110"/>
          <w:sz w:val="23"/>
        </w:rPr>
        <w:t>objednávka </w:t>
      </w:r>
      <w:r>
        <w:rPr>
          <w:color w:val="232323"/>
          <w:w w:val="110"/>
          <w:sz w:val="23"/>
        </w:rPr>
        <w:t>může být měněna nebo </w:t>
      </w:r>
      <w:r>
        <w:rPr>
          <w:color w:val="464646"/>
          <w:spacing w:val="2"/>
          <w:w w:val="110"/>
          <w:sz w:val="23"/>
        </w:rPr>
        <w:t>z</w:t>
      </w:r>
      <w:r>
        <w:rPr>
          <w:color w:val="232323"/>
          <w:spacing w:val="2"/>
          <w:w w:val="110"/>
          <w:sz w:val="23"/>
        </w:rPr>
        <w:t>rušena </w:t>
      </w:r>
      <w:r>
        <w:rPr>
          <w:color w:val="232323"/>
          <w:w w:val="110"/>
          <w:sz w:val="23"/>
        </w:rPr>
        <w:t>pouze písemně, a to </w:t>
      </w:r>
      <w:r>
        <w:rPr>
          <w:color w:val="343434"/>
          <w:w w:val="110"/>
          <w:sz w:val="23"/>
        </w:rPr>
        <w:t>v</w:t>
      </w:r>
      <w:r>
        <w:rPr>
          <w:color w:val="232323"/>
          <w:w w:val="110"/>
          <w:sz w:val="23"/>
        </w:rPr>
        <w:t> případě </w:t>
      </w:r>
      <w:r>
        <w:rPr>
          <w:color w:val="343434"/>
          <w:w w:val="110"/>
          <w:sz w:val="23"/>
        </w:rPr>
        <w:t>změn </w:t>
      </w:r>
      <w:r>
        <w:rPr>
          <w:color w:val="232323"/>
          <w:w w:val="110"/>
          <w:sz w:val="23"/>
        </w:rPr>
        <w:t>objednávky </w:t>
      </w:r>
      <w:r>
        <w:rPr>
          <w:color w:val="343434"/>
          <w:w w:val="110"/>
          <w:sz w:val="23"/>
        </w:rPr>
        <w:t>číslovanými </w:t>
      </w:r>
      <w:r>
        <w:rPr>
          <w:color w:val="232323"/>
          <w:w w:val="110"/>
          <w:sz w:val="23"/>
        </w:rPr>
        <w:t>dodatky, které musí být podepsány oběma Smluvními</w:t>
      </w:r>
      <w:r>
        <w:rPr>
          <w:color w:val="232323"/>
          <w:spacing w:val="-40"/>
          <w:w w:val="110"/>
          <w:sz w:val="23"/>
        </w:rPr>
        <w:t> </w:t>
      </w:r>
      <w:r>
        <w:rPr>
          <w:color w:val="343434"/>
          <w:w w:val="110"/>
          <w:sz w:val="23"/>
        </w:rPr>
        <w:t>stranami.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pgSz w:w="11910" w:h="16850"/>
          <w:pgMar w:header="0" w:footer="1325" w:top="1420" w:bottom="1560" w:left="1560" w:right="1440"/>
        </w:sectPr>
      </w:pPr>
    </w:p>
    <w:p>
      <w:pPr>
        <w:pStyle w:val="BodyText"/>
        <w:spacing w:before="91"/>
        <w:ind w:left="133"/>
      </w:pPr>
      <w:r>
        <w:rPr>
          <w:color w:val="232323"/>
          <w:w w:val="105"/>
        </w:rPr>
        <w:t>V</w:t>
      </w:r>
      <w:r>
        <w:rPr>
          <w:color w:val="232323"/>
          <w:spacing w:val="-29"/>
          <w:w w:val="105"/>
        </w:rPr>
        <w:t> </w:t>
      </w:r>
      <w:r>
        <w:rPr>
          <w:color w:val="232323"/>
          <w:w w:val="105"/>
        </w:rPr>
        <w:t>Praze</w:t>
      </w:r>
      <w:r>
        <w:rPr>
          <w:color w:val="232323"/>
          <w:spacing w:val="-20"/>
          <w:w w:val="105"/>
        </w:rPr>
        <w:t> </w:t>
      </w:r>
      <w:r>
        <w:rPr>
          <w:color w:val="232323"/>
          <w:w w:val="105"/>
        </w:rPr>
        <w:t>dne</w:t>
      </w:r>
      <w:r>
        <w:rPr>
          <w:color w:val="232323"/>
          <w:spacing w:val="-20"/>
          <w:w w:val="105"/>
        </w:rPr>
        <w:t> </w:t>
      </w:r>
      <w:r>
        <w:rPr>
          <w:color w:val="232323"/>
          <w:w w:val="105"/>
        </w:rPr>
        <w:t>1.3.2019</w:t>
      </w:r>
    </w:p>
    <w:p>
      <w:pPr>
        <w:spacing w:before="129"/>
        <w:ind w:left="119" w:right="2578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b/>
          <w:i/>
          <w:color w:val="4DA3DB"/>
          <w:spacing w:val="-44"/>
          <w:w w:val="101"/>
          <w:sz w:val="17"/>
        </w:rPr>
        <w:t>l</w:t>
      </w:r>
      <w:r>
        <w:rPr>
          <w:rFonts w:ascii="Arial" w:hAnsi="Arial"/>
          <w:color w:val="4DA3DB"/>
          <w:spacing w:val="-20"/>
          <w:w w:val="100"/>
          <w:position w:val="1"/>
          <w:sz w:val="19"/>
        </w:rPr>
        <w:t>-</w:t>
      </w:r>
      <w:r>
        <w:rPr>
          <w:b/>
          <w:i/>
          <w:color w:val="4DA3DB"/>
          <w:spacing w:val="-24"/>
          <w:w w:val="101"/>
          <w:sz w:val="17"/>
        </w:rPr>
        <w:t>.</w:t>
      </w:r>
      <w:r>
        <w:rPr>
          <w:rFonts w:ascii="Arial" w:hAnsi="Arial"/>
          <w:color w:val="4DA3DB"/>
          <w:spacing w:val="-104"/>
          <w:w w:val="100"/>
          <w:position w:val="1"/>
          <w:sz w:val="19"/>
        </w:rPr>
        <w:t>A</w:t>
      </w:r>
      <w:r>
        <w:rPr>
          <w:b/>
          <w:i/>
          <w:color w:val="4DA3DB"/>
          <w:w w:val="101"/>
          <w:sz w:val="17"/>
        </w:rPr>
        <w:t>.</w:t>
      </w:r>
      <w:r>
        <w:rPr>
          <w:b/>
          <w:i/>
          <w:color w:val="4DA3DB"/>
          <w:spacing w:val="18"/>
          <w:sz w:val="17"/>
        </w:rPr>
        <w:t> </w:t>
      </w:r>
      <w:r>
        <w:rPr>
          <w:rFonts w:ascii="Arial" w:hAnsi="Arial"/>
          <w:color w:val="4DA3DB"/>
          <w:spacing w:val="-26"/>
          <w:w w:val="100"/>
          <w:position w:val="1"/>
          <w:sz w:val="19"/>
        </w:rPr>
        <w:t>·</w:t>
      </w:r>
      <w:r>
        <w:rPr>
          <w:rFonts w:ascii="Arial" w:hAnsi="Arial"/>
          <w:color w:val="4DA3DB"/>
          <w:spacing w:val="-35"/>
          <w:w w:val="100"/>
          <w:position w:val="1"/>
          <w:sz w:val="19"/>
        </w:rPr>
        <w:t>'</w:t>
      </w:r>
      <w:r>
        <w:rPr>
          <w:b/>
          <w:color w:val="4DA3DB"/>
          <w:spacing w:val="-73"/>
          <w:w w:val="101"/>
          <w:sz w:val="19"/>
        </w:rPr>
        <w:t>n</w:t>
      </w:r>
      <w:r>
        <w:rPr>
          <w:rFonts w:ascii="Arial" w:hAnsi="Arial"/>
          <w:color w:val="4DA3DB"/>
          <w:w w:val="100"/>
          <w:position w:val="1"/>
          <w:sz w:val="19"/>
        </w:rPr>
        <w:t>'</w:t>
      </w:r>
      <w:r>
        <w:rPr>
          <w:rFonts w:ascii="Arial" w:hAnsi="Arial"/>
          <w:color w:val="4DA3DB"/>
          <w:spacing w:val="-1"/>
          <w:position w:val="1"/>
          <w:sz w:val="19"/>
        </w:rPr>
        <w:t> </w:t>
      </w:r>
      <w:r>
        <w:rPr>
          <w:rFonts w:ascii="Arial" w:hAnsi="Arial"/>
          <w:color w:val="4DA3DB"/>
          <w:spacing w:val="-11"/>
          <w:w w:val="100"/>
          <w:position w:val="1"/>
          <w:sz w:val="19"/>
        </w:rPr>
        <w:t>L</w:t>
      </w:r>
      <w:r>
        <w:rPr>
          <w:rFonts w:ascii="Arial" w:hAnsi="Arial"/>
          <w:color w:val="8EC1D8"/>
          <w:spacing w:val="-19"/>
          <w:w w:val="100"/>
          <w:position w:val="1"/>
          <w:sz w:val="19"/>
        </w:rPr>
        <w:t>'</w:t>
      </w:r>
      <w:r>
        <w:rPr>
          <w:color w:val="4DA3DB"/>
          <w:spacing w:val="12"/>
          <w:w w:val="101"/>
          <w:sz w:val="15"/>
        </w:rPr>
        <w:t>A</w:t>
      </w:r>
      <w:r>
        <w:rPr>
          <w:rFonts w:ascii="Arial" w:hAnsi="Arial"/>
          <w:color w:val="70B8DF"/>
          <w:spacing w:val="-36"/>
          <w:w w:val="100"/>
          <w:position w:val="1"/>
          <w:sz w:val="19"/>
        </w:rPr>
        <w:t>'</w:t>
      </w:r>
      <w:r>
        <w:rPr>
          <w:color w:val="31A8E8"/>
          <w:spacing w:val="-12"/>
          <w:w w:val="101"/>
          <w:sz w:val="15"/>
        </w:rPr>
        <w:t>,</w:t>
      </w:r>
      <w:r>
        <w:rPr>
          <w:color w:val="4DA3DB"/>
          <w:spacing w:val="-17"/>
          <w:w w:val="69"/>
          <w:sz w:val="15"/>
        </w:rPr>
        <w:t>.</w:t>
      </w:r>
      <w:r>
        <w:rPr>
          <w:rFonts w:ascii="Arial" w:hAnsi="Arial"/>
          <w:color w:val="70B8DF"/>
          <w:spacing w:val="-20"/>
          <w:w w:val="100"/>
          <w:position w:val="1"/>
          <w:sz w:val="19"/>
        </w:rPr>
        <w:t>'</w:t>
      </w:r>
      <w:r>
        <w:rPr>
          <w:color w:val="4DA3DB"/>
          <w:spacing w:val="-7"/>
          <w:w w:val="69"/>
          <w:sz w:val="15"/>
        </w:rPr>
        <w:t>.</w:t>
      </w:r>
      <w:r>
        <w:rPr>
          <w:rFonts w:ascii="Arial" w:hAnsi="Arial"/>
          <w:color w:val="70B8DF"/>
          <w:spacing w:val="-58"/>
          <w:w w:val="100"/>
          <w:position w:val="1"/>
          <w:sz w:val="19"/>
        </w:rPr>
        <w:t>)</w:t>
      </w:r>
      <w:r>
        <w:rPr>
          <w:color w:val="4DA3DB"/>
          <w:w w:val="69"/>
          <w:sz w:val="15"/>
        </w:rPr>
        <w:t>.</w:t>
      </w:r>
      <w:r>
        <w:rPr>
          <w:color w:val="4DA3DB"/>
          <w:spacing w:val="-22"/>
          <w:sz w:val="15"/>
        </w:rPr>
        <w:t> </w:t>
      </w:r>
      <w:r>
        <w:rPr>
          <w:color w:val="4F8CBD"/>
          <w:w w:val="69"/>
          <w:sz w:val="15"/>
        </w:rPr>
        <w:t>.</w:t>
      </w:r>
      <w:r>
        <w:rPr>
          <w:color w:val="4F8CBD"/>
          <w:spacing w:val="-23"/>
          <w:sz w:val="15"/>
        </w:rPr>
        <w:t> </w:t>
      </w:r>
      <w:r>
        <w:rPr>
          <w:color w:val="70B8DF"/>
          <w:spacing w:val="-1"/>
          <w:w w:val="75"/>
          <w:sz w:val="15"/>
        </w:rPr>
        <w:t>'</w:t>
      </w:r>
      <w:r>
        <w:rPr>
          <w:color w:val="70B8DF"/>
          <w:spacing w:val="-29"/>
          <w:w w:val="75"/>
          <w:sz w:val="15"/>
        </w:rPr>
        <w:t>-</w:t>
      </w:r>
      <w:r>
        <w:rPr>
          <w:color w:val="4DA3DB"/>
          <w:spacing w:val="-22"/>
          <w:w w:val="75"/>
          <w:sz w:val="15"/>
        </w:rPr>
        <w:t>:</w:t>
      </w:r>
      <w:r>
        <w:rPr>
          <w:color w:val="70B8DF"/>
          <w:spacing w:val="-30"/>
          <w:w w:val="80"/>
          <w:position w:val="1"/>
          <w:sz w:val="18"/>
        </w:rPr>
        <w:t>•</w:t>
      </w:r>
      <w:r>
        <w:rPr>
          <w:color w:val="4DA3DB"/>
          <w:spacing w:val="-17"/>
          <w:w w:val="75"/>
          <w:sz w:val="15"/>
        </w:rPr>
        <w:t>,</w:t>
      </w:r>
      <w:r>
        <w:rPr>
          <w:color w:val="31A8E8"/>
          <w:w w:val="74"/>
          <w:position w:val="1"/>
          <w:sz w:val="18"/>
        </w:rPr>
        <w:t>1</w:t>
      </w:r>
      <w:r>
        <w:rPr>
          <w:color w:val="31A8E8"/>
          <w:spacing w:val="-2"/>
          <w:position w:val="1"/>
          <w:sz w:val="18"/>
        </w:rPr>
        <w:t> </w:t>
      </w:r>
      <w:r>
        <w:rPr>
          <w:color w:val="3487D1"/>
          <w:spacing w:val="-26"/>
          <w:w w:val="74"/>
          <w:position w:val="8"/>
          <w:sz w:val="10"/>
        </w:rPr>
        <w:t>1</w:t>
      </w:r>
      <w:r>
        <w:rPr>
          <w:color w:val="4DA3DB"/>
          <w:spacing w:val="1"/>
          <w:w w:val="75"/>
          <w:sz w:val="15"/>
        </w:rPr>
        <w:t>\</w:t>
      </w:r>
      <w:r>
        <w:rPr>
          <w:color w:val="4DA3DB"/>
          <w:spacing w:val="-1"/>
          <w:w w:val="108"/>
          <w:position w:val="1"/>
          <w:sz w:val="18"/>
        </w:rPr>
        <w:t>J</w:t>
      </w:r>
      <w:r>
        <w:rPr>
          <w:color w:val="4DA3DB"/>
          <w:spacing w:val="-30"/>
          <w:w w:val="108"/>
          <w:position w:val="1"/>
          <w:sz w:val="18"/>
        </w:rPr>
        <w:t>'</w:t>
      </w:r>
      <w:r>
        <w:rPr>
          <w:rFonts w:ascii="Arial" w:hAnsi="Arial"/>
          <w:b/>
          <w:color w:val="4DA3DB"/>
          <w:spacing w:val="-1"/>
          <w:w w:val="75"/>
          <w:sz w:val="16"/>
        </w:rPr>
        <w:t>,</w:t>
      </w:r>
      <w:r>
        <w:rPr>
          <w:rFonts w:ascii="Arial" w:hAnsi="Arial"/>
          <w:b/>
          <w:color w:val="4DA3DB"/>
          <w:spacing w:val="-40"/>
          <w:w w:val="75"/>
          <w:sz w:val="16"/>
        </w:rPr>
        <w:t>V</w:t>
      </w:r>
      <w:r>
        <w:rPr>
          <w:color w:val="70B8DF"/>
          <w:spacing w:val="-12"/>
          <w:w w:val="108"/>
          <w:position w:val="1"/>
          <w:sz w:val="18"/>
        </w:rPr>
        <w:t>'</w:t>
      </w:r>
      <w:r>
        <w:rPr>
          <w:color w:val="70B8DF"/>
          <w:spacing w:val="-35"/>
          <w:w w:val="66"/>
          <w:position w:val="1"/>
          <w:sz w:val="18"/>
        </w:rPr>
        <w:t>ť</w:t>
      </w:r>
      <w:r>
        <w:rPr>
          <w:rFonts w:ascii="Arial" w:hAnsi="Arial"/>
          <w:b/>
          <w:color w:val="4DA3DB"/>
          <w:spacing w:val="-32"/>
          <w:w w:val="75"/>
          <w:sz w:val="16"/>
        </w:rPr>
        <w:t>,</w:t>
      </w:r>
      <w:r>
        <w:rPr>
          <w:color w:val="8EC1D8"/>
          <w:spacing w:val="-13"/>
          <w:w w:val="66"/>
          <w:position w:val="1"/>
          <w:sz w:val="18"/>
        </w:rPr>
        <w:t>·</w:t>
      </w:r>
      <w:r>
        <w:rPr>
          <w:rFonts w:ascii="Arial" w:hAnsi="Arial"/>
          <w:b/>
          <w:color w:val="4DA3DB"/>
          <w:spacing w:val="-1"/>
          <w:w w:val="85"/>
          <w:sz w:val="16"/>
        </w:rPr>
        <w:t>.</w:t>
      </w:r>
      <w:r>
        <w:rPr>
          <w:rFonts w:ascii="Arial" w:hAnsi="Arial"/>
          <w:b/>
          <w:color w:val="4DA3DB"/>
          <w:spacing w:val="-13"/>
          <w:w w:val="85"/>
          <w:sz w:val="16"/>
        </w:rPr>
        <w:t>:</w:t>
      </w:r>
      <w:r>
        <w:rPr>
          <w:color w:val="679EC3"/>
          <w:spacing w:val="-35"/>
          <w:w w:val="104"/>
          <w:position w:val="1"/>
          <w:sz w:val="18"/>
        </w:rPr>
        <w:t>,</w:t>
      </w:r>
      <w:r>
        <w:rPr>
          <w:rFonts w:ascii="Arial" w:hAnsi="Arial"/>
          <w:b/>
          <w:color w:val="4DA3DB"/>
          <w:spacing w:val="-16"/>
          <w:w w:val="85"/>
          <w:sz w:val="16"/>
        </w:rPr>
        <w:t>:</w:t>
      </w:r>
      <w:r>
        <w:rPr>
          <w:color w:val="679EC3"/>
          <w:spacing w:val="-55"/>
          <w:w w:val="74"/>
          <w:position w:val="1"/>
          <w:sz w:val="18"/>
        </w:rPr>
        <w:t>1</w:t>
      </w:r>
      <w:r>
        <w:rPr>
          <w:rFonts w:ascii="Arial" w:hAnsi="Arial"/>
          <w:b/>
          <w:color w:val="708EA3"/>
          <w:spacing w:val="-35"/>
          <w:w w:val="85"/>
          <w:sz w:val="16"/>
        </w:rPr>
        <w:t>,</w:t>
      </w:r>
      <w:r>
        <w:rPr>
          <w:color w:val="6E6259"/>
          <w:spacing w:val="12"/>
          <w:w w:val="104"/>
          <w:position w:val="1"/>
          <w:sz w:val="18"/>
        </w:rPr>
        <w:t>.</w:t>
      </w:r>
      <w:r>
        <w:rPr>
          <w:rFonts w:ascii="Arial" w:hAnsi="Arial"/>
          <w:b/>
          <w:color w:val="1DB8EF"/>
          <w:spacing w:val="-13"/>
          <w:w w:val="100"/>
          <w:sz w:val="16"/>
        </w:rPr>
        <w:t>.</w:t>
      </w:r>
      <w:r>
        <w:rPr>
          <w:rFonts w:ascii="Arial" w:hAnsi="Arial"/>
          <w:b/>
          <w:color w:val="70B8DF"/>
          <w:w w:val="48"/>
          <w:sz w:val="16"/>
        </w:rPr>
        <w:t>:.:</w:t>
      </w:r>
      <w:r>
        <w:rPr>
          <w:rFonts w:ascii="Arial" w:hAnsi="Arial"/>
          <w:b/>
          <w:color w:val="70B8DF"/>
          <w:spacing w:val="-22"/>
          <w:w w:val="48"/>
          <w:sz w:val="16"/>
        </w:rPr>
        <w:t>:</w:t>
      </w:r>
      <w:r>
        <w:rPr>
          <w:rFonts w:ascii="Arial" w:hAnsi="Arial"/>
          <w:b/>
          <w:color w:val="31A8E8"/>
          <w:spacing w:val="-5"/>
          <w:w w:val="59"/>
          <w:sz w:val="16"/>
        </w:rPr>
        <w:t>,</w:t>
      </w:r>
      <w:r>
        <w:rPr>
          <w:rFonts w:ascii="Arial" w:hAnsi="Arial"/>
          <w:b/>
          <w:color w:val="70B8DF"/>
          <w:spacing w:val="4"/>
          <w:w w:val="48"/>
          <w:sz w:val="16"/>
        </w:rPr>
        <w:t>:</w:t>
      </w:r>
      <w:r>
        <w:rPr>
          <w:rFonts w:ascii="Arial" w:hAnsi="Arial"/>
          <w:color w:val="70B8DF"/>
          <w:spacing w:val="-70"/>
          <w:w w:val="104"/>
          <w:position w:val="1"/>
          <w:sz w:val="19"/>
        </w:rPr>
        <w:t>"</w:t>
      </w:r>
      <w:r>
        <w:rPr>
          <w:rFonts w:ascii="Arial" w:hAnsi="Arial"/>
          <w:b/>
          <w:color w:val="4DA3DB"/>
          <w:spacing w:val="-1"/>
          <w:w w:val="48"/>
          <w:sz w:val="16"/>
        </w:rPr>
        <w:t>\</w:t>
      </w:r>
      <w:r>
        <w:rPr>
          <w:rFonts w:ascii="Arial" w:hAnsi="Arial"/>
          <w:b/>
          <w:color w:val="4DA3DB"/>
          <w:w w:val="48"/>
          <w:sz w:val="16"/>
        </w:rPr>
        <w:t>.</w:t>
      </w:r>
      <w:r>
        <w:rPr>
          <w:rFonts w:ascii="Arial" w:hAnsi="Arial"/>
          <w:b/>
          <w:color w:val="4DA3DB"/>
          <w:sz w:val="16"/>
        </w:rPr>
        <w:t> </w:t>
      </w:r>
      <w:r>
        <w:rPr>
          <w:rFonts w:ascii="Arial" w:hAnsi="Arial"/>
          <w:b/>
          <w:color w:val="4DA3DB"/>
          <w:spacing w:val="-4"/>
          <w:sz w:val="16"/>
        </w:rPr>
        <w:t> </w:t>
      </w:r>
      <w:r>
        <w:rPr>
          <w:rFonts w:ascii="Arial" w:hAnsi="Arial"/>
          <w:color w:val="4DA3DB"/>
          <w:spacing w:val="-41"/>
          <w:w w:val="85"/>
          <w:position w:val="1"/>
          <w:sz w:val="19"/>
        </w:rPr>
        <w:t>f</w:t>
      </w:r>
      <w:r>
        <w:rPr>
          <w:rFonts w:ascii="Arial" w:hAnsi="Arial"/>
          <w:color w:val="70B8DF"/>
          <w:w w:val="85"/>
          <w:position w:val="1"/>
          <w:sz w:val="19"/>
        </w:rPr>
        <w:t>'</w:t>
      </w:r>
      <w:r>
        <w:rPr>
          <w:rFonts w:ascii="Arial" w:hAnsi="Arial"/>
          <w:color w:val="70B8DF"/>
          <w:spacing w:val="-36"/>
          <w:position w:val="1"/>
          <w:sz w:val="19"/>
        </w:rPr>
        <w:t> </w:t>
      </w:r>
      <w:r>
        <w:rPr>
          <w:rFonts w:ascii="Arial" w:hAnsi="Arial"/>
          <w:b/>
          <w:color w:val="4DA3DB"/>
          <w:spacing w:val="-1"/>
          <w:w w:val="81"/>
          <w:sz w:val="16"/>
        </w:rPr>
        <w:t>\</w:t>
      </w:r>
      <w:r>
        <w:rPr>
          <w:rFonts w:ascii="Arial" w:hAnsi="Arial"/>
          <w:b/>
          <w:color w:val="4DA3DB"/>
          <w:spacing w:val="-8"/>
          <w:w w:val="81"/>
          <w:sz w:val="16"/>
        </w:rPr>
        <w:t>.</w:t>
      </w:r>
      <w:r>
        <w:rPr>
          <w:rFonts w:ascii="Arial" w:hAnsi="Arial"/>
          <w:color w:val="4DA3DB"/>
          <w:spacing w:val="-1"/>
          <w:w w:val="100"/>
          <w:position w:val="1"/>
          <w:sz w:val="19"/>
        </w:rPr>
        <w:t>A</w:t>
      </w:r>
      <w:r>
        <w:rPr>
          <w:rFonts w:ascii="Arial" w:hAnsi="Arial"/>
          <w:color w:val="4DA3DB"/>
          <w:spacing w:val="-15"/>
          <w:w w:val="100"/>
          <w:position w:val="1"/>
          <w:sz w:val="19"/>
        </w:rPr>
        <w:t>,</w:t>
      </w:r>
      <w:r>
        <w:rPr>
          <w:rFonts w:ascii="Arial" w:hAnsi="Arial"/>
          <w:b/>
          <w:color w:val="4DA3DB"/>
          <w:spacing w:val="-43"/>
          <w:w w:val="83"/>
          <w:position w:val="1"/>
          <w:sz w:val="20"/>
        </w:rPr>
        <w:t>i</w:t>
      </w:r>
      <w:r>
        <w:rPr>
          <w:b/>
          <w:color w:val="3487D1"/>
          <w:spacing w:val="-1"/>
          <w:w w:val="91"/>
          <w:sz w:val="15"/>
        </w:rPr>
        <w:t>'</w:t>
      </w:r>
      <w:r>
        <w:rPr>
          <w:b/>
          <w:color w:val="3487D1"/>
          <w:spacing w:val="-42"/>
          <w:w w:val="91"/>
          <w:sz w:val="15"/>
        </w:rPr>
        <w:t>-</w:t>
      </w:r>
      <w:r>
        <w:rPr>
          <w:rFonts w:ascii="Arial" w:hAnsi="Arial"/>
          <w:b/>
          <w:color w:val="4DA3DB"/>
          <w:spacing w:val="-39"/>
          <w:w w:val="83"/>
          <w:position w:val="1"/>
          <w:sz w:val="20"/>
        </w:rPr>
        <w:t>'</w:t>
      </w:r>
      <w:r>
        <w:rPr>
          <w:b/>
          <w:color w:val="4DA3DB"/>
          <w:w w:val="91"/>
          <w:sz w:val="15"/>
        </w:rPr>
        <w:t>'</w:t>
      </w:r>
      <w:r>
        <w:rPr>
          <w:rFonts w:ascii="Arial" w:hAnsi="Arial"/>
          <w:b/>
          <w:color w:val="4DA3DB"/>
          <w:spacing w:val="-5"/>
          <w:w w:val="83"/>
          <w:position w:val="1"/>
          <w:sz w:val="20"/>
        </w:rPr>
        <w:t>.</w:t>
      </w:r>
      <w:r>
        <w:rPr>
          <w:b/>
          <w:color w:val="70B8DF"/>
          <w:spacing w:val="-71"/>
          <w:w w:val="96"/>
          <w:sz w:val="15"/>
        </w:rPr>
        <w:t>ť</w:t>
      </w:r>
      <w:r>
        <w:rPr>
          <w:rFonts w:ascii="Arial" w:hAnsi="Arial"/>
          <w:b/>
          <w:color w:val="4DA3DB"/>
          <w:spacing w:val="-3"/>
          <w:w w:val="83"/>
          <w:position w:val="1"/>
          <w:sz w:val="20"/>
        </w:rPr>
        <w:t>•</w:t>
      </w:r>
      <w:r>
        <w:rPr>
          <w:b/>
          <w:color w:val="4DA3DB"/>
          <w:spacing w:val="-38"/>
          <w:w w:val="96"/>
          <w:sz w:val="15"/>
        </w:rPr>
        <w:t>\</w:t>
      </w:r>
      <w:r>
        <w:rPr>
          <w:rFonts w:ascii="Arial" w:hAnsi="Arial"/>
          <w:b/>
          <w:color w:val="4DA3DB"/>
          <w:spacing w:val="-8"/>
          <w:w w:val="83"/>
          <w:position w:val="1"/>
          <w:sz w:val="20"/>
        </w:rPr>
        <w:t>v</w:t>
      </w:r>
      <w:r>
        <w:rPr>
          <w:color w:val="77D1EF"/>
          <w:spacing w:val="-29"/>
          <w:w w:val="96"/>
          <w:sz w:val="15"/>
        </w:rPr>
        <w:t>.</w:t>
      </w:r>
      <w:r>
        <w:rPr>
          <w:rFonts w:ascii="Arial" w:hAnsi="Arial"/>
          <w:b/>
          <w:color w:val="4DA3DB"/>
          <w:spacing w:val="-1"/>
          <w:w w:val="83"/>
          <w:position w:val="1"/>
          <w:sz w:val="20"/>
        </w:rPr>
        <w:t>oLA</w:t>
      </w:r>
    </w:p>
    <w:p>
      <w:pPr>
        <w:tabs>
          <w:tab w:pos="3314" w:val="left" w:leader="none"/>
        </w:tabs>
        <w:spacing w:line="184" w:lineRule="exact" w:before="9"/>
        <w:ind w:left="770" w:right="0" w:firstLine="0"/>
        <w:jc w:val="left"/>
        <w:rPr>
          <w:rFonts w:ascii="Arial"/>
          <w:sz w:val="17"/>
        </w:rPr>
      </w:pPr>
      <w:r>
        <w:rPr>
          <w:rFonts w:ascii="Arial"/>
          <w:color w:val="4DA3DB"/>
          <w:w w:val="90"/>
          <w:sz w:val="17"/>
        </w:rPr>
        <w:t>VADIMA </w:t>
      </w:r>
      <w:r>
        <w:rPr>
          <w:rFonts w:ascii="Arial"/>
          <w:color w:val="70B8DF"/>
          <w:w w:val="90"/>
          <w:sz w:val="17"/>
        </w:rPr>
        <w:t>P</w:t>
      </w:r>
      <w:r>
        <w:rPr>
          <w:rFonts w:ascii="Arial"/>
          <w:color w:val="4DA3DB"/>
          <w:w w:val="90"/>
          <w:sz w:val="17"/>
        </w:rPr>
        <w:t>EJROVA</w:t>
        <w:tab/>
      </w:r>
      <w:r>
        <w:rPr>
          <w:rFonts w:ascii="Arial"/>
          <w:color w:val="8089BD"/>
          <w:w w:val="90"/>
          <w:sz w:val="17"/>
        </w:rPr>
        <w:t>_,.</w:t>
      </w:r>
    </w:p>
    <w:p>
      <w:pPr>
        <w:spacing w:line="193" w:lineRule="exact" w:before="0"/>
        <w:ind w:left="134" w:right="2574" w:firstLine="0"/>
        <w:jc w:val="center"/>
        <w:rPr>
          <w:rFonts w:ascii="Arial" w:hAnsi="Arial"/>
          <w:sz w:val="17"/>
        </w:rPr>
      </w:pPr>
      <w:r>
        <w:rPr>
          <w:rFonts w:ascii="Arial" w:hAnsi="Arial"/>
          <w:color w:val="4DA3DB"/>
          <w:sz w:val="17"/>
        </w:rPr>
        <w:t>Dun</w:t>
      </w:r>
      <w:r>
        <w:rPr>
          <w:rFonts w:ascii="Arial" w:hAnsi="Arial"/>
          <w:color w:val="31A8E8"/>
          <w:sz w:val="17"/>
        </w:rPr>
        <w:t>i</w:t>
      </w:r>
      <w:r>
        <w:rPr>
          <w:rFonts w:ascii="Arial" w:hAnsi="Arial"/>
          <w:color w:val="4DA3DB"/>
          <w:sz w:val="17"/>
        </w:rPr>
        <w:t>c!&lt;n 3136</w:t>
      </w:r>
      <w:r>
        <w:rPr>
          <w:rFonts w:ascii="Arial" w:hAnsi="Arial"/>
          <w:color w:val="70B8DF"/>
          <w:sz w:val="17"/>
        </w:rPr>
        <w:t>/</w:t>
      </w:r>
      <w:r>
        <w:rPr>
          <w:rFonts w:ascii="Arial" w:hAnsi="Arial"/>
          <w:color w:val="4DA3DB"/>
          <w:sz w:val="17"/>
        </w:rPr>
        <w:t>1</w:t>
      </w:r>
      <w:r>
        <w:rPr>
          <w:rFonts w:ascii="Arial" w:hAnsi="Arial"/>
          <w:color w:val="679EC3"/>
          <w:sz w:val="17"/>
        </w:rPr>
        <w:t>, </w:t>
      </w:r>
      <w:r>
        <w:rPr>
          <w:color w:val="708EA3"/>
          <w:sz w:val="18"/>
        </w:rPr>
        <w:t>·</w:t>
      </w:r>
      <w:r>
        <w:rPr>
          <w:color w:val="679EC3"/>
          <w:sz w:val="18"/>
        </w:rPr>
        <w:t>1</w:t>
      </w:r>
      <w:r>
        <w:rPr>
          <w:color w:val="4DA3DB"/>
          <w:sz w:val="18"/>
        </w:rPr>
        <w:t>41 </w:t>
      </w:r>
      <w:r>
        <w:rPr>
          <w:rFonts w:ascii="Arial" w:hAnsi="Arial"/>
          <w:color w:val="4DA3DB"/>
          <w:sz w:val="17"/>
        </w:rPr>
        <w:t>00 Praha 4</w:t>
      </w:r>
    </w:p>
    <w:p>
      <w:pPr>
        <w:spacing w:line="188" w:lineRule="exact" w:before="0"/>
        <w:ind w:left="123" w:right="2578" w:firstLine="0"/>
        <w:jc w:val="center"/>
        <w:rPr>
          <w:rFonts w:ascii="Arial" w:hAnsi="Arial"/>
          <w:sz w:val="17"/>
        </w:rPr>
      </w:pPr>
      <w:r>
        <w:rPr>
          <w:rFonts w:ascii="Arial" w:hAnsi="Arial"/>
          <w:color w:val="4DA3DB"/>
          <w:sz w:val="17"/>
        </w:rPr>
        <w:t>IČ</w:t>
      </w:r>
      <w:r>
        <w:rPr>
          <w:rFonts w:ascii="Arial" w:hAnsi="Arial"/>
          <w:color w:val="4F8CBD"/>
          <w:sz w:val="17"/>
        </w:rPr>
        <w:t>: </w:t>
      </w:r>
      <w:r>
        <w:rPr>
          <w:rFonts w:ascii="Arial" w:hAnsi="Arial"/>
          <w:color w:val="4DA3DB"/>
          <w:sz w:val="17"/>
        </w:rPr>
        <w:t>45245118</w:t>
      </w:r>
    </w:p>
    <w:p>
      <w:pPr>
        <w:spacing w:line="178" w:lineRule="exact" w:before="0"/>
        <w:ind w:left="115" w:right="2578" w:firstLine="0"/>
        <w:jc w:val="center"/>
        <w:rPr>
          <w:sz w:val="16"/>
        </w:rPr>
      </w:pPr>
      <w:r>
        <w:rPr>
          <w:color w:val="679EC3"/>
          <w:sz w:val="16"/>
        </w:rPr>
        <w:t>-</w:t>
      </w:r>
      <w:r>
        <w:rPr>
          <w:color w:val="4DA3DB"/>
          <w:sz w:val="16"/>
        </w:rPr>
        <w:t>3</w:t>
      </w:r>
      <w:r>
        <w:rPr>
          <w:color w:val="679EC3"/>
          <w:sz w:val="16"/>
        </w:rPr>
        <w:t>-</w:t>
      </w:r>
    </w:p>
    <w:p>
      <w:pPr>
        <w:spacing w:after="0" w:line="178" w:lineRule="exact"/>
        <w:jc w:val="center"/>
        <w:rPr>
          <w:sz w:val="16"/>
        </w:rPr>
        <w:sectPr>
          <w:type w:val="continuous"/>
          <w:pgSz w:w="11910" w:h="16850"/>
          <w:pgMar w:top="1600" w:bottom="1400" w:left="1560" w:right="1440"/>
          <w:cols w:num="2" w:equalWidth="0">
            <w:col w:w="2188" w:space="1421"/>
            <w:col w:w="5301"/>
          </w:cols>
        </w:sectPr>
      </w:pPr>
    </w:p>
    <w:p>
      <w:pPr>
        <w:pStyle w:val="BodyText"/>
        <w:tabs>
          <w:tab w:pos="972" w:val="left" w:leader="none"/>
          <w:tab w:pos="4001" w:val="left" w:leader="none"/>
          <w:tab w:pos="5053" w:val="left" w:leader="none"/>
          <w:tab w:pos="6137" w:val="left" w:leader="none"/>
          <w:tab w:pos="7770" w:val="left" w:leader="none"/>
        </w:tabs>
        <w:spacing w:before="145"/>
        <w:ind w:left="147"/>
      </w:pPr>
      <w:r>
        <w:rPr/>
        <w:pict>
          <v:line style="position:absolute;mso-position-horizontal-relative:page;mso-position-vertical-relative:page;z-index:1336" from=".180438pt,840.597032pt" to=".180438pt,698.814697pt" stroked="true" strokeweight=".3608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360" from="595.075439pt,698.093104pt" to="595.075439pt,618.002319pt" stroked="true" strokeweight=".721741pt" strokecolor="#000000">
            <v:stroke dashstyle="solid"/>
            <w10:wrap type="none"/>
          </v:line>
        </w:pict>
      </w:r>
      <w:r>
        <w:rPr>
          <w:color w:val="232323"/>
          <w:w w:val="105"/>
          <w:position w:val="1"/>
          <w:sz w:val="22"/>
        </w:rPr>
        <w:t>Za</w:t>
        <w:tab/>
      </w:r>
      <w:r>
        <w:rPr>
          <w:color w:val="232323"/>
          <w:w w:val="105"/>
          <w:position w:val="1"/>
        </w:rPr>
        <w:t>Objednatele:</w:t>
        <w:tab/>
        <w:t>Mgr.</w:t>
        <w:tab/>
      </w:r>
      <w:r>
        <w:rPr>
          <w:color w:val="232323"/>
          <w:w w:val="105"/>
        </w:rPr>
        <w:t>Josef</w:t>
        <w:tab/>
        <w:t>Zámečník,</w:t>
        <w:tab/>
        <w:t>ředitel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141" w:right="0" w:firstLine="0"/>
        <w:jc w:val="left"/>
        <w:rPr>
          <w:rFonts w:ascii="Arial" w:hAnsi="Arial"/>
          <w:sz w:val="38"/>
        </w:rPr>
      </w:pPr>
      <w:r>
        <w:rPr>
          <w:rFonts w:ascii="Arial" w:hAnsi="Arial"/>
          <w:color w:val="343434"/>
          <w:spacing w:val="-1"/>
          <w:w w:val="78"/>
          <w:sz w:val="34"/>
        </w:rPr>
        <w:t>............................................</w:t>
      </w:r>
      <w:r>
        <w:rPr>
          <w:rFonts w:ascii="Arial" w:hAnsi="Arial"/>
          <w:color w:val="343434"/>
          <w:spacing w:val="-23"/>
          <w:w w:val="78"/>
          <w:sz w:val="34"/>
        </w:rPr>
        <w:t>.</w:t>
      </w:r>
      <w:r>
        <w:rPr>
          <w:rFonts w:ascii="Arial" w:hAnsi="Arial"/>
          <w:color w:val="232323"/>
          <w:spacing w:val="-34"/>
          <w:w w:val="78"/>
          <w:sz w:val="14"/>
        </w:rPr>
        <w:t>·</w:t>
      </w:r>
      <w:r>
        <w:rPr>
          <w:rFonts w:ascii="Arial" w:hAnsi="Arial"/>
          <w:color w:val="343434"/>
          <w:spacing w:val="-1"/>
          <w:w w:val="70"/>
          <w:sz w:val="38"/>
        </w:rPr>
        <w:t>...................</w:t>
      </w:r>
      <w:r>
        <w:rPr>
          <w:rFonts w:ascii="Arial" w:hAnsi="Arial"/>
          <w:color w:val="343434"/>
          <w:spacing w:val="-20"/>
          <w:w w:val="70"/>
          <w:sz w:val="38"/>
        </w:rPr>
        <w:t>.</w:t>
      </w:r>
      <w:r>
        <w:rPr>
          <w:rFonts w:ascii="Arial" w:hAnsi="Arial"/>
          <w:color w:val="232323"/>
          <w:w w:val="70"/>
          <w:sz w:val="38"/>
        </w:rPr>
        <w:t>.</w:t>
      </w:r>
    </w:p>
    <w:p>
      <w:pPr>
        <w:pStyle w:val="BodyText"/>
        <w:spacing w:before="10"/>
        <w:rPr>
          <w:rFonts w:ascii="Arial"/>
          <w:sz w:val="12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4743463</wp:posOffset>
            </wp:positionH>
            <wp:positionV relativeFrom="paragraph">
              <wp:posOffset>118769</wp:posOffset>
            </wp:positionV>
            <wp:extent cx="1271373" cy="278892"/>
            <wp:effectExtent l="0" t="0" r="0" b="0"/>
            <wp:wrapTopAndBottom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373" cy="278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50"/>
      <w:pgMar w:top="1600" w:bottom="1400" w:left="156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989716pt;margin-top:770.161011pt;width:8.25pt;height:14.8pt;mso-position-horizontal-relative:page;mso-position-vertical-relative:page;z-index:-65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w w:val="108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888916pt;margin-top:762.309875pt;width:13.2pt;height:16.25pt;mso-position-horizontal-relative:page;mso-position-vertical-relative:page;z-index:-6544" type="#_x0000_t202" filled="false" stroked="false">
          <v:textbox inset="0,0,0,0">
            <w:txbxContent>
              <w:p>
                <w:pPr>
                  <w:spacing w:before="29"/>
                  <w:ind w:left="69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w w:val="10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62" w:hanging="361"/>
      </w:pPr>
      <w:rPr>
        <w:rFonts w:hint="default"/>
        <w:w w:val="109"/>
      </w:rPr>
    </w:lvl>
    <w:lvl w:ilvl="1">
      <w:start w:val="0"/>
      <w:numFmt w:val="bullet"/>
      <w:lvlText w:val="•"/>
      <w:lvlJc w:val="left"/>
      <w:pPr>
        <w:ind w:left="649" w:hanging="360"/>
      </w:pPr>
      <w:rPr>
        <w:rFonts w:hint="default"/>
        <w:w w:val="102"/>
      </w:rPr>
    </w:lvl>
    <w:lvl w:ilvl="2">
      <w:start w:val="0"/>
      <w:numFmt w:val="bullet"/>
      <w:lvlText w:val="•"/>
      <w:lvlJc w:val="left"/>
      <w:pPr>
        <w:ind w:left="70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96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9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31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6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02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3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ind w:left="520" w:hanging="355"/>
      <w:outlineLvl w:val="1"/>
    </w:pPr>
    <w:rPr>
      <w:rFonts w:ascii="Times New Roman" w:hAnsi="Times New Roman" w:eastAsia="Times New Roman" w:cs="Times New Roman"/>
      <w:b/>
      <w:bCs/>
      <w:sz w:val="25"/>
      <w:szCs w:val="25"/>
      <w:u w:val="single" w:color="000000"/>
    </w:rPr>
  </w:style>
  <w:style w:styleId="Heading2" w:type="paragraph">
    <w:name w:val="Heading 2"/>
    <w:basedOn w:val="Normal"/>
    <w:uiPriority w:val="1"/>
    <w:qFormat/>
    <w:pPr>
      <w:ind w:left="552" w:hanging="504"/>
      <w:outlineLvl w:val="2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</w:rPr>
  </w:style>
  <w:style w:styleId="ListParagraph" w:type="paragraph">
    <w:name w:val="List Paragraph"/>
    <w:basedOn w:val="Normal"/>
    <w:uiPriority w:val="1"/>
    <w:qFormat/>
    <w:pPr>
      <w:ind w:left="626" w:hanging="359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2019-04-30T08:22:23Z</dcterms:created>
  <dcterms:modified xsi:type="dcterms:W3CDTF">2019-04-30T08:22:23Z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RICOH MP C3004ex</vt:lpwstr>
  </property>
  <property fmtid="{D5CDD505-2E9C-101B-9397-08002B2CF9AE}" pid="4" name="LastSaved">
    <vt:filetime>2019-04-30T00:00:00Z</vt:filetime>
  </property>
</Properties>
</file>