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5C370" w14:textId="0DFAD7EB" w:rsidR="0026648D" w:rsidRDefault="001E008A" w:rsidP="002E3D85">
      <w:pPr>
        <w:pStyle w:val="Nzev"/>
      </w:pPr>
      <w:r>
        <w:t>Kupní smlouva</w:t>
      </w:r>
      <w:r w:rsidR="00BB23CE">
        <w:t xml:space="preserve"> </w:t>
      </w:r>
    </w:p>
    <w:tbl>
      <w:tblPr>
        <w:tblpPr w:leftFromText="141" w:rightFromText="141" w:vertAnchor="text" w:horzAnchor="margin" w:tblpY="400"/>
        <w:tblW w:w="8812" w:type="dxa"/>
        <w:tblLook w:val="01E0" w:firstRow="1" w:lastRow="1" w:firstColumn="1" w:lastColumn="1" w:noHBand="0" w:noVBand="0"/>
      </w:tblPr>
      <w:tblGrid>
        <w:gridCol w:w="4253"/>
        <w:gridCol w:w="4559"/>
      </w:tblGrid>
      <w:tr w:rsidR="0026648D" w:rsidRPr="0026648D" w14:paraId="2D0994E0" w14:textId="77777777" w:rsidTr="0026648D">
        <w:trPr>
          <w:trHeight w:val="397"/>
        </w:trPr>
        <w:tc>
          <w:tcPr>
            <w:tcW w:w="4253" w:type="dxa"/>
            <w:vAlign w:val="center"/>
          </w:tcPr>
          <w:p w14:paraId="1D37831F" w14:textId="3EFBA861" w:rsidR="0026648D" w:rsidRPr="0026648D" w:rsidRDefault="001E507C" w:rsidP="0026648D">
            <w:pPr>
              <w:spacing w:after="0"/>
              <w:jc w:val="left"/>
              <w:rPr>
                <w:rStyle w:val="Siln"/>
              </w:rPr>
            </w:pPr>
            <w:r>
              <w:rPr>
                <w:rStyle w:val="Siln"/>
              </w:rPr>
              <w:t>GLICE</w:t>
            </w:r>
            <w:r w:rsidR="00452AB1" w:rsidRPr="00452AB1">
              <w:rPr>
                <w:rStyle w:val="Siln"/>
              </w:rPr>
              <w:t xml:space="preserve"> CZ, s.r.o.</w:t>
            </w:r>
          </w:p>
        </w:tc>
        <w:tc>
          <w:tcPr>
            <w:tcW w:w="4559" w:type="dxa"/>
            <w:vAlign w:val="center"/>
          </w:tcPr>
          <w:p w14:paraId="75ADF128" w14:textId="77777777" w:rsidR="0026648D" w:rsidRPr="0026648D" w:rsidRDefault="0026648D" w:rsidP="0026648D">
            <w:pPr>
              <w:spacing w:after="0"/>
              <w:jc w:val="left"/>
              <w:rPr>
                <w:szCs w:val="20"/>
              </w:rPr>
            </w:pPr>
          </w:p>
        </w:tc>
      </w:tr>
      <w:tr w:rsidR="0026648D" w:rsidRPr="0026648D" w14:paraId="292078E7" w14:textId="77777777" w:rsidTr="0026648D">
        <w:trPr>
          <w:trHeight w:val="397"/>
        </w:trPr>
        <w:tc>
          <w:tcPr>
            <w:tcW w:w="4253" w:type="dxa"/>
            <w:vAlign w:val="center"/>
          </w:tcPr>
          <w:p w14:paraId="63A12D44" w14:textId="77777777" w:rsidR="0026648D" w:rsidRPr="0026648D" w:rsidRDefault="0026648D" w:rsidP="0026648D">
            <w:pPr>
              <w:spacing w:after="0"/>
              <w:jc w:val="left"/>
              <w:rPr>
                <w:szCs w:val="20"/>
              </w:rPr>
            </w:pPr>
            <w:r w:rsidRPr="0026648D">
              <w:rPr>
                <w:szCs w:val="20"/>
              </w:rPr>
              <w:t>se sídlem:</w:t>
            </w:r>
          </w:p>
        </w:tc>
        <w:tc>
          <w:tcPr>
            <w:tcW w:w="4559" w:type="dxa"/>
            <w:vAlign w:val="center"/>
          </w:tcPr>
          <w:p w14:paraId="39526604" w14:textId="77777777" w:rsidR="0026648D" w:rsidRPr="0026648D" w:rsidRDefault="00452AB1" w:rsidP="001F628F">
            <w:pPr>
              <w:spacing w:after="0"/>
              <w:jc w:val="left"/>
              <w:rPr>
                <w:szCs w:val="20"/>
              </w:rPr>
            </w:pPr>
            <w:r>
              <w:rPr>
                <w:szCs w:val="20"/>
              </w:rPr>
              <w:t>Údolní 409/54, Brno, PSČ 602 00</w:t>
            </w:r>
          </w:p>
        </w:tc>
      </w:tr>
      <w:tr w:rsidR="0026648D" w:rsidRPr="0026648D" w14:paraId="2C40435B" w14:textId="77777777" w:rsidTr="0026648D">
        <w:trPr>
          <w:trHeight w:val="397"/>
        </w:trPr>
        <w:tc>
          <w:tcPr>
            <w:tcW w:w="4253" w:type="dxa"/>
            <w:vAlign w:val="center"/>
          </w:tcPr>
          <w:p w14:paraId="5DCAFA67" w14:textId="77777777" w:rsidR="0026648D" w:rsidRPr="0026648D" w:rsidRDefault="0026648D" w:rsidP="0026648D">
            <w:pPr>
              <w:spacing w:after="0"/>
              <w:jc w:val="left"/>
              <w:rPr>
                <w:szCs w:val="20"/>
              </w:rPr>
            </w:pPr>
            <w:r w:rsidRPr="0026648D">
              <w:rPr>
                <w:szCs w:val="20"/>
              </w:rPr>
              <w:t>IČO:</w:t>
            </w:r>
          </w:p>
        </w:tc>
        <w:tc>
          <w:tcPr>
            <w:tcW w:w="4559" w:type="dxa"/>
            <w:vAlign w:val="center"/>
          </w:tcPr>
          <w:p w14:paraId="4EF51C01" w14:textId="77777777" w:rsidR="00452AB1" w:rsidRPr="0026648D" w:rsidRDefault="00452AB1" w:rsidP="001F628F">
            <w:pPr>
              <w:spacing w:after="0"/>
              <w:jc w:val="left"/>
              <w:rPr>
                <w:szCs w:val="20"/>
              </w:rPr>
            </w:pPr>
            <w:r>
              <w:rPr>
                <w:szCs w:val="20"/>
              </w:rPr>
              <w:t>29189641</w:t>
            </w:r>
          </w:p>
        </w:tc>
      </w:tr>
      <w:tr w:rsidR="00452AB1" w:rsidRPr="0026648D" w14:paraId="2FEF8746" w14:textId="77777777" w:rsidTr="0026648D">
        <w:trPr>
          <w:trHeight w:val="397"/>
        </w:trPr>
        <w:tc>
          <w:tcPr>
            <w:tcW w:w="4253" w:type="dxa"/>
            <w:vAlign w:val="center"/>
          </w:tcPr>
          <w:p w14:paraId="3864D09A" w14:textId="77777777" w:rsidR="00452AB1" w:rsidRPr="0026648D" w:rsidRDefault="00452AB1" w:rsidP="0026648D">
            <w:pPr>
              <w:spacing w:after="0"/>
              <w:jc w:val="left"/>
              <w:rPr>
                <w:szCs w:val="20"/>
              </w:rPr>
            </w:pPr>
            <w:r>
              <w:rPr>
                <w:szCs w:val="20"/>
              </w:rPr>
              <w:t>DIČ:</w:t>
            </w:r>
          </w:p>
        </w:tc>
        <w:tc>
          <w:tcPr>
            <w:tcW w:w="4559" w:type="dxa"/>
            <w:vAlign w:val="center"/>
          </w:tcPr>
          <w:p w14:paraId="0EA375EC" w14:textId="77777777" w:rsidR="00452AB1" w:rsidRDefault="00452AB1" w:rsidP="001F628F">
            <w:pPr>
              <w:spacing w:after="0"/>
              <w:jc w:val="left"/>
              <w:rPr>
                <w:szCs w:val="20"/>
              </w:rPr>
            </w:pPr>
            <w:r>
              <w:rPr>
                <w:szCs w:val="20"/>
              </w:rPr>
              <w:t>CZ29189641</w:t>
            </w:r>
          </w:p>
        </w:tc>
      </w:tr>
      <w:tr w:rsidR="0026648D" w:rsidRPr="0026648D" w14:paraId="1911890E" w14:textId="77777777" w:rsidTr="0026648D">
        <w:trPr>
          <w:trHeight w:val="397"/>
        </w:trPr>
        <w:tc>
          <w:tcPr>
            <w:tcW w:w="4253" w:type="dxa"/>
            <w:vAlign w:val="center"/>
          </w:tcPr>
          <w:p w14:paraId="1325462C" w14:textId="77777777" w:rsidR="0026648D" w:rsidRPr="0026648D" w:rsidRDefault="0026648D" w:rsidP="0026648D">
            <w:pPr>
              <w:spacing w:after="0"/>
              <w:jc w:val="left"/>
              <w:rPr>
                <w:szCs w:val="20"/>
              </w:rPr>
            </w:pPr>
            <w:r w:rsidRPr="0026648D">
              <w:rPr>
                <w:szCs w:val="20"/>
              </w:rPr>
              <w:t>zastoupen:</w:t>
            </w:r>
          </w:p>
        </w:tc>
        <w:tc>
          <w:tcPr>
            <w:tcW w:w="4559" w:type="dxa"/>
            <w:vAlign w:val="center"/>
          </w:tcPr>
          <w:p w14:paraId="1801D33D" w14:textId="7D4EBE95" w:rsidR="0026648D" w:rsidRPr="0026648D" w:rsidRDefault="00452AB1" w:rsidP="00542A61">
            <w:pPr>
              <w:spacing w:after="0"/>
              <w:jc w:val="left"/>
              <w:rPr>
                <w:szCs w:val="20"/>
              </w:rPr>
            </w:pPr>
            <w:r>
              <w:rPr>
                <w:szCs w:val="20"/>
              </w:rPr>
              <w:t xml:space="preserve">Mgr. Tomášem Palečkem, jednatelem </w:t>
            </w:r>
          </w:p>
        </w:tc>
      </w:tr>
      <w:tr w:rsidR="0026648D" w:rsidRPr="0026648D" w14:paraId="4D3C98F8" w14:textId="77777777" w:rsidTr="0026648D">
        <w:trPr>
          <w:trHeight w:val="397"/>
        </w:trPr>
        <w:tc>
          <w:tcPr>
            <w:tcW w:w="4253" w:type="dxa"/>
            <w:vAlign w:val="center"/>
          </w:tcPr>
          <w:p w14:paraId="50C392E9" w14:textId="77777777" w:rsidR="0026648D" w:rsidRPr="0026648D" w:rsidRDefault="0026648D" w:rsidP="0026648D">
            <w:pPr>
              <w:spacing w:after="0"/>
              <w:jc w:val="left"/>
              <w:rPr>
                <w:szCs w:val="20"/>
              </w:rPr>
            </w:pPr>
            <w:r w:rsidRPr="0026648D">
              <w:rPr>
                <w:szCs w:val="20"/>
              </w:rPr>
              <w:t>zapsán v obchodním rejstříku</w:t>
            </w:r>
            <w:r>
              <w:rPr>
                <w:szCs w:val="20"/>
              </w:rPr>
              <w:t>:</w:t>
            </w:r>
          </w:p>
        </w:tc>
        <w:tc>
          <w:tcPr>
            <w:tcW w:w="4559" w:type="dxa"/>
            <w:vAlign w:val="center"/>
          </w:tcPr>
          <w:p w14:paraId="79E7D0A7" w14:textId="77777777" w:rsidR="0026648D" w:rsidRPr="0026648D" w:rsidRDefault="00452AB1" w:rsidP="0026648D">
            <w:pPr>
              <w:spacing w:after="0"/>
              <w:jc w:val="left"/>
              <w:rPr>
                <w:szCs w:val="20"/>
              </w:rPr>
            </w:pPr>
            <w:r>
              <w:rPr>
                <w:szCs w:val="20"/>
              </w:rPr>
              <w:t>C 64342, Krajský soud v Brně</w:t>
            </w:r>
          </w:p>
        </w:tc>
      </w:tr>
      <w:tr w:rsidR="0026648D" w:rsidRPr="0026648D" w14:paraId="45D93B54" w14:textId="77777777" w:rsidTr="0026648D">
        <w:trPr>
          <w:trHeight w:val="397"/>
        </w:trPr>
        <w:tc>
          <w:tcPr>
            <w:tcW w:w="4253" w:type="dxa"/>
            <w:vAlign w:val="center"/>
          </w:tcPr>
          <w:p w14:paraId="7FC3124A" w14:textId="77777777" w:rsidR="0026648D" w:rsidRPr="0026648D" w:rsidRDefault="0026648D" w:rsidP="001E008A">
            <w:pPr>
              <w:spacing w:after="0"/>
              <w:jc w:val="left"/>
              <w:rPr>
                <w:szCs w:val="20"/>
              </w:rPr>
            </w:pPr>
            <w:r w:rsidRPr="0026648D">
              <w:rPr>
                <w:szCs w:val="20"/>
              </w:rPr>
              <w:t>dále jen jako „</w:t>
            </w:r>
            <w:r w:rsidR="001E008A">
              <w:rPr>
                <w:rStyle w:val="Siln"/>
                <w:i/>
              </w:rPr>
              <w:t>Prodávající</w:t>
            </w:r>
            <w:r w:rsidRPr="0026648D">
              <w:rPr>
                <w:szCs w:val="20"/>
              </w:rPr>
              <w:t xml:space="preserve">“ </w:t>
            </w:r>
          </w:p>
        </w:tc>
        <w:tc>
          <w:tcPr>
            <w:tcW w:w="4559" w:type="dxa"/>
            <w:vAlign w:val="center"/>
          </w:tcPr>
          <w:p w14:paraId="79A18E33" w14:textId="77777777" w:rsidR="0026648D" w:rsidRPr="0026648D" w:rsidRDefault="0026648D" w:rsidP="0026648D">
            <w:pPr>
              <w:spacing w:after="0"/>
              <w:jc w:val="left"/>
              <w:rPr>
                <w:szCs w:val="20"/>
              </w:rPr>
            </w:pPr>
          </w:p>
        </w:tc>
      </w:tr>
    </w:tbl>
    <w:p w14:paraId="39C5E8A5" w14:textId="77777777" w:rsidR="0026648D" w:rsidRDefault="0026648D" w:rsidP="0026648D"/>
    <w:p w14:paraId="787AE7B1" w14:textId="77777777" w:rsidR="002E3D85" w:rsidRDefault="002E3D85" w:rsidP="002E3D85">
      <w:pPr>
        <w:spacing w:after="0"/>
      </w:pPr>
    </w:p>
    <w:tbl>
      <w:tblPr>
        <w:tblpPr w:leftFromText="141" w:rightFromText="141" w:vertAnchor="text" w:horzAnchor="margin" w:tblpY="400"/>
        <w:tblW w:w="8812" w:type="dxa"/>
        <w:tblLook w:val="01E0" w:firstRow="1" w:lastRow="1" w:firstColumn="1" w:lastColumn="1" w:noHBand="0" w:noVBand="0"/>
      </w:tblPr>
      <w:tblGrid>
        <w:gridCol w:w="4253"/>
        <w:gridCol w:w="4559"/>
      </w:tblGrid>
      <w:tr w:rsidR="002E3D85" w:rsidRPr="0026648D" w14:paraId="3E88769E" w14:textId="77777777" w:rsidTr="00B629FA">
        <w:trPr>
          <w:trHeight w:val="397"/>
        </w:trPr>
        <w:tc>
          <w:tcPr>
            <w:tcW w:w="4253" w:type="dxa"/>
            <w:vAlign w:val="center"/>
          </w:tcPr>
          <w:p w14:paraId="1E1764C5" w14:textId="2CC77484" w:rsidR="002E3D85" w:rsidRPr="0069555D" w:rsidRDefault="00402A83" w:rsidP="00B629FA">
            <w:pPr>
              <w:spacing w:after="0"/>
              <w:jc w:val="left"/>
              <w:rPr>
                <w:rStyle w:val="Siln"/>
              </w:rPr>
            </w:pPr>
            <w:r w:rsidRPr="0069555D">
              <w:rPr>
                <w:rStyle w:val="Siln"/>
              </w:rPr>
              <w:t xml:space="preserve">MČ </w:t>
            </w:r>
            <w:proofErr w:type="gramStart"/>
            <w:r w:rsidRPr="0069555D">
              <w:rPr>
                <w:rStyle w:val="Siln"/>
              </w:rPr>
              <w:t>Praha - Zličín</w:t>
            </w:r>
            <w:proofErr w:type="gramEnd"/>
          </w:p>
        </w:tc>
        <w:tc>
          <w:tcPr>
            <w:tcW w:w="4559" w:type="dxa"/>
            <w:vAlign w:val="center"/>
          </w:tcPr>
          <w:p w14:paraId="02818999" w14:textId="77777777" w:rsidR="002E3D85" w:rsidRPr="0069555D" w:rsidRDefault="002E3D85" w:rsidP="00B629FA">
            <w:pPr>
              <w:spacing w:after="0"/>
              <w:jc w:val="left"/>
              <w:rPr>
                <w:szCs w:val="20"/>
              </w:rPr>
            </w:pPr>
          </w:p>
        </w:tc>
      </w:tr>
      <w:tr w:rsidR="002E3D85" w:rsidRPr="0026648D" w14:paraId="4D43A700" w14:textId="77777777" w:rsidTr="00B629FA">
        <w:trPr>
          <w:trHeight w:val="397"/>
        </w:trPr>
        <w:tc>
          <w:tcPr>
            <w:tcW w:w="4253" w:type="dxa"/>
            <w:vAlign w:val="center"/>
          </w:tcPr>
          <w:p w14:paraId="143B628C" w14:textId="77777777" w:rsidR="002E3D85" w:rsidRPr="0069555D" w:rsidRDefault="002E3D85" w:rsidP="00B629FA">
            <w:pPr>
              <w:spacing w:after="0"/>
              <w:jc w:val="left"/>
              <w:rPr>
                <w:szCs w:val="20"/>
              </w:rPr>
            </w:pPr>
            <w:r w:rsidRPr="0069555D">
              <w:rPr>
                <w:szCs w:val="20"/>
              </w:rPr>
              <w:t>se sídlem:</w:t>
            </w:r>
          </w:p>
        </w:tc>
        <w:tc>
          <w:tcPr>
            <w:tcW w:w="4559" w:type="dxa"/>
            <w:vAlign w:val="center"/>
          </w:tcPr>
          <w:p w14:paraId="4540427E" w14:textId="30B5B1A7" w:rsidR="002E3D85" w:rsidRPr="0069555D" w:rsidRDefault="00402A83" w:rsidP="00B629FA">
            <w:pPr>
              <w:spacing w:after="0"/>
              <w:jc w:val="left"/>
              <w:rPr>
                <w:szCs w:val="20"/>
              </w:rPr>
            </w:pPr>
            <w:r w:rsidRPr="0069555D">
              <w:rPr>
                <w:szCs w:val="20"/>
              </w:rPr>
              <w:t xml:space="preserve">Tylovická 207, 155 21 </w:t>
            </w:r>
            <w:proofErr w:type="gramStart"/>
            <w:r w:rsidRPr="0069555D">
              <w:rPr>
                <w:szCs w:val="20"/>
              </w:rPr>
              <w:t>Praha - Zličín</w:t>
            </w:r>
            <w:proofErr w:type="gramEnd"/>
          </w:p>
        </w:tc>
      </w:tr>
      <w:tr w:rsidR="002E3D85" w:rsidRPr="0026648D" w14:paraId="47A85820" w14:textId="77777777" w:rsidTr="00B629FA">
        <w:trPr>
          <w:trHeight w:val="397"/>
        </w:trPr>
        <w:tc>
          <w:tcPr>
            <w:tcW w:w="4253" w:type="dxa"/>
            <w:vAlign w:val="center"/>
          </w:tcPr>
          <w:p w14:paraId="376A92ED" w14:textId="77777777" w:rsidR="002E3D85" w:rsidRPr="0069555D" w:rsidRDefault="002E3D85" w:rsidP="00B629FA">
            <w:pPr>
              <w:spacing w:after="0"/>
              <w:jc w:val="left"/>
              <w:rPr>
                <w:szCs w:val="20"/>
              </w:rPr>
            </w:pPr>
            <w:r w:rsidRPr="0069555D">
              <w:rPr>
                <w:szCs w:val="20"/>
              </w:rPr>
              <w:t>IČO:</w:t>
            </w:r>
          </w:p>
        </w:tc>
        <w:tc>
          <w:tcPr>
            <w:tcW w:w="4559" w:type="dxa"/>
            <w:vAlign w:val="center"/>
          </w:tcPr>
          <w:p w14:paraId="0E936578" w14:textId="0DBC74D4" w:rsidR="002E3D85" w:rsidRPr="0069555D" w:rsidRDefault="00402A83" w:rsidP="00B629FA">
            <w:pPr>
              <w:spacing w:after="0"/>
              <w:jc w:val="left"/>
              <w:rPr>
                <w:szCs w:val="20"/>
              </w:rPr>
            </w:pPr>
            <w:r w:rsidRPr="0069555D">
              <w:rPr>
                <w:szCs w:val="20"/>
              </w:rPr>
              <w:t>00241881</w:t>
            </w:r>
          </w:p>
        </w:tc>
      </w:tr>
      <w:tr w:rsidR="002E3D85" w:rsidRPr="0026648D" w14:paraId="70C1F675" w14:textId="77777777" w:rsidTr="00B629FA">
        <w:trPr>
          <w:trHeight w:val="397"/>
        </w:trPr>
        <w:tc>
          <w:tcPr>
            <w:tcW w:w="4253" w:type="dxa"/>
            <w:vAlign w:val="center"/>
          </w:tcPr>
          <w:p w14:paraId="2049B1EC" w14:textId="77777777" w:rsidR="002E3D85" w:rsidRPr="0069555D" w:rsidRDefault="002E3D85" w:rsidP="00B629FA">
            <w:pPr>
              <w:spacing w:after="0"/>
              <w:jc w:val="left"/>
              <w:rPr>
                <w:szCs w:val="20"/>
              </w:rPr>
            </w:pPr>
            <w:r w:rsidRPr="0069555D">
              <w:rPr>
                <w:szCs w:val="20"/>
              </w:rPr>
              <w:t>DIČ:</w:t>
            </w:r>
          </w:p>
        </w:tc>
        <w:tc>
          <w:tcPr>
            <w:tcW w:w="4559" w:type="dxa"/>
            <w:vAlign w:val="center"/>
          </w:tcPr>
          <w:p w14:paraId="463B6C99" w14:textId="681582E2" w:rsidR="002E3D85" w:rsidRPr="0069555D" w:rsidRDefault="00402A83" w:rsidP="00B629FA">
            <w:pPr>
              <w:spacing w:after="0"/>
              <w:jc w:val="left"/>
              <w:rPr>
                <w:szCs w:val="20"/>
              </w:rPr>
            </w:pPr>
            <w:r w:rsidRPr="0069555D">
              <w:rPr>
                <w:szCs w:val="20"/>
              </w:rPr>
              <w:t>CZ</w:t>
            </w:r>
            <w:r w:rsidR="00CB60AE" w:rsidRPr="0069555D">
              <w:rPr>
                <w:szCs w:val="20"/>
              </w:rPr>
              <w:t>00241881</w:t>
            </w:r>
          </w:p>
        </w:tc>
      </w:tr>
      <w:tr w:rsidR="0069555D" w:rsidRPr="0026648D" w14:paraId="44185980" w14:textId="77777777" w:rsidTr="00B629FA">
        <w:trPr>
          <w:trHeight w:val="397"/>
        </w:trPr>
        <w:tc>
          <w:tcPr>
            <w:tcW w:w="4253" w:type="dxa"/>
            <w:vAlign w:val="center"/>
          </w:tcPr>
          <w:p w14:paraId="5C18CE47" w14:textId="77777777" w:rsidR="0069555D" w:rsidRPr="0026648D" w:rsidRDefault="0069555D" w:rsidP="0069555D">
            <w:pPr>
              <w:spacing w:after="0"/>
              <w:jc w:val="left"/>
              <w:rPr>
                <w:szCs w:val="20"/>
              </w:rPr>
            </w:pPr>
            <w:r w:rsidRPr="0026648D">
              <w:rPr>
                <w:szCs w:val="20"/>
              </w:rPr>
              <w:t>zastoupen:</w:t>
            </w:r>
          </w:p>
        </w:tc>
        <w:tc>
          <w:tcPr>
            <w:tcW w:w="4559" w:type="dxa"/>
            <w:vAlign w:val="center"/>
          </w:tcPr>
          <w:p w14:paraId="3EAE69A9" w14:textId="5A5CA1B0" w:rsidR="0069555D" w:rsidRPr="0026648D" w:rsidRDefault="0069555D" w:rsidP="0069555D">
            <w:pPr>
              <w:spacing w:after="0"/>
              <w:jc w:val="left"/>
              <w:rPr>
                <w:szCs w:val="20"/>
              </w:rPr>
            </w:pPr>
            <w:r w:rsidRPr="00355BFA">
              <w:rPr>
                <w:szCs w:val="20"/>
              </w:rPr>
              <w:t xml:space="preserve">JUDr. Martou </w:t>
            </w:r>
            <w:proofErr w:type="spellStart"/>
            <w:r w:rsidRPr="00355BFA">
              <w:rPr>
                <w:szCs w:val="20"/>
              </w:rPr>
              <w:t>Koropeckou</w:t>
            </w:r>
            <w:proofErr w:type="spellEnd"/>
            <w:r w:rsidRPr="00355BFA">
              <w:rPr>
                <w:szCs w:val="20"/>
              </w:rPr>
              <w:t>, starostkou MČ</w:t>
            </w:r>
          </w:p>
        </w:tc>
      </w:tr>
      <w:tr w:rsidR="0069555D" w:rsidRPr="0026648D" w14:paraId="47A5567C" w14:textId="77777777" w:rsidTr="00B629FA">
        <w:trPr>
          <w:trHeight w:val="397"/>
        </w:trPr>
        <w:tc>
          <w:tcPr>
            <w:tcW w:w="4253" w:type="dxa"/>
            <w:vAlign w:val="center"/>
          </w:tcPr>
          <w:p w14:paraId="09BCF038" w14:textId="77777777" w:rsidR="0069555D" w:rsidRPr="0026648D" w:rsidRDefault="0069555D" w:rsidP="0069555D">
            <w:pPr>
              <w:spacing w:after="0"/>
              <w:jc w:val="left"/>
              <w:rPr>
                <w:szCs w:val="20"/>
              </w:rPr>
            </w:pPr>
            <w:r w:rsidRPr="0026648D">
              <w:rPr>
                <w:szCs w:val="20"/>
              </w:rPr>
              <w:t>dále jen jako „</w:t>
            </w:r>
            <w:r w:rsidRPr="001E008A">
              <w:rPr>
                <w:rStyle w:val="Siln"/>
                <w:i/>
              </w:rPr>
              <w:t>Kupující</w:t>
            </w:r>
            <w:r w:rsidRPr="0026648D">
              <w:rPr>
                <w:szCs w:val="20"/>
              </w:rPr>
              <w:t xml:space="preserve">“ </w:t>
            </w:r>
          </w:p>
        </w:tc>
        <w:tc>
          <w:tcPr>
            <w:tcW w:w="4559" w:type="dxa"/>
            <w:vAlign w:val="center"/>
          </w:tcPr>
          <w:p w14:paraId="30585443" w14:textId="77777777" w:rsidR="0069555D" w:rsidRPr="0026648D" w:rsidRDefault="0069555D" w:rsidP="0069555D">
            <w:pPr>
              <w:spacing w:after="0"/>
              <w:jc w:val="left"/>
              <w:rPr>
                <w:szCs w:val="20"/>
              </w:rPr>
            </w:pPr>
          </w:p>
        </w:tc>
      </w:tr>
    </w:tbl>
    <w:p w14:paraId="2CF3C0EE" w14:textId="77777777" w:rsidR="002E3D85" w:rsidRDefault="002E3D85" w:rsidP="002E3D85">
      <w:r>
        <w:t>a</w:t>
      </w:r>
    </w:p>
    <w:p w14:paraId="1E3D3F95" w14:textId="77777777" w:rsidR="002E3D85" w:rsidRDefault="002E3D85" w:rsidP="002E3D85"/>
    <w:p w14:paraId="2EBCF7CB" w14:textId="77777777" w:rsidR="002E3D85" w:rsidRPr="002E3D85" w:rsidRDefault="001E008A" w:rsidP="002E3D85">
      <w:r>
        <w:t>Prodávající a Kupující</w:t>
      </w:r>
      <w:r w:rsidR="002E3D85" w:rsidRPr="002E3D85">
        <w:t xml:space="preserve"> budou označovaní jednotlivě jako „</w:t>
      </w:r>
      <w:r w:rsidR="002E3D85" w:rsidRPr="00542A61">
        <w:rPr>
          <w:i/>
        </w:rPr>
        <w:t>Smluvní strana</w:t>
      </w:r>
      <w:r w:rsidR="002E3D85" w:rsidRPr="002E3D85">
        <w:t>“, a společně jako „</w:t>
      </w:r>
      <w:r w:rsidR="002E3D85" w:rsidRPr="00542A61">
        <w:rPr>
          <w:i/>
        </w:rPr>
        <w:t>Smluvní strany</w:t>
      </w:r>
      <w:r w:rsidR="002E3D85" w:rsidRPr="002E3D85">
        <w:t>“,</w:t>
      </w:r>
    </w:p>
    <w:p w14:paraId="227AF739" w14:textId="77777777" w:rsidR="002E3D85" w:rsidRDefault="002E3D85" w:rsidP="002E3D85"/>
    <w:p w14:paraId="626AFC54" w14:textId="54786EBE" w:rsidR="002E3D85" w:rsidRDefault="002E3D85" w:rsidP="002E3D85">
      <w:r>
        <w:t>uzavírají v souladu s ustano</w:t>
      </w:r>
      <w:r w:rsidR="001E008A">
        <w:t>vením § 20</w:t>
      </w:r>
      <w:r w:rsidR="008A559E">
        <w:t>7</w:t>
      </w:r>
      <w:r w:rsidR="001E008A">
        <w:t>9 a násl.</w:t>
      </w:r>
      <w:r>
        <w:t xml:space="preserve"> </w:t>
      </w:r>
      <w:r w:rsidR="00542A61">
        <w:t xml:space="preserve">a § 1746 odst. 2 </w:t>
      </w:r>
      <w:r>
        <w:t>zákona č. 89/2012 Sb., občanský zákoník, ve znění pozdějších předpisů (dále jen „</w:t>
      </w:r>
      <w:r w:rsidRPr="00542A61">
        <w:rPr>
          <w:i/>
        </w:rPr>
        <w:t>občanský zákoník</w:t>
      </w:r>
      <w:r>
        <w:t>“), tuto</w:t>
      </w:r>
    </w:p>
    <w:p w14:paraId="05383253" w14:textId="77777777" w:rsidR="00693164" w:rsidRDefault="00693164" w:rsidP="002E3D85">
      <w:pPr>
        <w:jc w:val="center"/>
        <w:rPr>
          <w:rStyle w:val="Siln"/>
          <w:caps/>
        </w:rPr>
      </w:pPr>
    </w:p>
    <w:p w14:paraId="3D5F0C51" w14:textId="151E7D47" w:rsidR="002E3D85" w:rsidRPr="002E3D85" w:rsidRDefault="005566AE" w:rsidP="002E3D85">
      <w:pPr>
        <w:jc w:val="center"/>
        <w:rPr>
          <w:rStyle w:val="Siln"/>
          <w:caps/>
        </w:rPr>
      </w:pPr>
      <w:r>
        <w:rPr>
          <w:rStyle w:val="Siln"/>
          <w:caps/>
        </w:rPr>
        <w:t>Kupní smlouvu</w:t>
      </w:r>
    </w:p>
    <w:p w14:paraId="02684530" w14:textId="77777777" w:rsidR="008036F5" w:rsidRDefault="002E3D85" w:rsidP="002E3D85">
      <w:pPr>
        <w:jc w:val="center"/>
      </w:pPr>
      <w:r>
        <w:t>(dále jen „</w:t>
      </w:r>
      <w:r w:rsidRPr="00542A61">
        <w:rPr>
          <w:i/>
        </w:rPr>
        <w:t>Smlouva</w:t>
      </w:r>
      <w:r>
        <w:t>“)</w:t>
      </w:r>
    </w:p>
    <w:p w14:paraId="7532FA08" w14:textId="77777777" w:rsidR="005F6FBD" w:rsidRDefault="005F6FBD" w:rsidP="005566AE"/>
    <w:p w14:paraId="3FAEFC92" w14:textId="77777777" w:rsidR="00DC149C" w:rsidRDefault="00DC149C" w:rsidP="00DC149C">
      <w:pPr>
        <w:pStyle w:val="lnekislovannew"/>
      </w:pPr>
    </w:p>
    <w:p w14:paraId="371C3A97" w14:textId="702EF0FC" w:rsidR="003A7AD5" w:rsidRPr="003A7AD5" w:rsidRDefault="0080270A" w:rsidP="003A7AD5">
      <w:pPr>
        <w:pStyle w:val="Nadpis1"/>
      </w:pPr>
      <w:r>
        <w:t>předmět smlouvy</w:t>
      </w:r>
    </w:p>
    <w:p w14:paraId="51008C9E" w14:textId="68AD4A2E" w:rsidR="005D22A0" w:rsidRDefault="0080270A" w:rsidP="009B3DE1">
      <w:pPr>
        <w:pStyle w:val="Odstavecseseznamem"/>
        <w:numPr>
          <w:ilvl w:val="0"/>
          <w:numId w:val="20"/>
        </w:numPr>
      </w:pPr>
      <w:r>
        <w:t xml:space="preserve">Touto Smlouvou </w:t>
      </w:r>
      <w:r w:rsidRPr="00CE072E">
        <w:t xml:space="preserve">se Prodávající zavazuje </w:t>
      </w:r>
      <w:r w:rsidR="00BC0895" w:rsidRPr="00CE072E">
        <w:t xml:space="preserve">dodat Kupujícímu </w:t>
      </w:r>
      <w:r w:rsidR="00255A39" w:rsidRPr="00CE072E">
        <w:t>kluziště (dále</w:t>
      </w:r>
      <w:r w:rsidR="00255A39">
        <w:t xml:space="preserve"> jen jako </w:t>
      </w:r>
      <w:r w:rsidR="00255A39" w:rsidRPr="00B70B7A">
        <w:rPr>
          <w:b/>
        </w:rPr>
        <w:t>„</w:t>
      </w:r>
      <w:r w:rsidR="00B70B7A" w:rsidRPr="00B70B7A">
        <w:rPr>
          <w:b/>
        </w:rPr>
        <w:t>Zboží</w:t>
      </w:r>
      <w:r w:rsidR="00255A39">
        <w:t>“)</w:t>
      </w:r>
      <w:r w:rsidR="00D74787">
        <w:t>, je</w:t>
      </w:r>
      <w:r w:rsidR="00B70B7A">
        <w:t>ho</w:t>
      </w:r>
      <w:r w:rsidR="00255A39">
        <w:t>ž</w:t>
      </w:r>
      <w:r w:rsidR="00D74787">
        <w:t xml:space="preserve"> přesná specifikace je </w:t>
      </w:r>
      <w:r w:rsidR="00D74787" w:rsidRPr="00CE072E">
        <w:t>uvedena v Příloze č. 1, která tvoří</w:t>
      </w:r>
      <w:r w:rsidR="00D74787">
        <w:t xml:space="preserve"> nedílnou součást této Smlouvy</w:t>
      </w:r>
      <w:r>
        <w:t>. Kupující se zavazuje</w:t>
      </w:r>
      <w:r w:rsidR="00BC0895">
        <w:t xml:space="preserve"> </w:t>
      </w:r>
      <w:r w:rsidR="000164D8">
        <w:t>Zboží</w:t>
      </w:r>
      <w:r w:rsidR="00BC0895">
        <w:t xml:space="preserve"> od P</w:t>
      </w:r>
      <w:r w:rsidR="00BC0895" w:rsidRPr="00BC0895">
        <w:t>rodávajícího převzít a zaplatit mu sjednanou kupní cenu.</w:t>
      </w:r>
    </w:p>
    <w:p w14:paraId="675FC279" w14:textId="77777777" w:rsidR="009B3DE1" w:rsidRPr="00281DEB" w:rsidRDefault="009B3DE1" w:rsidP="009B3DE1">
      <w:pPr>
        <w:pStyle w:val="Odstavecseseznamem"/>
        <w:numPr>
          <w:ilvl w:val="0"/>
          <w:numId w:val="20"/>
        </w:numPr>
      </w:pPr>
      <w:r w:rsidRPr="00281DEB">
        <w:t xml:space="preserve">Smluvní strany se při plnění této Smlouvy zavazují postupovat ve vzájemné shodě a respektovat práva druhé Smluvní strany. Smluvní strany se zavazují vzájemně se </w:t>
      </w:r>
      <w:r w:rsidRPr="00281DEB">
        <w:lastRenderedPageBreak/>
        <w:t>informovat o všech skutečnostech, které jsou nebo mohou být důležité pro řádné plnění této Smlouvy.</w:t>
      </w:r>
    </w:p>
    <w:p w14:paraId="5FB4939E" w14:textId="77777777" w:rsidR="009B3DE1" w:rsidRPr="00281DEB" w:rsidRDefault="009B3DE1" w:rsidP="009B3DE1">
      <w:pPr>
        <w:pStyle w:val="Odstavecseseznamem"/>
        <w:numPr>
          <w:ilvl w:val="0"/>
          <w:numId w:val="20"/>
        </w:numPr>
      </w:pPr>
      <w:r w:rsidRPr="00281DEB">
        <w:t>Smluvní strany jsou povinny postupovat při zajišťování předmětu Smlouvy s náležitou odbornou péčí, dle svého nejlepšího vědomí a dodržovat všechna práva a povinnosti stanovená níže touto Smlouvou.</w:t>
      </w:r>
    </w:p>
    <w:p w14:paraId="5BAA04BD" w14:textId="77777777" w:rsidR="005D22A0" w:rsidRDefault="005D22A0" w:rsidP="005D22A0"/>
    <w:p w14:paraId="2484BAE0" w14:textId="77777777" w:rsidR="005F6FBD" w:rsidRDefault="005F6FBD" w:rsidP="00AB64EF">
      <w:pPr>
        <w:pStyle w:val="lnekislovannew"/>
      </w:pPr>
    </w:p>
    <w:p w14:paraId="1301F2A7" w14:textId="12EB3E5F" w:rsidR="00E615E8" w:rsidRDefault="0080270A" w:rsidP="00E615E8">
      <w:pPr>
        <w:pStyle w:val="Nadpis1"/>
      </w:pPr>
      <w:r>
        <w:t>Dodání zboží</w:t>
      </w:r>
    </w:p>
    <w:p w14:paraId="7C96A578" w14:textId="0887F4E1" w:rsidR="000164D8" w:rsidRDefault="000C0AF7" w:rsidP="000164D8">
      <w:pPr>
        <w:pStyle w:val="Odstavecseseznamem"/>
        <w:numPr>
          <w:ilvl w:val="0"/>
          <w:numId w:val="22"/>
        </w:numPr>
      </w:pPr>
      <w:r>
        <w:t>Smluvní strany se výslovně dohodly, že v</w:t>
      </w:r>
      <w:r w:rsidR="000164D8">
        <w:t>lastnické práv</w:t>
      </w:r>
      <w:r w:rsidR="0080270A">
        <w:t xml:space="preserve">o ke </w:t>
      </w:r>
      <w:r w:rsidR="001F628F">
        <w:t>Zboží přechází na K</w:t>
      </w:r>
      <w:r w:rsidR="000164D8">
        <w:t xml:space="preserve">upujícího až úplným zaplacením </w:t>
      </w:r>
      <w:r w:rsidR="001F628F">
        <w:t xml:space="preserve">celé </w:t>
      </w:r>
      <w:r w:rsidR="00D16995">
        <w:t>K</w:t>
      </w:r>
      <w:r w:rsidR="000164D8">
        <w:t xml:space="preserve">upní ceny. </w:t>
      </w:r>
      <w:r w:rsidR="00D16995">
        <w:t xml:space="preserve">Smluvní strany se dále dohodly, že nebezpečí škody na věci přechází na Kupujícího okamžikem předání Zboží na základě předávacího protokolu. Pro případ, že nebude Zboží předáno na základě předávacího protokolu v jeden den, přechází nebezpečí škody na věci k té části Zboží, která je předána.   </w:t>
      </w:r>
    </w:p>
    <w:p w14:paraId="34B2EF30" w14:textId="1701245A" w:rsidR="005F1343" w:rsidRDefault="000C0AF7" w:rsidP="005F1343">
      <w:pPr>
        <w:pStyle w:val="Odstavecseseznamem"/>
        <w:numPr>
          <w:ilvl w:val="0"/>
          <w:numId w:val="22"/>
        </w:numPr>
      </w:pPr>
      <w:r w:rsidRPr="00291F97">
        <w:t>Prodávající se zavazuje dodat K</w:t>
      </w:r>
      <w:r w:rsidR="000164D8" w:rsidRPr="00291F97">
        <w:t xml:space="preserve">upujícímu Zboží v </w:t>
      </w:r>
      <w:r w:rsidRPr="00291F97">
        <w:t>množství</w:t>
      </w:r>
      <w:r w:rsidR="000164D8" w:rsidRPr="00291F97">
        <w:t xml:space="preserve"> a provedení uvedeném v</w:t>
      </w:r>
      <w:r w:rsidRPr="00291F97">
        <w:t xml:space="preserve"> Příloze č. 1 </w:t>
      </w:r>
      <w:r w:rsidR="000164D8" w:rsidRPr="00291F97">
        <w:t>této</w:t>
      </w:r>
      <w:r w:rsidR="000164D8">
        <w:t xml:space="preserve"> </w:t>
      </w:r>
      <w:r w:rsidR="00E831BA">
        <w:t>S</w:t>
      </w:r>
      <w:r w:rsidR="000164D8">
        <w:t>mlouvy</w:t>
      </w:r>
      <w:r w:rsidR="002E41F2">
        <w:t xml:space="preserve"> </w:t>
      </w:r>
      <w:r w:rsidR="00ED3BF3">
        <w:t xml:space="preserve">nejpozději ke dni </w:t>
      </w:r>
      <w:r w:rsidR="008C5C4A">
        <w:t>23.4.2019</w:t>
      </w:r>
      <w:r w:rsidR="00ED3BF3">
        <w:t>.</w:t>
      </w:r>
    </w:p>
    <w:p w14:paraId="4B5362E9" w14:textId="169EED5A" w:rsidR="000C0AF7" w:rsidRDefault="000B145B" w:rsidP="000B145B">
      <w:pPr>
        <w:pStyle w:val="Odstavecseseznamem"/>
        <w:numPr>
          <w:ilvl w:val="0"/>
          <w:numId w:val="22"/>
        </w:numPr>
      </w:pPr>
      <w:r w:rsidRPr="00CE072E">
        <w:t>V případě prodlení P</w:t>
      </w:r>
      <w:r w:rsidR="000C0AF7" w:rsidRPr="00CE072E">
        <w:t xml:space="preserve">rodávajícího s dodáním Zboží </w:t>
      </w:r>
      <w:r w:rsidR="0080270A" w:rsidRPr="00CE072E">
        <w:t>oproti T</w:t>
      </w:r>
      <w:r w:rsidR="000C0AF7" w:rsidRPr="00CE072E">
        <w:t>ermín</w:t>
      </w:r>
      <w:r w:rsidRPr="00CE072E">
        <w:t xml:space="preserve">u </w:t>
      </w:r>
      <w:r w:rsidR="0080270A" w:rsidRPr="00CE072E">
        <w:t xml:space="preserve">dodání </w:t>
      </w:r>
      <w:r w:rsidRPr="00CE072E">
        <w:t>se Prodávající zavazuje zaplatit K</w:t>
      </w:r>
      <w:r w:rsidR="000C0AF7" w:rsidRPr="00CE072E">
        <w:t>upujícímu na jeho písemnou výzvu smluvní pokutu ve výši</w:t>
      </w:r>
      <w:r w:rsidR="000C0AF7">
        <w:t xml:space="preserve"> </w:t>
      </w:r>
      <w:r w:rsidR="00824867" w:rsidRPr="00CE072E">
        <w:t xml:space="preserve">300 </w:t>
      </w:r>
      <w:r w:rsidR="000C0AF7" w:rsidRPr="00CE072E">
        <w:t>Kč za každý</w:t>
      </w:r>
      <w:r w:rsidR="000C0AF7">
        <w:t xml:space="preserve"> den prodlení. Ujednáním o smluvní pokutě není dotčeno právo </w:t>
      </w:r>
      <w:r>
        <w:t>Kupujícího</w:t>
      </w:r>
      <w:r w:rsidR="000C0AF7">
        <w:t xml:space="preserve"> na náhradu škody v rozsahu převyšujícím smluvní pokutu.</w:t>
      </w:r>
    </w:p>
    <w:p w14:paraId="61789EDB" w14:textId="4A70044D" w:rsidR="0080270A" w:rsidRDefault="0080270A" w:rsidP="0080270A">
      <w:pPr>
        <w:pStyle w:val="Odstavecseseznamem"/>
        <w:numPr>
          <w:ilvl w:val="0"/>
          <w:numId w:val="22"/>
        </w:numPr>
      </w:pPr>
      <w:r w:rsidRPr="0080270A">
        <w:t xml:space="preserve">Smluvní strany prohlašují, že součástí Zboží jsou doplňky pro Zboží, tj. zejména </w:t>
      </w:r>
      <w:r w:rsidR="001B180C">
        <w:t xml:space="preserve">osvětlení a konstrukce osvětlení, </w:t>
      </w:r>
      <w:r w:rsidRPr="0080270A">
        <w:t>gumový koberec</w:t>
      </w:r>
      <w:r w:rsidR="00C50CEC">
        <w:t xml:space="preserve"> – penízková podlahovina</w:t>
      </w:r>
      <w:r w:rsidRPr="0080270A">
        <w:t xml:space="preserve">, </w:t>
      </w:r>
      <w:proofErr w:type="spellStart"/>
      <w:r w:rsidRPr="0080270A">
        <w:t>K</w:t>
      </w:r>
      <w:r w:rsidR="005372D4">
        <w:t>ä</w:t>
      </w:r>
      <w:r w:rsidRPr="0080270A">
        <w:t>rcher</w:t>
      </w:r>
      <w:proofErr w:type="spellEnd"/>
      <w:r w:rsidRPr="0080270A">
        <w:t xml:space="preserve"> stroje (vysavač na </w:t>
      </w:r>
      <w:proofErr w:type="spellStart"/>
      <w:r w:rsidRPr="0080270A">
        <w:t>mokrosuché</w:t>
      </w:r>
      <w:proofErr w:type="spellEnd"/>
      <w:r w:rsidRPr="0080270A">
        <w:t xml:space="preserve"> vysávání typ. NT 35/1 AP+ kotoučový čistič </w:t>
      </w:r>
      <w:proofErr w:type="spellStart"/>
      <w:r w:rsidRPr="0080270A">
        <w:t>K</w:t>
      </w:r>
      <w:r w:rsidR="005372D4">
        <w:t>ä</w:t>
      </w:r>
      <w:r w:rsidRPr="0080270A">
        <w:t>rcher</w:t>
      </w:r>
      <w:proofErr w:type="spellEnd"/>
      <w:r w:rsidRPr="0080270A">
        <w:t xml:space="preserve"> </w:t>
      </w:r>
      <w:proofErr w:type="gramStart"/>
      <w:r w:rsidRPr="0080270A">
        <w:t xml:space="preserve">typ </w:t>
      </w:r>
      <w:r w:rsidR="00D02D8C" w:rsidRPr="00D02D8C">
        <w:t xml:space="preserve"> BR</w:t>
      </w:r>
      <w:proofErr w:type="gramEnd"/>
      <w:r w:rsidR="00D02D8C" w:rsidRPr="00D02D8C">
        <w:t xml:space="preserve"> 40/10 C </w:t>
      </w:r>
      <w:proofErr w:type="spellStart"/>
      <w:r w:rsidR="00D02D8C" w:rsidRPr="00D02D8C">
        <w:t>Adv</w:t>
      </w:r>
      <w:proofErr w:type="spellEnd"/>
      <w:r w:rsidRPr="0080270A">
        <w:t>)</w:t>
      </w:r>
      <w:r w:rsidR="00BC0F53">
        <w:t>.</w:t>
      </w:r>
    </w:p>
    <w:p w14:paraId="35D74839" w14:textId="4B708AA6" w:rsidR="0046352A" w:rsidRPr="00CE072E" w:rsidRDefault="0046352A" w:rsidP="0080270A">
      <w:pPr>
        <w:pStyle w:val="Odstavecseseznamem"/>
        <w:numPr>
          <w:ilvl w:val="0"/>
          <w:numId w:val="22"/>
        </w:numPr>
      </w:pPr>
      <w:r w:rsidRPr="00CE072E">
        <w:t xml:space="preserve">Místem dodání je </w:t>
      </w:r>
      <w:r w:rsidR="00727265" w:rsidRPr="00CE072E">
        <w:t xml:space="preserve">asfaltové hřiště u </w:t>
      </w:r>
      <w:r w:rsidR="003913D2" w:rsidRPr="00CE072E">
        <w:t>ZŠ a MŠ, Nedašovská 328, 155 21 Praha-Zličín</w:t>
      </w:r>
      <w:r w:rsidR="00CD71AF" w:rsidRPr="00CE072E">
        <w:t>.</w:t>
      </w:r>
    </w:p>
    <w:p w14:paraId="59066A52" w14:textId="77777777" w:rsidR="000B145B" w:rsidRDefault="000B145B" w:rsidP="007D7F77"/>
    <w:p w14:paraId="37108DDB" w14:textId="77777777" w:rsidR="0080270A" w:rsidRDefault="0080270A" w:rsidP="007D7F77"/>
    <w:p w14:paraId="0050D874" w14:textId="77777777" w:rsidR="00D56810" w:rsidRDefault="00D56810" w:rsidP="007D7F77"/>
    <w:p w14:paraId="388C8620" w14:textId="77777777" w:rsidR="00D56810" w:rsidRDefault="00D56810" w:rsidP="007D7F77"/>
    <w:p w14:paraId="6629B849" w14:textId="77777777" w:rsidR="000B145B" w:rsidRDefault="000B145B" w:rsidP="000B145B">
      <w:pPr>
        <w:pStyle w:val="lnekislovannew"/>
      </w:pPr>
    </w:p>
    <w:p w14:paraId="698FA2F5" w14:textId="77777777" w:rsidR="000B145B" w:rsidRDefault="000B145B" w:rsidP="000B145B">
      <w:pPr>
        <w:pStyle w:val="Nadpis1"/>
      </w:pPr>
      <w:r>
        <w:t>kupní cena</w:t>
      </w:r>
    </w:p>
    <w:p w14:paraId="2350423C" w14:textId="3366EF23" w:rsidR="00457D71" w:rsidRDefault="00255A39" w:rsidP="00693164">
      <w:pPr>
        <w:pStyle w:val="Odstavecseseznamem"/>
        <w:numPr>
          <w:ilvl w:val="0"/>
          <w:numId w:val="25"/>
        </w:numPr>
      </w:pPr>
      <w:r>
        <w:t xml:space="preserve">Kupní cena </w:t>
      </w:r>
      <w:r w:rsidR="0060670B">
        <w:t xml:space="preserve">je sjednána </w:t>
      </w:r>
      <w:r w:rsidR="00693164">
        <w:t xml:space="preserve">dohodou Smluvních stran </w:t>
      </w:r>
      <w:r w:rsidR="0060670B">
        <w:t xml:space="preserve">na částku ve </w:t>
      </w:r>
      <w:r w:rsidR="0060670B" w:rsidRPr="003142E1">
        <w:t xml:space="preserve">výši </w:t>
      </w:r>
      <w:proofErr w:type="gramStart"/>
      <w:r w:rsidR="00B70B7A" w:rsidRPr="00B70B7A">
        <w:rPr>
          <w:b/>
        </w:rPr>
        <w:t>1.</w:t>
      </w:r>
      <w:r w:rsidR="00827377">
        <w:rPr>
          <w:b/>
        </w:rPr>
        <w:t>102</w:t>
      </w:r>
      <w:r w:rsidR="00B70B7A" w:rsidRPr="00B70B7A">
        <w:rPr>
          <w:b/>
        </w:rPr>
        <w:t>.</w:t>
      </w:r>
      <w:r w:rsidR="00827377">
        <w:rPr>
          <w:b/>
        </w:rPr>
        <w:t>7</w:t>
      </w:r>
      <w:r w:rsidR="00B70B7A" w:rsidRPr="00B70B7A">
        <w:rPr>
          <w:b/>
        </w:rPr>
        <w:t>00,-</w:t>
      </w:r>
      <w:proofErr w:type="gramEnd"/>
      <w:r w:rsidR="00B70B7A" w:rsidRPr="00B70B7A">
        <w:rPr>
          <w:b/>
        </w:rPr>
        <w:t xml:space="preserve"> </w:t>
      </w:r>
      <w:r w:rsidR="0060670B" w:rsidRPr="00B70B7A">
        <w:rPr>
          <w:b/>
        </w:rPr>
        <w:t>Kč bez</w:t>
      </w:r>
      <w:r w:rsidR="0060670B" w:rsidRPr="003142E1">
        <w:rPr>
          <w:b/>
        </w:rPr>
        <w:t xml:space="preserve"> </w:t>
      </w:r>
      <w:r w:rsidRPr="003142E1">
        <w:rPr>
          <w:b/>
        </w:rPr>
        <w:t>DPH</w:t>
      </w:r>
      <w:r>
        <w:t xml:space="preserve"> v zákonné výši </w:t>
      </w:r>
      <w:r w:rsidR="0060670B">
        <w:t>(dále jako</w:t>
      </w:r>
      <w:r w:rsidR="000B145B" w:rsidRPr="000B145B">
        <w:t xml:space="preserve"> </w:t>
      </w:r>
      <w:r w:rsidR="0060670B">
        <w:t>„</w:t>
      </w:r>
      <w:r w:rsidR="000B145B" w:rsidRPr="00255A39">
        <w:rPr>
          <w:b/>
          <w:bCs/>
          <w:i/>
        </w:rPr>
        <w:t>Kupní cena</w:t>
      </w:r>
      <w:r w:rsidR="000B145B" w:rsidRPr="000B145B">
        <w:t>“).</w:t>
      </w:r>
      <w:r w:rsidR="00C058E6">
        <w:t xml:space="preserve"> </w:t>
      </w:r>
      <w:r w:rsidR="00457D71">
        <w:t>Smluvní strany berou na vědomí, že ke Kupní ceně bude na faktuře připočtena DPH v zákonné výši.</w:t>
      </w:r>
    </w:p>
    <w:p w14:paraId="760175BC" w14:textId="613BD939" w:rsidR="002A243B" w:rsidRPr="00C12706" w:rsidRDefault="002A243B" w:rsidP="00693164">
      <w:pPr>
        <w:pStyle w:val="Odstavecseseznamem"/>
        <w:numPr>
          <w:ilvl w:val="0"/>
          <w:numId w:val="25"/>
        </w:numPr>
      </w:pPr>
      <w:r w:rsidRPr="00C12706">
        <w:t xml:space="preserve">Kupující </w:t>
      </w:r>
      <w:r w:rsidR="002E41F2">
        <w:t>j</w:t>
      </w:r>
      <w:r w:rsidRPr="00C12706">
        <w:t xml:space="preserve">e srozuměn s tím, že předmětem koupě je zboží již použité. </w:t>
      </w:r>
    </w:p>
    <w:p w14:paraId="5909C905" w14:textId="3B1C2770" w:rsidR="000B145B" w:rsidRPr="00D33148" w:rsidRDefault="0060670B" w:rsidP="00693164">
      <w:pPr>
        <w:pStyle w:val="Odstavecseseznamem"/>
        <w:numPr>
          <w:ilvl w:val="0"/>
          <w:numId w:val="25"/>
        </w:numPr>
      </w:pPr>
      <w:r>
        <w:t xml:space="preserve">Kupující se zavazuje zaplatit Kupní cenu </w:t>
      </w:r>
      <w:r w:rsidR="00D33148">
        <w:t xml:space="preserve">nejpozději </w:t>
      </w:r>
      <w:r w:rsidR="000B145B" w:rsidRPr="00D33148">
        <w:t xml:space="preserve">do </w:t>
      </w:r>
      <w:r>
        <w:t>14</w:t>
      </w:r>
      <w:r w:rsidR="000B145B" w:rsidRPr="00D33148">
        <w:t xml:space="preserve"> </w:t>
      </w:r>
      <w:r w:rsidR="000B145B" w:rsidRPr="006F35B6">
        <w:t xml:space="preserve">dnů </w:t>
      </w:r>
      <w:r w:rsidR="00693164" w:rsidRPr="006F35B6">
        <w:t>od protokolárního předání a převzetí Zboží</w:t>
      </w:r>
      <w:r w:rsidR="000B145B" w:rsidRPr="006F35B6">
        <w:t xml:space="preserve">. </w:t>
      </w:r>
      <w:r w:rsidR="00693164" w:rsidRPr="006F35B6">
        <w:t>Kupní cena bude hrazena na základě faktury</w:t>
      </w:r>
      <w:r w:rsidR="00601230" w:rsidRPr="006F35B6">
        <w:t xml:space="preserve">. </w:t>
      </w:r>
      <w:r w:rsidR="00DC6700" w:rsidRPr="006F35B6">
        <w:t>Kupní cena či její část jsou uhrazeny dnem, kdy je příslušná platba připsána na účet Prodávajícího uvedený na faktuře</w:t>
      </w:r>
      <w:r w:rsidR="00DC6700">
        <w:t xml:space="preserve">. </w:t>
      </w:r>
    </w:p>
    <w:p w14:paraId="67719AC2" w14:textId="336601D0" w:rsidR="000B145B" w:rsidRDefault="00D33148" w:rsidP="00D33148">
      <w:pPr>
        <w:pStyle w:val="Odstavecseseznamem"/>
        <w:numPr>
          <w:ilvl w:val="0"/>
          <w:numId w:val="25"/>
        </w:numPr>
      </w:pPr>
      <w:r>
        <w:t>V případě prodlení K</w:t>
      </w:r>
      <w:r w:rsidR="000B145B" w:rsidRPr="000B145B">
        <w:t>upujícího s úhradou Kupní c</w:t>
      </w:r>
      <w:r>
        <w:t xml:space="preserve">eny, je Kupující povinen Prodávajícímu zaplatit </w:t>
      </w:r>
      <w:r w:rsidR="000B145B" w:rsidRPr="000B145B">
        <w:t xml:space="preserve">smluvní pokutu ve výši </w:t>
      </w:r>
      <w:r w:rsidR="00C058E6">
        <w:t>0,</w:t>
      </w:r>
      <w:r w:rsidR="00462219">
        <w:t>1</w:t>
      </w:r>
      <w:r>
        <w:t> % z dlužné částky</w:t>
      </w:r>
      <w:r w:rsidR="000B145B" w:rsidRPr="000B145B">
        <w:t xml:space="preserve"> za každý </w:t>
      </w:r>
      <w:r>
        <w:t xml:space="preserve">i započatý </w:t>
      </w:r>
      <w:r w:rsidR="000B145B" w:rsidRPr="000B145B">
        <w:t>den prodlení. Ujednáním o sml</w:t>
      </w:r>
      <w:r>
        <w:t>uvní pokutě není dotčeno právo P</w:t>
      </w:r>
      <w:r w:rsidR="003142E1">
        <w:t>rodávajícího na náhradu škody v </w:t>
      </w:r>
      <w:r w:rsidR="000B145B" w:rsidRPr="000B145B">
        <w:t>rozsahu převyšujícím smluvní pokutu.</w:t>
      </w:r>
    </w:p>
    <w:p w14:paraId="72FF8433" w14:textId="77777777" w:rsidR="00C10598" w:rsidRDefault="00C10598" w:rsidP="00C10598">
      <w:pPr>
        <w:rPr>
          <w:highlight w:val="yellow"/>
        </w:rPr>
      </w:pPr>
    </w:p>
    <w:p w14:paraId="51A522E8" w14:textId="77777777" w:rsidR="00C10598" w:rsidRPr="00C10598" w:rsidRDefault="00C10598" w:rsidP="00C10598">
      <w:pPr>
        <w:pStyle w:val="lnekislovannew"/>
      </w:pPr>
    </w:p>
    <w:p w14:paraId="47390648" w14:textId="53DFE271" w:rsidR="00C10598" w:rsidRPr="00C10598" w:rsidRDefault="00090D82" w:rsidP="00C10598">
      <w:pPr>
        <w:keepNext/>
        <w:keepLines/>
        <w:spacing w:before="120"/>
        <w:jc w:val="center"/>
        <w:outlineLvl w:val="0"/>
        <w:rPr>
          <w:rFonts w:eastAsiaTheme="majorEastAsia" w:cstheme="majorBidi"/>
          <w:b/>
          <w:caps/>
          <w:szCs w:val="32"/>
        </w:rPr>
      </w:pPr>
      <w:r>
        <w:rPr>
          <w:rFonts w:eastAsiaTheme="majorEastAsia" w:cstheme="majorBidi"/>
          <w:b/>
          <w:caps/>
          <w:szCs w:val="32"/>
        </w:rPr>
        <w:t>Záruční podmínky, záruční a pozáruční servis</w:t>
      </w:r>
    </w:p>
    <w:p w14:paraId="63B4CA78" w14:textId="617712E7" w:rsidR="00412CA1" w:rsidRDefault="00C10598" w:rsidP="00C10598">
      <w:pPr>
        <w:numPr>
          <w:ilvl w:val="0"/>
          <w:numId w:val="40"/>
        </w:numPr>
        <w:spacing w:before="120" w:after="0"/>
      </w:pPr>
      <w:r>
        <w:t xml:space="preserve">Prodávající poskytuje </w:t>
      </w:r>
      <w:r w:rsidR="00693164">
        <w:t xml:space="preserve">Kupujícímu </w:t>
      </w:r>
      <w:r>
        <w:t xml:space="preserve">záruku na jakost </w:t>
      </w:r>
      <w:r w:rsidR="00412CA1">
        <w:t>na:</w:t>
      </w:r>
    </w:p>
    <w:p w14:paraId="334D932F" w14:textId="5679561A" w:rsidR="001F5965" w:rsidRPr="001A1112" w:rsidRDefault="001F5965" w:rsidP="001F5965">
      <w:pPr>
        <w:numPr>
          <w:ilvl w:val="1"/>
          <w:numId w:val="40"/>
        </w:numPr>
        <w:spacing w:before="120" w:after="0"/>
      </w:pPr>
      <w:r w:rsidRPr="001A1112">
        <w:t xml:space="preserve">Kluziště v délce trvání </w:t>
      </w:r>
      <w:r w:rsidR="00231833" w:rsidRPr="001A1112">
        <w:t>12měsíců</w:t>
      </w:r>
      <w:r w:rsidRPr="001A1112">
        <w:t xml:space="preserve"> od </w:t>
      </w:r>
      <w:r w:rsidR="00971D4C" w:rsidRPr="001A1112">
        <w:t xml:space="preserve">protokolárního předání a převzetí </w:t>
      </w:r>
      <w:r w:rsidRPr="001A1112">
        <w:t xml:space="preserve">Kluziště; </w:t>
      </w:r>
    </w:p>
    <w:p w14:paraId="42144CD0" w14:textId="17234497" w:rsidR="001F5965" w:rsidRPr="001A1112" w:rsidRDefault="001F5965" w:rsidP="001F5965">
      <w:pPr>
        <w:numPr>
          <w:ilvl w:val="1"/>
          <w:numId w:val="40"/>
        </w:numPr>
        <w:spacing w:before="120" w:after="0"/>
      </w:pPr>
      <w:r w:rsidRPr="001A1112">
        <w:t xml:space="preserve">mantinely a příslušenství Kluziště specifikované v Příloze č. 1 této Smlouvy v délce trvání </w:t>
      </w:r>
      <w:r w:rsidR="00231833" w:rsidRPr="001A1112">
        <w:t>12</w:t>
      </w:r>
      <w:r w:rsidRPr="001A1112">
        <w:t xml:space="preserve"> měsíců od </w:t>
      </w:r>
      <w:r w:rsidR="00971D4C" w:rsidRPr="001A1112">
        <w:t xml:space="preserve">protokolárního </w:t>
      </w:r>
      <w:r w:rsidRPr="001A1112">
        <w:t xml:space="preserve">předání </w:t>
      </w:r>
      <w:r w:rsidR="00971D4C" w:rsidRPr="001A1112">
        <w:t xml:space="preserve">a převzetí </w:t>
      </w:r>
      <w:r w:rsidRPr="001A1112">
        <w:t>Kluziště;</w:t>
      </w:r>
    </w:p>
    <w:p w14:paraId="1C69CFE0" w14:textId="5B7F6559" w:rsidR="0046352A" w:rsidRPr="001A1112" w:rsidRDefault="0046352A" w:rsidP="0046352A">
      <w:pPr>
        <w:numPr>
          <w:ilvl w:val="1"/>
          <w:numId w:val="40"/>
        </w:numPr>
        <w:spacing w:before="120" w:after="0"/>
      </w:pPr>
      <w:proofErr w:type="spellStart"/>
      <w:r w:rsidRPr="001A1112">
        <w:t>K</w:t>
      </w:r>
      <w:r w:rsidR="00E62CE4">
        <w:t>ä</w:t>
      </w:r>
      <w:r w:rsidRPr="001A1112">
        <w:t>rcher</w:t>
      </w:r>
      <w:proofErr w:type="spellEnd"/>
      <w:r w:rsidRPr="001A1112">
        <w:t xml:space="preserve"> stroje (vysavač na </w:t>
      </w:r>
      <w:proofErr w:type="spellStart"/>
      <w:r w:rsidRPr="001A1112">
        <w:t>mokrosuché</w:t>
      </w:r>
      <w:proofErr w:type="spellEnd"/>
      <w:r w:rsidRPr="001A1112">
        <w:t xml:space="preserve"> vysávání typ. NT 35/1 AP</w:t>
      </w:r>
      <w:r w:rsidR="001A1112">
        <w:t xml:space="preserve"> </w:t>
      </w:r>
      <w:r w:rsidRPr="001A1112">
        <w:t xml:space="preserve">+ kotoučový čistič </w:t>
      </w:r>
      <w:proofErr w:type="spellStart"/>
      <w:r w:rsidRPr="001A1112">
        <w:t>K</w:t>
      </w:r>
      <w:r w:rsidR="00E62CE4">
        <w:t>ä</w:t>
      </w:r>
      <w:r w:rsidRPr="001A1112">
        <w:t>rcher</w:t>
      </w:r>
      <w:proofErr w:type="spellEnd"/>
      <w:r w:rsidRPr="001A1112">
        <w:t xml:space="preserve"> </w:t>
      </w:r>
      <w:proofErr w:type="gramStart"/>
      <w:r w:rsidRPr="001A1112">
        <w:t>typ  BR</w:t>
      </w:r>
      <w:proofErr w:type="gramEnd"/>
      <w:r w:rsidRPr="001A1112">
        <w:t xml:space="preserve"> 40/10 C </w:t>
      </w:r>
      <w:proofErr w:type="spellStart"/>
      <w:r w:rsidRPr="001A1112">
        <w:t>Adv</w:t>
      </w:r>
      <w:proofErr w:type="spellEnd"/>
      <w:r w:rsidR="001A1112">
        <w:t>)</w:t>
      </w:r>
      <w:r w:rsidRPr="001A1112">
        <w:t xml:space="preserve"> v trvání 12 měsíců počínaje dnem </w:t>
      </w:r>
      <w:r w:rsidR="00027390">
        <w:t>20.11.2018</w:t>
      </w:r>
      <w:r w:rsidRPr="001A1112">
        <w:t xml:space="preserve">. </w:t>
      </w:r>
    </w:p>
    <w:p w14:paraId="11D01991" w14:textId="4CD73208" w:rsidR="00C10598" w:rsidRPr="001A1112" w:rsidRDefault="00C10598" w:rsidP="00C10598">
      <w:pPr>
        <w:numPr>
          <w:ilvl w:val="0"/>
          <w:numId w:val="40"/>
        </w:numPr>
        <w:spacing w:before="120" w:after="0"/>
      </w:pPr>
      <w:r w:rsidRPr="001A1112">
        <w:t xml:space="preserve">Záruka za jakost </w:t>
      </w:r>
      <w:r w:rsidR="003C621E" w:rsidRPr="001A1112">
        <w:t xml:space="preserve">na </w:t>
      </w:r>
      <w:r w:rsidR="00412CA1" w:rsidRPr="001A1112">
        <w:t>Zboží</w:t>
      </w:r>
      <w:r w:rsidR="003C621E" w:rsidRPr="001A1112">
        <w:t xml:space="preserve"> </w:t>
      </w:r>
      <w:r w:rsidRPr="001A1112">
        <w:t xml:space="preserve">se nevztahuje na případy: </w:t>
      </w:r>
    </w:p>
    <w:p w14:paraId="777186AC" w14:textId="7C8F7640" w:rsidR="00C10598" w:rsidRPr="001A1112" w:rsidRDefault="00C10598" w:rsidP="003C621E">
      <w:pPr>
        <w:numPr>
          <w:ilvl w:val="0"/>
          <w:numId w:val="42"/>
        </w:numPr>
        <w:spacing w:before="120" w:after="0"/>
      </w:pPr>
      <w:r w:rsidRPr="001A1112">
        <w:t>vzniklé v důsledku nerespektování zásad údržby;</w:t>
      </w:r>
    </w:p>
    <w:p w14:paraId="59485AC3" w14:textId="26B870CF" w:rsidR="00C10598" w:rsidRPr="00C10598" w:rsidRDefault="00C10598" w:rsidP="003C621E">
      <w:pPr>
        <w:numPr>
          <w:ilvl w:val="0"/>
          <w:numId w:val="42"/>
        </w:numPr>
        <w:spacing w:before="120" w:after="0"/>
      </w:pPr>
      <w:r w:rsidRPr="00C10598">
        <w:t>vzniklé v důsledku nesprávného či nevhodného užívání, přepravy a skladování</w:t>
      </w:r>
      <w:r>
        <w:t>;</w:t>
      </w:r>
    </w:p>
    <w:p w14:paraId="47CEC26E" w14:textId="0CCC7CE9" w:rsidR="00C10598" w:rsidRPr="00C10598" w:rsidRDefault="00C10598" w:rsidP="003C621E">
      <w:pPr>
        <w:numPr>
          <w:ilvl w:val="0"/>
          <w:numId w:val="42"/>
        </w:numPr>
        <w:spacing w:before="120" w:after="0"/>
      </w:pPr>
      <w:r w:rsidRPr="00C10598">
        <w:t>vzniklé v důsledku mechanického či obdobné poškození, včetně poškození, které je způsobeno vnějšími vlivy (např. živelní pohromy)</w:t>
      </w:r>
      <w:r>
        <w:t>;</w:t>
      </w:r>
    </w:p>
    <w:p w14:paraId="6205DCC3" w14:textId="250605BA" w:rsidR="00C10598" w:rsidRPr="00C10598" w:rsidRDefault="00C10598" w:rsidP="003C621E">
      <w:pPr>
        <w:numPr>
          <w:ilvl w:val="0"/>
          <w:numId w:val="42"/>
        </w:numPr>
        <w:spacing w:before="120" w:after="0"/>
      </w:pPr>
      <w:r w:rsidRPr="00C10598">
        <w:t>běžného opotřebení</w:t>
      </w:r>
      <w:r>
        <w:t>;</w:t>
      </w:r>
    </w:p>
    <w:p w14:paraId="29FC48E8" w14:textId="54F6FCD4" w:rsidR="00412CA1" w:rsidRDefault="00C10598" w:rsidP="00412CA1">
      <w:pPr>
        <w:numPr>
          <w:ilvl w:val="0"/>
          <w:numId w:val="42"/>
        </w:numPr>
        <w:spacing w:before="120" w:after="0"/>
      </w:pPr>
      <w:r w:rsidRPr="00C10598">
        <w:t xml:space="preserve">způsobené jakýmkoli zásahem do konstrukce </w:t>
      </w:r>
      <w:r w:rsidR="00412CA1">
        <w:t>Zboží</w:t>
      </w:r>
      <w:r>
        <w:t>,</w:t>
      </w:r>
      <w:r w:rsidRPr="00C10598">
        <w:t xml:space="preserve"> který nebude proveden </w:t>
      </w:r>
      <w:r>
        <w:t>Prodávajícím</w:t>
      </w:r>
      <w:r w:rsidRPr="00C10598">
        <w:t xml:space="preserve">, </w:t>
      </w:r>
      <w:r>
        <w:t>nebo subjekty výslo</w:t>
      </w:r>
      <w:r w:rsidR="003C621E">
        <w:t>vně odsouhlasenými Prodávajícím.</w:t>
      </w:r>
    </w:p>
    <w:p w14:paraId="58B49E9F" w14:textId="0B47A6BA" w:rsidR="004E4CBB" w:rsidRPr="004060F1" w:rsidRDefault="00C10598" w:rsidP="004E4CBB">
      <w:pPr>
        <w:numPr>
          <w:ilvl w:val="0"/>
          <w:numId w:val="40"/>
        </w:numPr>
        <w:spacing w:before="120" w:after="0"/>
      </w:pPr>
      <w:r w:rsidRPr="00C10598">
        <w:t xml:space="preserve">Podmínkou pro trvání záruky </w:t>
      </w:r>
      <w:r w:rsidR="004E4CBB">
        <w:t xml:space="preserve">za jakost </w:t>
      </w:r>
      <w:r w:rsidR="00601230">
        <w:t xml:space="preserve">dle tohoto článku </w:t>
      </w:r>
      <w:r w:rsidRPr="00C10598">
        <w:t xml:space="preserve">je provedení revizní prohlídky </w:t>
      </w:r>
      <w:r w:rsidR="004E4CBB">
        <w:t>Zboží</w:t>
      </w:r>
      <w:r w:rsidRPr="00C10598">
        <w:t>, a to nejméně 1x ročně</w:t>
      </w:r>
      <w:r w:rsidR="004E4CBB">
        <w:t xml:space="preserve"> (dále jen „</w:t>
      </w:r>
      <w:r w:rsidR="004E4CBB" w:rsidRPr="004E4CBB">
        <w:rPr>
          <w:b/>
          <w:i/>
        </w:rPr>
        <w:t>Revizní prohlídka</w:t>
      </w:r>
      <w:r w:rsidR="004E4CBB">
        <w:t xml:space="preserve">“). </w:t>
      </w:r>
      <w:r w:rsidR="004E4CBB" w:rsidRPr="004060F1">
        <w:t>Provedení Re</w:t>
      </w:r>
      <w:r w:rsidRPr="004060F1">
        <w:t xml:space="preserve">vizní prohlídky provádí </w:t>
      </w:r>
      <w:r w:rsidR="004E4CBB" w:rsidRPr="004060F1">
        <w:t>Prodávající</w:t>
      </w:r>
      <w:r w:rsidRPr="004060F1">
        <w:t xml:space="preserve"> nebo </w:t>
      </w:r>
      <w:r w:rsidR="004E4CBB" w:rsidRPr="004060F1">
        <w:t>subjekt Prodávajícím výslovně schválený</w:t>
      </w:r>
      <w:r w:rsidRPr="004060F1">
        <w:t xml:space="preserve">. </w:t>
      </w:r>
      <w:r w:rsidR="004E4CBB" w:rsidRPr="004060F1">
        <w:t xml:space="preserve">Cena provedení </w:t>
      </w:r>
      <w:r w:rsidR="00A73AAD" w:rsidRPr="004060F1">
        <w:t xml:space="preserve">první </w:t>
      </w:r>
      <w:r w:rsidR="004E4CBB" w:rsidRPr="004060F1">
        <w:t>Reviz</w:t>
      </w:r>
      <w:r w:rsidRPr="004060F1">
        <w:t xml:space="preserve">ní prohlídky je </w:t>
      </w:r>
      <w:r w:rsidR="004E4CBB" w:rsidRPr="004060F1">
        <w:t xml:space="preserve">již zahrnuta v Kupní ceně. </w:t>
      </w:r>
      <w:r w:rsidRPr="004060F1">
        <w:t>V příp</w:t>
      </w:r>
      <w:r w:rsidR="004E4CBB" w:rsidRPr="004060F1">
        <w:t>adě neprovedení R</w:t>
      </w:r>
      <w:r w:rsidRPr="004060F1">
        <w:t xml:space="preserve">evizní prohlídky záruka </w:t>
      </w:r>
      <w:r w:rsidR="004E4CBB" w:rsidRPr="004060F1">
        <w:t xml:space="preserve">za jakost </w:t>
      </w:r>
      <w:r w:rsidRPr="004060F1">
        <w:t>zaniká po upl</w:t>
      </w:r>
      <w:r w:rsidR="004E4CBB" w:rsidRPr="004060F1">
        <w:t>ynutí jednoho roku od poslední R</w:t>
      </w:r>
      <w:r w:rsidRPr="004060F1">
        <w:t xml:space="preserve">evizní prohlídky. </w:t>
      </w:r>
    </w:p>
    <w:p w14:paraId="676F72C0" w14:textId="49EA4ADC" w:rsidR="007A3250" w:rsidRDefault="004E4CBB" w:rsidP="007A3250">
      <w:pPr>
        <w:numPr>
          <w:ilvl w:val="0"/>
          <w:numId w:val="40"/>
        </w:numPr>
        <w:spacing w:before="120" w:after="0"/>
      </w:pPr>
      <w:r w:rsidRPr="004E4CBB">
        <w:rPr>
          <w:rFonts w:eastAsia="Times New Roman" w:cs="Times New Roman"/>
          <w:szCs w:val="20"/>
          <w:lang w:eastAsia="cs-CZ"/>
        </w:rPr>
        <w:t>Kupující se zavazuje, že jakékoli záruční vady nahlásí neprodleně poté, co jejich existenci zjistí, nebo měl zjistit při vynaložení řádné péče</w:t>
      </w:r>
      <w:r w:rsidR="007A3250">
        <w:rPr>
          <w:rFonts w:eastAsia="Times New Roman" w:cs="Times New Roman"/>
          <w:szCs w:val="20"/>
          <w:lang w:eastAsia="cs-CZ"/>
        </w:rPr>
        <w:t xml:space="preserve"> (dále jen „</w:t>
      </w:r>
      <w:r w:rsidR="007A3250" w:rsidRPr="007A3250">
        <w:rPr>
          <w:rFonts w:eastAsia="Times New Roman" w:cs="Times New Roman"/>
          <w:b/>
          <w:i/>
          <w:szCs w:val="20"/>
          <w:lang w:eastAsia="cs-CZ"/>
        </w:rPr>
        <w:t xml:space="preserve">Ohlášení </w:t>
      </w:r>
      <w:r w:rsidR="007A3250">
        <w:rPr>
          <w:rFonts w:eastAsia="Times New Roman" w:cs="Times New Roman"/>
          <w:b/>
          <w:i/>
          <w:szCs w:val="20"/>
          <w:lang w:eastAsia="cs-CZ"/>
        </w:rPr>
        <w:t>záruční vady</w:t>
      </w:r>
      <w:r w:rsidR="007A3250">
        <w:rPr>
          <w:rFonts w:eastAsia="Times New Roman" w:cs="Times New Roman"/>
          <w:szCs w:val="20"/>
          <w:lang w:eastAsia="cs-CZ"/>
        </w:rPr>
        <w:t>“)</w:t>
      </w:r>
      <w:r w:rsidRPr="004E4CBB">
        <w:rPr>
          <w:rFonts w:eastAsia="Times New Roman" w:cs="Times New Roman"/>
          <w:szCs w:val="20"/>
          <w:lang w:eastAsia="cs-CZ"/>
        </w:rPr>
        <w:t xml:space="preserve">. </w:t>
      </w:r>
      <w:r w:rsidR="007A3250">
        <w:rPr>
          <w:rFonts w:eastAsia="Times New Roman" w:cs="Times New Roman"/>
          <w:szCs w:val="20"/>
          <w:lang w:eastAsia="cs-CZ"/>
        </w:rPr>
        <w:t xml:space="preserve">V Ohlášení záruční vady se </w:t>
      </w:r>
      <w:r w:rsidR="007A3250" w:rsidRPr="007A3250">
        <w:rPr>
          <w:rFonts w:eastAsia="Times New Roman" w:cs="Times New Roman"/>
          <w:szCs w:val="20"/>
          <w:lang w:eastAsia="cs-CZ"/>
        </w:rPr>
        <w:t xml:space="preserve">Kupující zavazuje uvést všechny podklady a okolnosti, které jsou významné a slouží jako základ pro </w:t>
      </w:r>
      <w:r w:rsidR="007A3250">
        <w:rPr>
          <w:rFonts w:eastAsia="Times New Roman" w:cs="Times New Roman"/>
          <w:szCs w:val="20"/>
          <w:lang w:eastAsia="cs-CZ"/>
        </w:rPr>
        <w:t xml:space="preserve">posouzení oprávněnosti nároku ze záruky na jakost </w:t>
      </w:r>
      <w:r w:rsidR="007A3250" w:rsidRPr="007A3250">
        <w:rPr>
          <w:rFonts w:eastAsia="Times New Roman" w:cs="Times New Roman"/>
          <w:szCs w:val="20"/>
          <w:lang w:eastAsia="cs-CZ"/>
        </w:rPr>
        <w:t>(např. čas vzniku závady, ok</w:t>
      </w:r>
      <w:r w:rsidR="007A3250">
        <w:rPr>
          <w:rFonts w:eastAsia="Times New Roman" w:cs="Times New Roman"/>
          <w:szCs w:val="20"/>
          <w:lang w:eastAsia="cs-CZ"/>
        </w:rPr>
        <w:t xml:space="preserve">olnosti vzniku </w:t>
      </w:r>
      <w:proofErr w:type="gramStart"/>
      <w:r w:rsidR="007A3250">
        <w:rPr>
          <w:rFonts w:eastAsia="Times New Roman" w:cs="Times New Roman"/>
          <w:szCs w:val="20"/>
          <w:lang w:eastAsia="cs-CZ"/>
        </w:rPr>
        <w:t>závady,</w:t>
      </w:r>
      <w:proofErr w:type="gramEnd"/>
      <w:r w:rsidR="007A3250">
        <w:rPr>
          <w:rFonts w:eastAsia="Times New Roman" w:cs="Times New Roman"/>
          <w:szCs w:val="20"/>
          <w:lang w:eastAsia="cs-CZ"/>
        </w:rPr>
        <w:t xml:space="preserve"> </w:t>
      </w:r>
      <w:r w:rsidR="007A3250" w:rsidRPr="007A3250">
        <w:rPr>
          <w:rFonts w:eastAsia="Times New Roman" w:cs="Times New Roman"/>
          <w:szCs w:val="20"/>
          <w:lang w:eastAsia="cs-CZ"/>
        </w:rPr>
        <w:t xml:space="preserve">atd.).  </w:t>
      </w:r>
      <w:r w:rsidR="007A3250">
        <w:rPr>
          <w:rFonts w:eastAsia="Times New Roman" w:cs="Times New Roman"/>
          <w:szCs w:val="20"/>
          <w:lang w:eastAsia="cs-CZ"/>
        </w:rPr>
        <w:t>Pozdním O</w:t>
      </w:r>
      <w:r w:rsidRPr="004E4CBB">
        <w:rPr>
          <w:rFonts w:eastAsia="Times New Roman" w:cs="Times New Roman"/>
          <w:szCs w:val="20"/>
          <w:lang w:eastAsia="cs-CZ"/>
        </w:rPr>
        <w:t xml:space="preserve">hlášením záruční vady se </w:t>
      </w:r>
      <w:r>
        <w:rPr>
          <w:rFonts w:eastAsia="Times New Roman" w:cs="Times New Roman"/>
          <w:szCs w:val="20"/>
          <w:lang w:eastAsia="cs-CZ"/>
        </w:rPr>
        <w:t>Kupující nemůže dovolávat záruky na jakost</w:t>
      </w:r>
      <w:r>
        <w:t>.</w:t>
      </w:r>
      <w:r w:rsidR="007A3250">
        <w:t xml:space="preserve"> </w:t>
      </w:r>
      <w:r w:rsidRPr="007A3250">
        <w:rPr>
          <w:rFonts w:eastAsia="Times New Roman" w:cs="Times New Roman"/>
          <w:szCs w:val="20"/>
          <w:lang w:eastAsia="cs-CZ"/>
        </w:rPr>
        <w:t xml:space="preserve">Prodávající se zavazuje Kupujícího informovat a potvrdit mu, že obdržel </w:t>
      </w:r>
      <w:r w:rsidR="007A3250">
        <w:rPr>
          <w:rFonts w:eastAsia="Times New Roman" w:cs="Times New Roman"/>
          <w:szCs w:val="20"/>
          <w:lang w:eastAsia="cs-CZ"/>
        </w:rPr>
        <w:t>O</w:t>
      </w:r>
      <w:r w:rsidRPr="007A3250">
        <w:rPr>
          <w:rFonts w:eastAsia="Times New Roman" w:cs="Times New Roman"/>
          <w:szCs w:val="20"/>
          <w:lang w:eastAsia="cs-CZ"/>
        </w:rPr>
        <w:t xml:space="preserve">hlášení záruční vady, a to obratem po </w:t>
      </w:r>
      <w:r w:rsidR="007A3250">
        <w:rPr>
          <w:rFonts w:eastAsia="Times New Roman" w:cs="Times New Roman"/>
          <w:szCs w:val="20"/>
          <w:lang w:eastAsia="cs-CZ"/>
        </w:rPr>
        <w:t xml:space="preserve">jejího </w:t>
      </w:r>
      <w:r w:rsidRPr="007A3250">
        <w:rPr>
          <w:rFonts w:eastAsia="Times New Roman" w:cs="Times New Roman"/>
          <w:szCs w:val="20"/>
          <w:lang w:eastAsia="cs-CZ"/>
        </w:rPr>
        <w:t>obdržení.</w:t>
      </w:r>
    </w:p>
    <w:p w14:paraId="0FC1F099" w14:textId="5375D011" w:rsidR="00257C34" w:rsidRPr="00AB4719" w:rsidRDefault="004E4CBB" w:rsidP="00257C34">
      <w:pPr>
        <w:pStyle w:val="Odstavecseseznamem"/>
        <w:numPr>
          <w:ilvl w:val="0"/>
          <w:numId w:val="40"/>
        </w:numPr>
      </w:pPr>
      <w:r>
        <w:rPr>
          <w:rFonts w:eastAsia="Times New Roman" w:cs="Times New Roman"/>
          <w:szCs w:val="20"/>
          <w:lang w:eastAsia="cs-CZ"/>
        </w:rPr>
        <w:t>Prodávající</w:t>
      </w:r>
      <w:r w:rsidRPr="004E4CBB">
        <w:rPr>
          <w:rFonts w:eastAsia="Times New Roman" w:cs="Times New Roman"/>
          <w:szCs w:val="20"/>
          <w:lang w:eastAsia="cs-CZ"/>
        </w:rPr>
        <w:t xml:space="preserve"> se zavazuje bez zbytečného odkladu a vzhledem k</w:t>
      </w:r>
      <w:r>
        <w:rPr>
          <w:rFonts w:eastAsia="Times New Roman" w:cs="Times New Roman"/>
          <w:szCs w:val="20"/>
          <w:lang w:eastAsia="cs-CZ"/>
        </w:rPr>
        <w:t xml:space="preserve"> charakteru vad dostavit se na M</w:t>
      </w:r>
      <w:r w:rsidRPr="004E4CBB">
        <w:rPr>
          <w:rFonts w:eastAsia="Times New Roman" w:cs="Times New Roman"/>
          <w:szCs w:val="20"/>
          <w:lang w:eastAsia="cs-CZ"/>
        </w:rPr>
        <w:t>ísto</w:t>
      </w:r>
      <w:r>
        <w:rPr>
          <w:rFonts w:eastAsia="Times New Roman" w:cs="Times New Roman"/>
          <w:szCs w:val="20"/>
          <w:lang w:eastAsia="cs-CZ"/>
        </w:rPr>
        <w:t xml:space="preserve"> dodání</w:t>
      </w:r>
      <w:r w:rsidR="00257C34">
        <w:rPr>
          <w:rFonts w:eastAsia="Times New Roman" w:cs="Times New Roman"/>
          <w:szCs w:val="20"/>
          <w:lang w:eastAsia="cs-CZ"/>
        </w:rPr>
        <w:t xml:space="preserve"> a </w:t>
      </w:r>
      <w:r w:rsidRPr="004E4CBB">
        <w:rPr>
          <w:rFonts w:eastAsia="Times New Roman" w:cs="Times New Roman"/>
          <w:szCs w:val="20"/>
          <w:lang w:eastAsia="cs-CZ"/>
        </w:rPr>
        <w:t>posoudit druh vady</w:t>
      </w:r>
      <w:r w:rsidR="00257C34">
        <w:rPr>
          <w:rFonts w:eastAsia="Times New Roman" w:cs="Times New Roman"/>
          <w:szCs w:val="20"/>
          <w:lang w:eastAsia="cs-CZ"/>
        </w:rPr>
        <w:t xml:space="preserve">. </w:t>
      </w:r>
      <w:r w:rsidR="00257C34">
        <w:t xml:space="preserve">V případě, že bude vada shledána jako vada záruční, je Prodávající vadné Zboží či jeho část povinen nahradit jiným </w:t>
      </w:r>
      <w:r w:rsidR="00257C34" w:rsidRPr="00AB4719">
        <w:t xml:space="preserve">bezvadným. </w:t>
      </w:r>
      <w:r w:rsidRPr="00AB4719">
        <w:rPr>
          <w:rFonts w:eastAsia="Times New Roman" w:cs="Times New Roman"/>
          <w:szCs w:val="20"/>
          <w:lang w:eastAsia="cs-CZ"/>
        </w:rPr>
        <w:t xml:space="preserve">Výměna části Zboží bude provedena bezúplatně, Kupující je však povinen uhradit náklady spojené s výměnou – montáž, demontáž a dopravu. </w:t>
      </w:r>
    </w:p>
    <w:p w14:paraId="2C345F1F" w14:textId="77777777" w:rsidR="004E4CBB" w:rsidRDefault="004E4CBB" w:rsidP="004E4CBB">
      <w:pPr>
        <w:numPr>
          <w:ilvl w:val="0"/>
          <w:numId w:val="40"/>
        </w:numPr>
        <w:spacing w:before="120" w:after="0"/>
      </w:pPr>
      <w:r w:rsidRPr="004E4CBB">
        <w:rPr>
          <w:rFonts w:eastAsia="Times New Roman" w:cs="Times New Roman"/>
          <w:szCs w:val="20"/>
          <w:lang w:eastAsia="cs-CZ"/>
        </w:rPr>
        <w:t xml:space="preserve">V případě, že vada bude shledána jako vada nezáruční, provede </w:t>
      </w:r>
      <w:r>
        <w:rPr>
          <w:rFonts w:eastAsia="Times New Roman" w:cs="Times New Roman"/>
          <w:szCs w:val="20"/>
          <w:lang w:eastAsia="cs-CZ"/>
        </w:rPr>
        <w:t>Prodávající</w:t>
      </w:r>
      <w:r w:rsidRPr="004E4CBB">
        <w:rPr>
          <w:rFonts w:eastAsia="Times New Roman" w:cs="Times New Roman"/>
          <w:szCs w:val="20"/>
          <w:lang w:eastAsia="cs-CZ"/>
        </w:rPr>
        <w:t xml:space="preserve"> odstranění nahlášené vady za úplatu, výše úplaty bude Smluvními stranami sjednána před započetím opravy. </w:t>
      </w:r>
    </w:p>
    <w:p w14:paraId="2990F53A" w14:textId="4FA4113F" w:rsidR="004E4CBB" w:rsidRPr="0046352A" w:rsidRDefault="004E4CBB" w:rsidP="004E4CBB">
      <w:pPr>
        <w:numPr>
          <w:ilvl w:val="0"/>
          <w:numId w:val="40"/>
        </w:numPr>
        <w:spacing w:before="120" w:after="0"/>
      </w:pPr>
      <w:r w:rsidRPr="004E4CBB">
        <w:rPr>
          <w:rFonts w:eastAsia="Times New Roman" w:cs="Times New Roman"/>
          <w:szCs w:val="20"/>
          <w:lang w:eastAsia="cs-CZ"/>
        </w:rPr>
        <w:t xml:space="preserve">Pozáruční servis bude </w:t>
      </w:r>
      <w:r>
        <w:rPr>
          <w:rFonts w:eastAsia="Times New Roman" w:cs="Times New Roman"/>
          <w:szCs w:val="20"/>
          <w:lang w:eastAsia="cs-CZ"/>
        </w:rPr>
        <w:t>Prodávajícím</w:t>
      </w:r>
      <w:r w:rsidRPr="004E4CBB">
        <w:rPr>
          <w:rFonts w:eastAsia="Times New Roman" w:cs="Times New Roman"/>
          <w:szCs w:val="20"/>
          <w:lang w:eastAsia="cs-CZ"/>
        </w:rPr>
        <w:t xml:space="preserve"> prováděn na základě žádosti </w:t>
      </w:r>
      <w:r>
        <w:rPr>
          <w:rFonts w:eastAsia="Times New Roman" w:cs="Times New Roman"/>
          <w:szCs w:val="20"/>
          <w:lang w:eastAsia="cs-CZ"/>
        </w:rPr>
        <w:t>Kupujícího</w:t>
      </w:r>
      <w:r w:rsidRPr="004E4CBB">
        <w:rPr>
          <w:rFonts w:eastAsia="Times New Roman" w:cs="Times New Roman"/>
          <w:szCs w:val="20"/>
          <w:lang w:eastAsia="cs-CZ"/>
        </w:rPr>
        <w:t xml:space="preserve"> za ceny, které si Smluvní strany sjednají pro každý konkrétní případ individuálně. </w:t>
      </w:r>
    </w:p>
    <w:p w14:paraId="56F0D268" w14:textId="77777777" w:rsidR="00257C34" w:rsidRDefault="00257C34" w:rsidP="00B96134">
      <w:pPr>
        <w:pStyle w:val="lnekislovannew"/>
      </w:pPr>
    </w:p>
    <w:p w14:paraId="6FC4CD19" w14:textId="77777777" w:rsidR="00257C34" w:rsidRDefault="00257C34" w:rsidP="00257C34">
      <w:pPr>
        <w:pStyle w:val="Nadpis1"/>
      </w:pPr>
      <w:r w:rsidRPr="00257C34">
        <w:t>UJEDNÁNÍ O LIMITACI NÁHRADY ŠKODY</w:t>
      </w:r>
    </w:p>
    <w:p w14:paraId="6BFD38CE" w14:textId="77777777" w:rsidR="00257C34" w:rsidRDefault="00257C34" w:rsidP="00257C34">
      <w:pPr>
        <w:pStyle w:val="Odstavecseseznamem"/>
        <w:numPr>
          <w:ilvl w:val="0"/>
          <w:numId w:val="29"/>
        </w:numPr>
      </w:pPr>
      <w:r w:rsidRPr="00281DEB">
        <w:t>Smluvní strany sjednávají, že jakékoli vzájemné nároky z titulu škody vzniklých na základě výše uvedeného smluvního vztahu mohou být navzájem uplatněny do maximální výše 50.000 Kč.</w:t>
      </w:r>
    </w:p>
    <w:p w14:paraId="48A7583C" w14:textId="77777777" w:rsidR="00257C34" w:rsidRPr="00C10598" w:rsidRDefault="00257C34" w:rsidP="00C10598">
      <w:pPr>
        <w:rPr>
          <w:highlight w:val="yellow"/>
        </w:rPr>
      </w:pPr>
    </w:p>
    <w:p w14:paraId="155F03FD" w14:textId="77777777" w:rsidR="008128A1" w:rsidRDefault="008128A1" w:rsidP="00AB64EF">
      <w:pPr>
        <w:pStyle w:val="lnekislovannew"/>
      </w:pPr>
    </w:p>
    <w:p w14:paraId="7928C16C" w14:textId="77777777" w:rsidR="008128A1" w:rsidRDefault="008128A1" w:rsidP="00CC52E4">
      <w:pPr>
        <w:pStyle w:val="Nadpis1"/>
      </w:pPr>
      <w:r>
        <w:t>DALŠÍ UJEDNÁNÍ</w:t>
      </w:r>
    </w:p>
    <w:p w14:paraId="2B913523" w14:textId="77777777" w:rsidR="00BB5FC4" w:rsidRPr="00AB4719" w:rsidRDefault="008128A1" w:rsidP="00BB5FC4">
      <w:pPr>
        <w:pStyle w:val="Odstavecseseznamem"/>
        <w:numPr>
          <w:ilvl w:val="0"/>
          <w:numId w:val="11"/>
        </w:numPr>
      </w:pPr>
      <w:r w:rsidRPr="009F0971">
        <w:t xml:space="preserve">Smlouvu je možné měnit či doplňovat pouze formou písemných číslovaných dodatků. Žádné změny </w:t>
      </w:r>
      <w:r w:rsidRPr="00AB4719">
        <w:t xml:space="preserve">nebo úpravy této </w:t>
      </w:r>
      <w:r w:rsidR="00E831BA" w:rsidRPr="00AB4719">
        <w:t>S</w:t>
      </w:r>
      <w:r w:rsidRPr="00AB4719">
        <w:t xml:space="preserve">mlouvy nenabydou účinnosti, pokud nebudou učiněny písemně a řádně podepsány oběma Smluvními stranami. Za písemnou formu se pro tento účel nepovažuje výměna e-mailových či jiných elektronických zpráv. Změna této </w:t>
      </w:r>
      <w:r w:rsidR="00E831BA" w:rsidRPr="00AB4719">
        <w:t>S</w:t>
      </w:r>
      <w:r w:rsidRPr="00AB4719">
        <w:t xml:space="preserve">mlouvy jakoukoli </w:t>
      </w:r>
      <w:proofErr w:type="gramStart"/>
      <w:r w:rsidRPr="00AB4719">
        <w:t>jinou</w:t>
      </w:r>
      <w:proofErr w:type="gramEnd"/>
      <w:r w:rsidRPr="00AB4719">
        <w:t xml:space="preserve"> než písemnou formou se vylučuje.</w:t>
      </w:r>
    </w:p>
    <w:p w14:paraId="7CB03E94" w14:textId="77777777" w:rsidR="00BB5FC4" w:rsidRDefault="00BB5FC4" w:rsidP="00BB5FC4">
      <w:pPr>
        <w:pStyle w:val="Odstavecseseznamem"/>
        <w:numPr>
          <w:ilvl w:val="0"/>
          <w:numId w:val="11"/>
        </w:numPr>
      </w:pPr>
      <w:r>
        <w:t xml:space="preserve">V případě, že některé ustanovení této </w:t>
      </w:r>
      <w:r w:rsidR="00E831BA">
        <w:t>S</w:t>
      </w:r>
      <w:r>
        <w:t xml:space="preserve">mlouvy je nebo se stane neplatné a neúčinné, zůstávají ostatní ustanovení Smlouvy platná a účinná. Smluvní strany se zavazují nahradit neplatné a neúčinné ustanovení této </w:t>
      </w:r>
      <w:r w:rsidR="00E831BA">
        <w:t>S</w:t>
      </w:r>
      <w:r>
        <w:t>mlouvy ustanovením jiným, platným a účinným, které svým obsahem a smyslem odpovídá nejlépe obsahu a smyslu ustanovení původního, neplatného a neúčinného.</w:t>
      </w:r>
    </w:p>
    <w:p w14:paraId="6054E21E" w14:textId="5B8676E4" w:rsidR="00B60EBE" w:rsidRPr="00AB4719" w:rsidRDefault="00B60EBE" w:rsidP="00BB5FC4">
      <w:pPr>
        <w:pStyle w:val="Odstavecseseznamem"/>
        <w:numPr>
          <w:ilvl w:val="0"/>
          <w:numId w:val="11"/>
        </w:numPr>
      </w:pPr>
      <w:r>
        <w:t>Za účelem vzájemné komunikace (předá</w:t>
      </w:r>
      <w:r w:rsidR="00B96134">
        <w:t xml:space="preserve">ní prostor; předání a převzetí </w:t>
      </w:r>
      <w:proofErr w:type="gramStart"/>
      <w:r w:rsidR="00B96134">
        <w:t>Zboží,</w:t>
      </w:r>
      <w:proofErr w:type="gramEnd"/>
      <w:r w:rsidR="00B96134">
        <w:t xml:space="preserve"> apod.) mezi sebou S</w:t>
      </w:r>
      <w:r>
        <w:t xml:space="preserve">mluvní strany prohlašují, že za písemnou formu komunikace považují i emailovou komunikaci, která </w:t>
      </w:r>
      <w:r w:rsidRPr="00AB4719">
        <w:t>bude probíhat výhradně na níže uvedených mailech příslušných oprávněných osob, nebude-li v konkrétním případě stanoveno jinak.</w:t>
      </w:r>
    </w:p>
    <w:p w14:paraId="337384B9" w14:textId="1C3BA9A2" w:rsidR="00B60EBE" w:rsidRPr="00AB4719" w:rsidRDefault="00B60EBE" w:rsidP="00B60EBE">
      <w:pPr>
        <w:pStyle w:val="Odstavecseseznamem"/>
        <w:numPr>
          <w:ilvl w:val="1"/>
          <w:numId w:val="11"/>
        </w:numPr>
      </w:pPr>
      <w:r w:rsidRPr="00AB4719">
        <w:t xml:space="preserve">Email Prodávajícího: </w:t>
      </w:r>
      <w:r w:rsidR="00CE7FB9">
        <w:t>XXXXXXXX</w:t>
      </w:r>
    </w:p>
    <w:p w14:paraId="71B76F4B" w14:textId="22B556AE" w:rsidR="00B60EBE" w:rsidRDefault="00B60EBE" w:rsidP="00B60EBE">
      <w:pPr>
        <w:pStyle w:val="Odstavecseseznamem"/>
        <w:numPr>
          <w:ilvl w:val="1"/>
          <w:numId w:val="11"/>
        </w:numPr>
      </w:pPr>
      <w:r>
        <w:t>Email Kupujícího:</w:t>
      </w:r>
      <w:r w:rsidR="00FD06DE">
        <w:t xml:space="preserve"> </w:t>
      </w:r>
      <w:r w:rsidR="00CE7FB9">
        <w:t>XXXXXXXXX</w:t>
      </w:r>
      <w:bookmarkStart w:id="0" w:name="_GoBack"/>
      <w:bookmarkEnd w:id="0"/>
    </w:p>
    <w:p w14:paraId="4A25D9B6" w14:textId="77777777" w:rsidR="00A84E4A" w:rsidRDefault="00DE68AB" w:rsidP="008128A1">
      <w:pPr>
        <w:pStyle w:val="Odstavecseseznamem"/>
        <w:numPr>
          <w:ilvl w:val="0"/>
          <w:numId w:val="11"/>
        </w:numPr>
      </w:pPr>
      <w:r>
        <w:t>Smluvní strany sjednávají zákaz započtení nároku Kupujícího na smluvní pokutu dle této Smlouvy vůči nároku Kupujícího na zaplacení Kupní ceny či její části, popř. nároku na zaplacení smluvní pokuty či její části dle této Smlouvy.</w:t>
      </w:r>
    </w:p>
    <w:p w14:paraId="1E4441FA" w14:textId="291DE55F" w:rsidR="008128A1" w:rsidRDefault="008128A1" w:rsidP="008128A1">
      <w:pPr>
        <w:pStyle w:val="Odstavecseseznamem"/>
        <w:numPr>
          <w:ilvl w:val="0"/>
          <w:numId w:val="11"/>
        </w:numPr>
      </w:pPr>
      <w:r>
        <w:t>Jakékoliv neplnění, nebo zpoždění př</w:t>
      </w:r>
      <w:r w:rsidR="00BB5FC4">
        <w:t xml:space="preserve">i plnění kterékoliv části této </w:t>
      </w:r>
      <w:r w:rsidR="00E831BA">
        <w:t>S</w:t>
      </w:r>
      <w:r>
        <w:t xml:space="preserve">mlouvy </w:t>
      </w:r>
      <w:r w:rsidR="00BB5FC4">
        <w:t xml:space="preserve">nepředstavuje porušení </w:t>
      </w:r>
      <w:r w:rsidR="00E831BA">
        <w:t>S</w:t>
      </w:r>
      <w:r>
        <w:t>mlouvy a nevede ke vzniku jakéhokoliv nároku na odškodnění, pokud k němu dojde během trvání zásahu vyšší moci a v rozsahu, ve kterém je zpoždění nebo neplnění zaviněno tímto zásahem vyšší moci. Dotčená strana musí druhé straně do 48 hodin od okamžiku, kdy se o takovém zásahu dověděla, zasla</w:t>
      </w:r>
      <w:r w:rsidR="009D7A8E">
        <w:t>t sdělení o takovéto události s </w:t>
      </w:r>
      <w:r>
        <w:t>veškerými údaji o tomto zásahu vyšší moci a konkrétními závazky, které tím budou</w:t>
      </w:r>
      <w:r w:rsidR="00BB5FC4">
        <w:t xml:space="preserve"> dotčeny. Strana, jejíž plnění </w:t>
      </w:r>
      <w:r w:rsidR="00E831BA">
        <w:t>S</w:t>
      </w:r>
      <w:r>
        <w:t>mlouvy je zpožděno nebo znemožněno, bezodkladně použije přiměřené úsilí pro zmírnění následků tohoto zásahu vyšší moci a napr</w:t>
      </w:r>
      <w:r w:rsidR="009D7A8E">
        <w:t>aví tyto následky co nejdříve a </w:t>
      </w:r>
      <w:r w:rsidR="004F4354">
        <w:t xml:space="preserve">obnoví plnění této </w:t>
      </w:r>
      <w:r w:rsidR="00E831BA">
        <w:t>S</w:t>
      </w:r>
      <w:r>
        <w:t>mlouvy, jakmile to bude možné po skončení zásahu vyšší moci.</w:t>
      </w:r>
    </w:p>
    <w:p w14:paraId="3BA3DED3" w14:textId="77777777" w:rsidR="008128A1" w:rsidRDefault="008128A1" w:rsidP="008128A1"/>
    <w:p w14:paraId="37A2AB33" w14:textId="77777777" w:rsidR="003F7E79" w:rsidRDefault="003F7E79" w:rsidP="008128A1"/>
    <w:p w14:paraId="3C02B5DC" w14:textId="60BA381B" w:rsidR="00131DC0" w:rsidRDefault="00131DC0" w:rsidP="00131DC0">
      <w:pPr>
        <w:pStyle w:val="Odstavecseseznamem"/>
        <w:numPr>
          <w:ilvl w:val="0"/>
          <w:numId w:val="0"/>
        </w:numPr>
        <w:ind w:left="360"/>
      </w:pPr>
    </w:p>
    <w:p w14:paraId="6307533A" w14:textId="2B10B5BB" w:rsidR="00AB4719" w:rsidRDefault="00AB4719" w:rsidP="00131DC0">
      <w:pPr>
        <w:pStyle w:val="Odstavecseseznamem"/>
        <w:numPr>
          <w:ilvl w:val="0"/>
          <w:numId w:val="0"/>
        </w:numPr>
        <w:ind w:left="360"/>
      </w:pPr>
    </w:p>
    <w:p w14:paraId="3B18A2B9" w14:textId="77777777" w:rsidR="00AB4719" w:rsidRPr="00131DC0" w:rsidRDefault="00AB4719" w:rsidP="00131DC0">
      <w:pPr>
        <w:pStyle w:val="Odstavecseseznamem"/>
        <w:numPr>
          <w:ilvl w:val="0"/>
          <w:numId w:val="0"/>
        </w:numPr>
        <w:ind w:left="360"/>
      </w:pPr>
    </w:p>
    <w:p w14:paraId="4F079DDA" w14:textId="77777777" w:rsidR="00131DC0" w:rsidRPr="00625570" w:rsidRDefault="00131DC0" w:rsidP="00131DC0">
      <w:pPr>
        <w:pStyle w:val="lnekislovannew"/>
        <w:spacing w:before="0" w:line="288" w:lineRule="auto"/>
        <w:rPr>
          <w:rFonts w:cstheme="minorHAnsi"/>
          <w:szCs w:val="24"/>
        </w:rPr>
      </w:pPr>
    </w:p>
    <w:p w14:paraId="723F815E" w14:textId="77777777" w:rsidR="00131DC0" w:rsidRPr="00625570" w:rsidRDefault="00131DC0" w:rsidP="00131DC0">
      <w:pPr>
        <w:pStyle w:val="Nadpis1"/>
        <w:spacing w:before="0" w:line="288" w:lineRule="auto"/>
        <w:rPr>
          <w:rFonts w:cstheme="minorHAnsi"/>
          <w:szCs w:val="24"/>
        </w:rPr>
      </w:pPr>
      <w:r w:rsidRPr="00625570">
        <w:rPr>
          <w:rFonts w:cstheme="minorHAnsi"/>
          <w:szCs w:val="24"/>
        </w:rPr>
        <w:t>NAKLÁDÁNÍ S DŮVĚRNÝMI INFORMACEMI</w:t>
      </w:r>
    </w:p>
    <w:p w14:paraId="0952F6CD" w14:textId="297E86AD" w:rsidR="00131DC0" w:rsidRPr="00625570" w:rsidRDefault="00131DC0" w:rsidP="00131DC0">
      <w:pPr>
        <w:pStyle w:val="Odstavecseseznamem"/>
        <w:numPr>
          <w:ilvl w:val="0"/>
          <w:numId w:val="34"/>
        </w:numPr>
        <w:spacing w:before="0" w:after="120"/>
        <w:ind w:left="426"/>
        <w:rPr>
          <w:rFonts w:cstheme="minorHAnsi"/>
          <w:szCs w:val="24"/>
        </w:rPr>
      </w:pPr>
      <w:r w:rsidRPr="00625570">
        <w:rPr>
          <w:rFonts w:cstheme="minorHAnsi"/>
          <w:szCs w:val="24"/>
        </w:rPr>
        <w:t xml:space="preserve">Smluvní strany konstatují, že za důvěrné považují informace poskytnuté některou ze Smluvních stran v souvislosti </w:t>
      </w:r>
      <w:r>
        <w:rPr>
          <w:rFonts w:cstheme="minorHAnsi"/>
          <w:szCs w:val="24"/>
        </w:rPr>
        <w:t>s dodáním Zboží</w:t>
      </w:r>
      <w:r w:rsidRPr="00625570">
        <w:rPr>
          <w:rFonts w:cstheme="minorHAnsi"/>
          <w:szCs w:val="24"/>
        </w:rPr>
        <w:t>, které splňují současně tato kritéria:</w:t>
      </w:r>
    </w:p>
    <w:p w14:paraId="4ED2CF7E" w14:textId="77777777" w:rsidR="00131DC0" w:rsidRPr="00625570" w:rsidRDefault="00131DC0" w:rsidP="00131DC0">
      <w:pPr>
        <w:pStyle w:val="Odstavecseseznamem"/>
        <w:numPr>
          <w:ilvl w:val="1"/>
          <w:numId w:val="34"/>
        </w:numPr>
        <w:spacing w:before="0" w:after="120"/>
        <w:ind w:left="1134"/>
        <w:rPr>
          <w:rFonts w:cstheme="minorHAnsi"/>
          <w:szCs w:val="24"/>
        </w:rPr>
      </w:pPr>
      <w:r w:rsidRPr="00625570">
        <w:rPr>
          <w:rFonts w:cstheme="minorHAnsi"/>
          <w:szCs w:val="24"/>
        </w:rPr>
        <w:t>jde o informaci poskytnutou v ústní nebo v písemné formě, zejména informaci, kterou se Smluvní strany dozvěděly v souvislosti s</w:t>
      </w:r>
      <w:r>
        <w:rPr>
          <w:rFonts w:cstheme="minorHAnsi"/>
          <w:szCs w:val="24"/>
        </w:rPr>
        <w:t> dodáním Zboží</w:t>
      </w:r>
      <w:r w:rsidRPr="00625570">
        <w:rPr>
          <w:rFonts w:cstheme="minorHAnsi"/>
          <w:szCs w:val="24"/>
        </w:rPr>
        <w:t>, a</w:t>
      </w:r>
    </w:p>
    <w:p w14:paraId="086EF762" w14:textId="77777777" w:rsidR="00131DC0" w:rsidRPr="00625570" w:rsidRDefault="00131DC0" w:rsidP="00131DC0">
      <w:pPr>
        <w:pStyle w:val="Odstavecseseznamem"/>
        <w:numPr>
          <w:ilvl w:val="1"/>
          <w:numId w:val="34"/>
        </w:numPr>
        <w:spacing w:before="0" w:after="120"/>
        <w:ind w:left="1134"/>
        <w:rPr>
          <w:rFonts w:cstheme="minorHAnsi"/>
          <w:szCs w:val="24"/>
        </w:rPr>
      </w:pPr>
      <w:r w:rsidRPr="00625570">
        <w:rPr>
          <w:rFonts w:cstheme="minorHAnsi"/>
          <w:szCs w:val="24"/>
        </w:rPr>
        <w:t>jde o informaci, kterou lze označit za skutečnost konkurenčně významnou, určitelnou, ocenitelnou a v příslušných kruzích běžně nedostupnou, která má být podle jejich původce či majitele utajena.</w:t>
      </w:r>
    </w:p>
    <w:p w14:paraId="24151F94" w14:textId="77777777" w:rsidR="00131DC0" w:rsidRPr="00625570" w:rsidRDefault="00131DC0" w:rsidP="00131DC0">
      <w:pPr>
        <w:pStyle w:val="Odstavecseseznamem"/>
        <w:numPr>
          <w:ilvl w:val="0"/>
          <w:numId w:val="34"/>
        </w:numPr>
        <w:spacing w:before="0" w:after="120"/>
        <w:ind w:left="426" w:hanging="284"/>
        <w:rPr>
          <w:rFonts w:cstheme="minorHAnsi"/>
          <w:szCs w:val="24"/>
        </w:rPr>
      </w:pPr>
      <w:r w:rsidRPr="00625570">
        <w:rPr>
          <w:rFonts w:cstheme="minorHAnsi"/>
          <w:szCs w:val="24"/>
        </w:rPr>
        <w:t>Za důvěrné se rovněž považují ty informace, které jsou takto výslovně označeny. K tomuto označení postačí vyznačení nápisu „důvěrné“ např. na obal nosiče informací, do e-mailu, na faxovou zprávu, či jinou písemnost.</w:t>
      </w:r>
    </w:p>
    <w:p w14:paraId="5969345A" w14:textId="77777777" w:rsidR="00131DC0" w:rsidRPr="00625570" w:rsidRDefault="00131DC0" w:rsidP="00131DC0">
      <w:pPr>
        <w:pStyle w:val="Odstavecseseznamem"/>
        <w:numPr>
          <w:ilvl w:val="0"/>
          <w:numId w:val="34"/>
        </w:numPr>
        <w:spacing w:before="0" w:after="120"/>
        <w:ind w:left="426" w:hanging="284"/>
        <w:rPr>
          <w:rFonts w:cstheme="minorHAnsi"/>
          <w:szCs w:val="24"/>
        </w:rPr>
      </w:pPr>
      <w:r w:rsidRPr="00625570">
        <w:rPr>
          <w:rFonts w:cstheme="minorHAnsi"/>
          <w:szCs w:val="24"/>
        </w:rPr>
        <w:t>Ochrany na základě tohoto článku nepožívají informace</w:t>
      </w:r>
    </w:p>
    <w:p w14:paraId="340A3464" w14:textId="77777777" w:rsidR="00131DC0" w:rsidRPr="00625570" w:rsidRDefault="00131DC0" w:rsidP="00131DC0">
      <w:pPr>
        <w:pStyle w:val="Odstavecseseznamem"/>
        <w:numPr>
          <w:ilvl w:val="1"/>
          <w:numId w:val="34"/>
        </w:numPr>
        <w:spacing w:before="0" w:after="120"/>
        <w:ind w:left="1134"/>
        <w:rPr>
          <w:rFonts w:cstheme="minorHAnsi"/>
          <w:szCs w:val="24"/>
        </w:rPr>
      </w:pPr>
      <w:r w:rsidRPr="00625570">
        <w:rPr>
          <w:rFonts w:cstheme="minorHAnsi"/>
          <w:szCs w:val="24"/>
        </w:rPr>
        <w:t>které se staly veřejně přístupnými, pokud se tak nestalo poruš</w:t>
      </w:r>
      <w:r>
        <w:rPr>
          <w:rFonts w:cstheme="minorHAnsi"/>
          <w:szCs w:val="24"/>
        </w:rPr>
        <w:t>ením povinnosti jejich ochrany s</w:t>
      </w:r>
      <w:r w:rsidRPr="00625570">
        <w:rPr>
          <w:rFonts w:cstheme="minorHAnsi"/>
          <w:szCs w:val="24"/>
        </w:rPr>
        <w:t xml:space="preserve">mluvní stranou, </w:t>
      </w:r>
    </w:p>
    <w:p w14:paraId="0688B60D" w14:textId="77777777" w:rsidR="00131DC0" w:rsidRPr="00625570" w:rsidRDefault="00131DC0" w:rsidP="00131DC0">
      <w:pPr>
        <w:pStyle w:val="Odstavecseseznamem"/>
        <w:numPr>
          <w:ilvl w:val="1"/>
          <w:numId w:val="34"/>
        </w:numPr>
        <w:spacing w:before="0" w:after="120"/>
        <w:ind w:left="1134"/>
        <w:rPr>
          <w:rFonts w:cstheme="minorHAnsi"/>
          <w:szCs w:val="24"/>
        </w:rPr>
      </w:pPr>
      <w:r>
        <w:rPr>
          <w:rFonts w:cstheme="minorHAnsi"/>
          <w:szCs w:val="24"/>
        </w:rPr>
        <w:t>dále informace získané s</w:t>
      </w:r>
      <w:r w:rsidRPr="00625570">
        <w:rPr>
          <w:rFonts w:cstheme="minorHAnsi"/>
          <w:szCs w:val="24"/>
        </w:rPr>
        <w:t xml:space="preserve">mluvní stranou na základě postupu nezávislého na Smlouvě a spoluprací jí založenou, pokud je Smluvní strana schopna tuto skutečnost doložit, a </w:t>
      </w:r>
    </w:p>
    <w:p w14:paraId="45BCBC68" w14:textId="77777777" w:rsidR="00131DC0" w:rsidRPr="00625570" w:rsidRDefault="00131DC0" w:rsidP="00131DC0">
      <w:pPr>
        <w:pStyle w:val="Odstavecseseznamem"/>
        <w:numPr>
          <w:ilvl w:val="1"/>
          <w:numId w:val="34"/>
        </w:numPr>
        <w:spacing w:before="0" w:after="120"/>
        <w:ind w:left="1134"/>
        <w:rPr>
          <w:rFonts w:cstheme="minorHAnsi"/>
          <w:szCs w:val="24"/>
        </w:rPr>
      </w:pPr>
      <w:r w:rsidRPr="00625570">
        <w:rPr>
          <w:rFonts w:cstheme="minorHAnsi"/>
          <w:szCs w:val="24"/>
        </w:rPr>
        <w:t>informace poskytnuté třetí osobou, která takové informace nezískala porušením povinnosti jejich ochrany.</w:t>
      </w:r>
    </w:p>
    <w:p w14:paraId="7494B7A5" w14:textId="77777777" w:rsidR="00131DC0" w:rsidRPr="00625570" w:rsidRDefault="00131DC0" w:rsidP="00131DC0">
      <w:pPr>
        <w:pStyle w:val="Odstavecseseznamem"/>
        <w:numPr>
          <w:ilvl w:val="0"/>
          <w:numId w:val="34"/>
        </w:numPr>
        <w:spacing w:before="0" w:after="120"/>
        <w:ind w:left="426" w:hanging="284"/>
        <w:rPr>
          <w:rFonts w:cstheme="minorHAnsi"/>
          <w:szCs w:val="24"/>
        </w:rPr>
      </w:pPr>
      <w:r>
        <w:rPr>
          <w:rFonts w:cstheme="minorHAnsi"/>
          <w:szCs w:val="24"/>
        </w:rPr>
        <w:t>Obě s</w:t>
      </w:r>
      <w:r w:rsidRPr="00625570">
        <w:rPr>
          <w:rFonts w:cstheme="minorHAnsi"/>
          <w:szCs w:val="24"/>
        </w:rPr>
        <w:t>mluvní strany se zavazují tyto informace držet v tajnosti, bez souhlasu dru</w:t>
      </w:r>
      <w:r>
        <w:rPr>
          <w:rFonts w:cstheme="minorHAnsi"/>
          <w:szCs w:val="24"/>
        </w:rPr>
        <w:t>hé s</w:t>
      </w:r>
      <w:r w:rsidRPr="00625570">
        <w:rPr>
          <w:rFonts w:cstheme="minorHAnsi"/>
          <w:szCs w:val="24"/>
        </w:rPr>
        <w:t>mluvní strany, které se tyto informace týkají, je nezpřístupnit ani neumožnit jejich zpřístupnění třetí osobě ani osobám, a to ani v důsledku nedbalosti. Dále se Smluvní strany zavazují, že budou tyto informace využívat pouze k účelu, ke kterému jim ty</w:t>
      </w:r>
      <w:r>
        <w:rPr>
          <w:rFonts w:cstheme="minorHAnsi"/>
          <w:szCs w:val="24"/>
        </w:rPr>
        <w:t>to informace byly druhou s</w:t>
      </w:r>
      <w:r w:rsidRPr="00625570">
        <w:rPr>
          <w:rFonts w:cstheme="minorHAnsi"/>
          <w:szCs w:val="24"/>
        </w:rPr>
        <w:t>mluvní stranou poskytnuty. Smluvní strany jsou povinny seznámit své pověřené pracovníky, kteří by se mohli dostat do styku s důvěrnými informacemi, s režimem nakládání s důvěrnými informacemi.</w:t>
      </w:r>
    </w:p>
    <w:p w14:paraId="08563B4B" w14:textId="77777777" w:rsidR="00131DC0" w:rsidRDefault="00131DC0" w:rsidP="00131DC0">
      <w:pPr>
        <w:pStyle w:val="Odstavecseseznamem"/>
        <w:numPr>
          <w:ilvl w:val="0"/>
          <w:numId w:val="34"/>
        </w:numPr>
        <w:spacing w:before="0" w:after="120"/>
        <w:ind w:left="426" w:hanging="284"/>
        <w:rPr>
          <w:rFonts w:cstheme="minorHAnsi"/>
          <w:szCs w:val="24"/>
        </w:rPr>
      </w:pPr>
      <w:r w:rsidRPr="00625570">
        <w:rPr>
          <w:rFonts w:cstheme="minorHAnsi"/>
          <w:szCs w:val="24"/>
        </w:rPr>
        <w:t>Smluvní závazky týkající se ochrany důvěrných informací nezanikají ani v případě ukončení spolupráce na základě této Smlouvy. Povinnost ochrany důvěrných informací trvá po celou dobu jejich existence, případně do doby jejich zveřejnění či publikace.</w:t>
      </w:r>
    </w:p>
    <w:p w14:paraId="5433A7F1" w14:textId="4F32F311" w:rsidR="00A67915" w:rsidRDefault="00A67915" w:rsidP="00131DC0">
      <w:pPr>
        <w:pStyle w:val="Odstavecseseznamem"/>
        <w:numPr>
          <w:ilvl w:val="0"/>
          <w:numId w:val="34"/>
        </w:numPr>
        <w:spacing w:before="0" w:after="120"/>
        <w:ind w:left="426" w:hanging="284"/>
        <w:rPr>
          <w:rFonts w:cstheme="minorHAnsi"/>
          <w:szCs w:val="24"/>
        </w:rPr>
      </w:pPr>
      <w:r>
        <w:rPr>
          <w:rFonts w:cstheme="minorHAnsi"/>
          <w:szCs w:val="24"/>
        </w:rPr>
        <w:t xml:space="preserve">Smluvní strany jsou srozuměni s tím, že tato smlouva bude zveřejněna v registru smluv dle příslušných zákonných ustanovení. </w:t>
      </w:r>
    </w:p>
    <w:p w14:paraId="025B8DA0" w14:textId="77777777" w:rsidR="00D739F1" w:rsidRPr="00131DC0" w:rsidRDefault="00D739F1" w:rsidP="00083AC6">
      <w:pPr>
        <w:pStyle w:val="Odstavecseseznamem"/>
        <w:numPr>
          <w:ilvl w:val="0"/>
          <w:numId w:val="0"/>
        </w:numPr>
        <w:spacing w:before="0" w:after="120"/>
        <w:ind w:left="426"/>
        <w:rPr>
          <w:rFonts w:cstheme="minorHAnsi"/>
          <w:szCs w:val="24"/>
        </w:rPr>
      </w:pPr>
    </w:p>
    <w:p w14:paraId="6F2D5395" w14:textId="77777777" w:rsidR="00D76DFE" w:rsidRDefault="00D76DFE" w:rsidP="00D76DFE">
      <w:pPr>
        <w:pStyle w:val="lnekislovannew"/>
        <w:ind w:left="0" w:firstLine="0"/>
      </w:pPr>
    </w:p>
    <w:p w14:paraId="38EC62D5" w14:textId="77777777" w:rsidR="00D76DFE" w:rsidRDefault="00D76DFE" w:rsidP="00D76DFE">
      <w:pPr>
        <w:pStyle w:val="Nadpis1"/>
      </w:pPr>
      <w:r>
        <w:t>VOLBA PRÁVA, SUDIŠTĚ</w:t>
      </w:r>
    </w:p>
    <w:p w14:paraId="5F9847D7" w14:textId="610717BE" w:rsidR="00D76DFE" w:rsidRDefault="00D76DFE" w:rsidP="00D76DFE">
      <w:pPr>
        <w:pStyle w:val="Odstavecseseznamem"/>
        <w:numPr>
          <w:ilvl w:val="0"/>
          <w:numId w:val="4"/>
        </w:numPr>
      </w:pPr>
      <w:r w:rsidRPr="00EF49A5">
        <w:t>Smluvní</w:t>
      </w:r>
      <w:r w:rsidR="005F1343">
        <w:t xml:space="preserve"> strany se dohodly, že tato S</w:t>
      </w:r>
      <w:r>
        <w:t>mlouva se řídí českým právem.</w:t>
      </w:r>
    </w:p>
    <w:p w14:paraId="7008E15D" w14:textId="77777777" w:rsidR="008128A1" w:rsidRDefault="00D76DFE" w:rsidP="008128A1">
      <w:pPr>
        <w:pStyle w:val="Odstavecseseznamem"/>
        <w:numPr>
          <w:ilvl w:val="0"/>
          <w:numId w:val="4"/>
        </w:numPr>
      </w:pPr>
      <w:r>
        <w:t xml:space="preserve">Smluvní strany se dohodly, že veškeré spory vzniklé v souvislosti s touto Smlouvou budou řešeny před věcně a místně příslušným soudem dle sídla Prodávajícího. </w:t>
      </w:r>
    </w:p>
    <w:p w14:paraId="268EF36A" w14:textId="77777777" w:rsidR="005F1343" w:rsidRDefault="005F1343" w:rsidP="005F1343">
      <w:pPr>
        <w:pStyle w:val="Odstavecseseznamem"/>
        <w:numPr>
          <w:ilvl w:val="0"/>
          <w:numId w:val="0"/>
        </w:numPr>
        <w:ind w:left="360"/>
      </w:pPr>
    </w:p>
    <w:p w14:paraId="1FBA99F5" w14:textId="77777777" w:rsidR="008128A1" w:rsidRDefault="008128A1" w:rsidP="00AB64EF">
      <w:pPr>
        <w:pStyle w:val="lnekislovannew"/>
      </w:pPr>
    </w:p>
    <w:p w14:paraId="54B11881" w14:textId="77777777" w:rsidR="008128A1" w:rsidRDefault="008128A1" w:rsidP="008128A1">
      <w:pPr>
        <w:pStyle w:val="Nadpis1"/>
      </w:pPr>
      <w:r>
        <w:t>ZÁVĚREČNÁ USTANOVENÍ</w:t>
      </w:r>
    </w:p>
    <w:p w14:paraId="2905F82A" w14:textId="0E6C01CD" w:rsidR="008128A1" w:rsidRPr="008128A1" w:rsidRDefault="00C43F23" w:rsidP="00D739F1">
      <w:pPr>
        <w:pStyle w:val="Odstavecseseznamem"/>
        <w:numPr>
          <w:ilvl w:val="0"/>
          <w:numId w:val="35"/>
        </w:numPr>
      </w:pPr>
      <w:r>
        <w:t xml:space="preserve">Tato </w:t>
      </w:r>
      <w:r w:rsidR="00E831BA">
        <w:t>S</w:t>
      </w:r>
      <w:r w:rsidR="008128A1" w:rsidRPr="008128A1">
        <w:t>mlouva nabývá platnosti dnem jejího podpisu poslední ze Smluvních stran.</w:t>
      </w:r>
    </w:p>
    <w:p w14:paraId="650E1AED" w14:textId="34B7BE24" w:rsidR="008128A1" w:rsidRPr="008128A1" w:rsidRDefault="00C43F23" w:rsidP="00D739F1">
      <w:pPr>
        <w:pStyle w:val="Odstavecseseznamem"/>
        <w:numPr>
          <w:ilvl w:val="0"/>
          <w:numId w:val="35"/>
        </w:numPr>
      </w:pPr>
      <w:r>
        <w:t xml:space="preserve">Tato </w:t>
      </w:r>
      <w:r w:rsidR="00E831BA">
        <w:t>S</w:t>
      </w:r>
      <w:r w:rsidR="008128A1" w:rsidRPr="008128A1">
        <w:t xml:space="preserve">mlouva je </w:t>
      </w:r>
      <w:r w:rsidR="008128A1" w:rsidRPr="00C43F23">
        <w:t xml:space="preserve">vyhotovena </w:t>
      </w:r>
      <w:r w:rsidRPr="00C43F23">
        <w:t>ve dvou</w:t>
      </w:r>
      <w:r w:rsidR="008128A1" w:rsidRPr="008128A1">
        <w:t xml:space="preserve"> stejnopisech s platností originálu, z</w:t>
      </w:r>
      <w:r>
        <w:t xml:space="preserve"> nichž každá </w:t>
      </w:r>
      <w:r w:rsidR="00FC706E">
        <w:t>S</w:t>
      </w:r>
      <w:r w:rsidR="008128A1" w:rsidRPr="008128A1">
        <w:t xml:space="preserve">mluvní strana obdrží po </w:t>
      </w:r>
      <w:r w:rsidR="00A84E4A">
        <w:t>jednom</w:t>
      </w:r>
      <w:r w:rsidR="008128A1" w:rsidRPr="008128A1">
        <w:t xml:space="preserve">. Tato </w:t>
      </w:r>
      <w:r w:rsidR="00E831BA">
        <w:t>S</w:t>
      </w:r>
      <w:r w:rsidR="008128A1" w:rsidRPr="008128A1">
        <w:t>mlouva i veškerá související dokumentace je vyhotovena v českém jazyce.</w:t>
      </w:r>
    </w:p>
    <w:p w14:paraId="692BF4B9" w14:textId="77777777" w:rsidR="008128A1" w:rsidRPr="008128A1" w:rsidRDefault="008128A1" w:rsidP="00D739F1">
      <w:pPr>
        <w:pStyle w:val="Odstavecseseznamem"/>
        <w:numPr>
          <w:ilvl w:val="0"/>
          <w:numId w:val="35"/>
        </w:numPr>
      </w:pPr>
      <w:r w:rsidRPr="008128A1">
        <w:t xml:space="preserve">Nedílnou součástí této </w:t>
      </w:r>
      <w:r w:rsidR="00E831BA">
        <w:t>S</w:t>
      </w:r>
      <w:r w:rsidRPr="008128A1">
        <w:t>mlouvy jsou následující přílohy:</w:t>
      </w:r>
    </w:p>
    <w:p w14:paraId="56585C5C" w14:textId="4FFD39B8" w:rsidR="008128A1" w:rsidRDefault="00C43F23" w:rsidP="008363C0">
      <w:pPr>
        <w:spacing w:before="120" w:after="0"/>
        <w:ind w:left="851"/>
      </w:pPr>
      <w:r>
        <w:t xml:space="preserve">Příloha č. 1 – </w:t>
      </w:r>
      <w:r w:rsidR="005F1343">
        <w:t>Specifikace Zboží</w:t>
      </w:r>
    </w:p>
    <w:p w14:paraId="16DC18A1" w14:textId="77777777" w:rsidR="008128A1" w:rsidRDefault="008128A1" w:rsidP="00083AC6">
      <w:pPr>
        <w:pStyle w:val="Odstavecseseznamem"/>
        <w:numPr>
          <w:ilvl w:val="0"/>
          <w:numId w:val="35"/>
        </w:numPr>
      </w:pPr>
      <w:r w:rsidRPr="008363C0">
        <w:t xml:space="preserve">Smluvní strany potvrzují, že se s textem této </w:t>
      </w:r>
      <w:r w:rsidR="00E831BA">
        <w:t>S</w:t>
      </w:r>
      <w:r w:rsidRPr="008363C0">
        <w:t>mlouvy seznámily před jejím podpisem a</w:t>
      </w:r>
      <w:r w:rsidR="00C43F23">
        <w:t xml:space="preserve"> je jim znám její význam. Dále </w:t>
      </w:r>
      <w:r w:rsidR="00C95AD4">
        <w:t>s</w:t>
      </w:r>
      <w:r w:rsidRPr="008363C0">
        <w:t xml:space="preserve">mluvní strany potvrzují, že veškerým ustanovením </w:t>
      </w:r>
      <w:r w:rsidR="00E831BA">
        <w:t>S</w:t>
      </w:r>
      <w:r w:rsidRPr="008363C0">
        <w:t>mlouvy i jejích příloh plně a bez jakýchkoli obtíží porozuměly a nepovažují je za nevýhodná.</w:t>
      </w:r>
    </w:p>
    <w:p w14:paraId="409C1864" w14:textId="77777777" w:rsidR="005F1343" w:rsidRPr="008363C0" w:rsidRDefault="005F1343" w:rsidP="005F1343">
      <w:pPr>
        <w:pStyle w:val="Odstavecseseznamem"/>
        <w:numPr>
          <w:ilvl w:val="0"/>
          <w:numId w:val="0"/>
        </w:numPr>
        <w:ind w:left="36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395"/>
      </w:tblGrid>
      <w:tr w:rsidR="007D7F77" w14:paraId="08E20942" w14:textId="77777777" w:rsidTr="004932EC">
        <w:trPr>
          <w:cantSplit/>
        </w:trPr>
        <w:tc>
          <w:tcPr>
            <w:tcW w:w="9062" w:type="dxa"/>
            <w:gridSpan w:val="2"/>
          </w:tcPr>
          <w:p w14:paraId="4A3FB3D0" w14:textId="77777777" w:rsidR="007D7F77" w:rsidRDefault="00C43F23" w:rsidP="007D7F77">
            <w:r>
              <w:t xml:space="preserve">NA DŮKAZ TOHO, že </w:t>
            </w:r>
            <w:r w:rsidR="00FC706E">
              <w:t>S</w:t>
            </w:r>
            <w:r w:rsidR="007D7F77" w:rsidRPr="007D7F77">
              <w:t xml:space="preserve">mluvní </w:t>
            </w:r>
            <w:r>
              <w:t xml:space="preserve">strany s obsahem </w:t>
            </w:r>
            <w:r w:rsidR="00E831BA">
              <w:t>S</w:t>
            </w:r>
            <w:r w:rsidR="007D7F77" w:rsidRPr="007D7F77">
              <w:t>mlouvy souh</w:t>
            </w:r>
            <w:r w:rsidR="00870BC9">
              <w:t>lasí, rozumí ji a zavazují se k </w:t>
            </w:r>
            <w:r w:rsidR="007D7F77" w:rsidRPr="007D7F77">
              <w:t>jejímu plnění, připojují své</w:t>
            </w:r>
            <w:r>
              <w:t xml:space="preserve"> podpisy a prohlašují, že tato </w:t>
            </w:r>
            <w:r w:rsidR="00E831BA">
              <w:t>S</w:t>
            </w:r>
            <w:r w:rsidR="007D7F77" w:rsidRPr="007D7F77">
              <w:t>mlouva byla uzavřena podle jejich svobodné a vážné vůle prosté tísně, zejména tísně finanční.</w:t>
            </w:r>
          </w:p>
        </w:tc>
      </w:tr>
      <w:tr w:rsidR="004932EC" w14:paraId="5EC3F556" w14:textId="77777777" w:rsidTr="004932EC">
        <w:trPr>
          <w:cantSplit/>
        </w:trPr>
        <w:tc>
          <w:tcPr>
            <w:tcW w:w="9062" w:type="dxa"/>
            <w:gridSpan w:val="2"/>
          </w:tcPr>
          <w:p w14:paraId="6289E285" w14:textId="77777777" w:rsidR="004932EC" w:rsidRPr="007D7F77" w:rsidRDefault="004932EC" w:rsidP="007D7F77">
            <w:bookmarkStart w:id="1" w:name="_Hlk6899127"/>
          </w:p>
        </w:tc>
      </w:tr>
      <w:tr w:rsidR="007D7F77" w14:paraId="4BF81A4A" w14:textId="77777777" w:rsidTr="004932EC">
        <w:trPr>
          <w:cantSplit/>
        </w:trPr>
        <w:tc>
          <w:tcPr>
            <w:tcW w:w="4667" w:type="dxa"/>
          </w:tcPr>
          <w:p w14:paraId="1EA7C919" w14:textId="5FEDA603" w:rsidR="007D7F77" w:rsidRDefault="00BB2BDB" w:rsidP="007D7F77">
            <w:pPr>
              <w:jc w:val="center"/>
            </w:pPr>
            <w:r>
              <w:t xml:space="preserve">V </w:t>
            </w:r>
            <w:r w:rsidR="00FD06DE">
              <w:t>Praze dne 23.4.2019</w:t>
            </w:r>
          </w:p>
        </w:tc>
        <w:tc>
          <w:tcPr>
            <w:tcW w:w="4395" w:type="dxa"/>
          </w:tcPr>
          <w:p w14:paraId="25DA8A4B" w14:textId="7D95AC61" w:rsidR="007D7F77" w:rsidRDefault="00BB2BDB" w:rsidP="007D7F77">
            <w:pPr>
              <w:jc w:val="center"/>
            </w:pPr>
            <w:r>
              <w:t xml:space="preserve">V </w:t>
            </w:r>
            <w:r w:rsidR="00FD06DE">
              <w:t>Praze dne 23.4.2019</w:t>
            </w:r>
          </w:p>
        </w:tc>
      </w:tr>
      <w:tr w:rsidR="007D7F77" w14:paraId="22DB8BD4" w14:textId="77777777" w:rsidTr="004932EC">
        <w:trPr>
          <w:cantSplit/>
        </w:trPr>
        <w:tc>
          <w:tcPr>
            <w:tcW w:w="4667" w:type="dxa"/>
          </w:tcPr>
          <w:p w14:paraId="3B17FBCD" w14:textId="77777777" w:rsidR="00EF49A5" w:rsidRDefault="00EF49A5" w:rsidP="007D7F77"/>
          <w:p w14:paraId="5200BD1F" w14:textId="77777777" w:rsidR="00DA1675" w:rsidRDefault="00DA1675" w:rsidP="007D7F77"/>
          <w:p w14:paraId="7985E912" w14:textId="77777777" w:rsidR="00DA1675" w:rsidRDefault="00DA1675" w:rsidP="007D7F77"/>
          <w:p w14:paraId="083CC5B2" w14:textId="01642256" w:rsidR="00DA1675" w:rsidRPr="007D7F77" w:rsidRDefault="00DA1675" w:rsidP="007D7F77"/>
        </w:tc>
        <w:tc>
          <w:tcPr>
            <w:tcW w:w="4395" w:type="dxa"/>
          </w:tcPr>
          <w:p w14:paraId="1E78FF01" w14:textId="77777777" w:rsidR="007D7F77" w:rsidRPr="007D7F77" w:rsidRDefault="007D7F77" w:rsidP="007D7F77"/>
        </w:tc>
      </w:tr>
      <w:tr w:rsidR="007D7F77" w14:paraId="0AD24C5B" w14:textId="77777777" w:rsidTr="004932EC">
        <w:trPr>
          <w:cantSplit/>
        </w:trPr>
        <w:tc>
          <w:tcPr>
            <w:tcW w:w="4667" w:type="dxa"/>
            <w:vAlign w:val="top"/>
          </w:tcPr>
          <w:p w14:paraId="5B8FFBE9" w14:textId="77777777" w:rsidR="007D7F77" w:rsidRPr="00FC6C9A" w:rsidRDefault="007D7F77" w:rsidP="00596BCE">
            <w:pPr>
              <w:pStyle w:val="Zkladntext"/>
              <w:spacing w:after="0"/>
              <w:jc w:val="center"/>
              <w:rPr>
                <w:rFonts w:ascii="Verdana" w:hAnsi="Verdana"/>
              </w:rPr>
            </w:pPr>
            <w:r w:rsidRPr="00FC6C9A">
              <w:rPr>
                <w:rFonts w:ascii="Verdana" w:hAnsi="Verdana"/>
              </w:rPr>
              <w:t>___</w:t>
            </w:r>
            <w:r>
              <w:rPr>
                <w:rFonts w:ascii="Verdana" w:hAnsi="Verdana"/>
              </w:rPr>
              <w:t>____________________________</w:t>
            </w:r>
          </w:p>
        </w:tc>
        <w:tc>
          <w:tcPr>
            <w:tcW w:w="4395" w:type="dxa"/>
          </w:tcPr>
          <w:p w14:paraId="3DC006D1" w14:textId="77777777" w:rsidR="007D7F77" w:rsidRDefault="007D7F77" w:rsidP="00596BCE">
            <w:pPr>
              <w:spacing w:after="0"/>
              <w:jc w:val="center"/>
            </w:pPr>
            <w:r w:rsidRPr="007D7F77">
              <w:t>_______________________________</w:t>
            </w:r>
          </w:p>
        </w:tc>
      </w:tr>
      <w:tr w:rsidR="007D7F77" w14:paraId="409A0822" w14:textId="77777777" w:rsidTr="004932EC">
        <w:trPr>
          <w:cantSplit/>
        </w:trPr>
        <w:tc>
          <w:tcPr>
            <w:tcW w:w="4667" w:type="dxa"/>
            <w:vAlign w:val="top"/>
          </w:tcPr>
          <w:p w14:paraId="40C7FD06" w14:textId="00B02E0B" w:rsidR="007D7F77" w:rsidRPr="007D7F77" w:rsidRDefault="00A84E4A" w:rsidP="00A84E4A">
            <w:pPr>
              <w:spacing w:after="0"/>
              <w:jc w:val="center"/>
            </w:pPr>
            <w:r w:rsidRPr="00A84E4A">
              <w:t>Mgr. Tomáš</w:t>
            </w:r>
            <w:r>
              <w:t xml:space="preserve"> </w:t>
            </w:r>
            <w:r w:rsidRPr="00A84E4A">
              <w:t>Paleč</w:t>
            </w:r>
            <w:r>
              <w:t>ek, jednatel</w:t>
            </w:r>
          </w:p>
        </w:tc>
        <w:tc>
          <w:tcPr>
            <w:tcW w:w="4395" w:type="dxa"/>
            <w:vAlign w:val="top"/>
          </w:tcPr>
          <w:p w14:paraId="5342B156" w14:textId="2D660B82" w:rsidR="007D7F77" w:rsidRPr="00FD06DE" w:rsidRDefault="00FD06DE" w:rsidP="00596BCE">
            <w:pPr>
              <w:spacing w:after="0"/>
              <w:jc w:val="center"/>
            </w:pPr>
            <w:r>
              <w:t xml:space="preserve">JUDr. Marta </w:t>
            </w:r>
            <w:proofErr w:type="spellStart"/>
            <w:r>
              <w:t>Koropecká</w:t>
            </w:r>
            <w:proofErr w:type="spellEnd"/>
          </w:p>
        </w:tc>
      </w:tr>
      <w:tr w:rsidR="007D7F77" w14:paraId="669EB0D0" w14:textId="77777777" w:rsidTr="004932EC">
        <w:trPr>
          <w:cantSplit/>
        </w:trPr>
        <w:tc>
          <w:tcPr>
            <w:tcW w:w="4667" w:type="dxa"/>
            <w:vAlign w:val="top"/>
          </w:tcPr>
          <w:p w14:paraId="2F43DA9E" w14:textId="77777777" w:rsidR="007D7F77" w:rsidRDefault="0012122D" w:rsidP="00596BCE">
            <w:pPr>
              <w:spacing w:after="0"/>
              <w:jc w:val="center"/>
              <w:rPr>
                <w:rStyle w:val="Siln"/>
              </w:rPr>
            </w:pPr>
            <w:r>
              <w:rPr>
                <w:rStyle w:val="Siln"/>
              </w:rPr>
              <w:t>GLICE</w:t>
            </w:r>
            <w:r w:rsidR="00A84E4A" w:rsidRPr="00A84E4A">
              <w:rPr>
                <w:rStyle w:val="Siln"/>
              </w:rPr>
              <w:t xml:space="preserve"> CZ, s.r.o.</w:t>
            </w:r>
          </w:p>
          <w:p w14:paraId="7036DCA9" w14:textId="453618FD" w:rsidR="007F007C" w:rsidRPr="007D7F77" w:rsidRDefault="007F007C" w:rsidP="00596BCE">
            <w:pPr>
              <w:spacing w:after="0"/>
              <w:jc w:val="center"/>
              <w:rPr>
                <w:rStyle w:val="Siln"/>
              </w:rPr>
            </w:pPr>
            <w:r>
              <w:rPr>
                <w:rStyle w:val="Siln"/>
              </w:rPr>
              <w:t>Prodávající</w:t>
            </w:r>
          </w:p>
        </w:tc>
        <w:tc>
          <w:tcPr>
            <w:tcW w:w="4395" w:type="dxa"/>
            <w:vAlign w:val="top"/>
          </w:tcPr>
          <w:p w14:paraId="53A80EA1" w14:textId="687BCDE8" w:rsidR="007D7F77" w:rsidRDefault="00FD06DE" w:rsidP="00596BCE">
            <w:pPr>
              <w:spacing w:after="0"/>
              <w:jc w:val="center"/>
              <w:rPr>
                <w:rStyle w:val="Siln"/>
              </w:rPr>
            </w:pPr>
            <w:r>
              <w:rPr>
                <w:rStyle w:val="Siln"/>
              </w:rPr>
              <w:t>Starostka MČ</w:t>
            </w:r>
          </w:p>
          <w:p w14:paraId="03BC3735" w14:textId="71460A68" w:rsidR="00FD06DE" w:rsidRPr="007F007C" w:rsidRDefault="00FD06DE" w:rsidP="00596BCE">
            <w:pPr>
              <w:spacing w:after="0"/>
              <w:jc w:val="center"/>
              <w:rPr>
                <w:rStyle w:val="Siln"/>
                <w:highlight w:val="yellow"/>
              </w:rPr>
            </w:pPr>
            <w:r w:rsidRPr="00FD06DE">
              <w:rPr>
                <w:rStyle w:val="Siln"/>
              </w:rPr>
              <w:t>Kupující</w:t>
            </w:r>
          </w:p>
        </w:tc>
      </w:tr>
      <w:bookmarkEnd w:id="1"/>
    </w:tbl>
    <w:p w14:paraId="35070501" w14:textId="08A2767B" w:rsidR="00B8082F" w:rsidRPr="00764F42" w:rsidRDefault="00B8082F" w:rsidP="00542A61">
      <w:pPr>
        <w:spacing w:after="160" w:line="259" w:lineRule="auto"/>
        <w:jc w:val="left"/>
      </w:pPr>
    </w:p>
    <w:p w14:paraId="6957B673" w14:textId="3F609848" w:rsidR="00B8082F" w:rsidRPr="00D74787" w:rsidRDefault="005F1343" w:rsidP="00D74787">
      <w:pPr>
        <w:jc w:val="center"/>
        <w:rPr>
          <w:b/>
        </w:rPr>
      </w:pPr>
      <w:r>
        <w:rPr>
          <w:b/>
        </w:rPr>
        <w:br w:type="column"/>
      </w:r>
      <w:r w:rsidR="00D74787" w:rsidRPr="00D74787">
        <w:rPr>
          <w:b/>
        </w:rPr>
        <w:lastRenderedPageBreak/>
        <w:t>PŘÍLOHA Č. 1</w:t>
      </w:r>
    </w:p>
    <w:p w14:paraId="5E09FE74" w14:textId="77BEE7D5" w:rsidR="00D74787" w:rsidRDefault="00D74787" w:rsidP="005F1343">
      <w:pPr>
        <w:jc w:val="center"/>
        <w:rPr>
          <w:b/>
        </w:rPr>
      </w:pPr>
      <w:r w:rsidRPr="00D74787">
        <w:rPr>
          <w:b/>
        </w:rPr>
        <w:t>SPECIFIKACE ZBOŽÍ</w:t>
      </w:r>
    </w:p>
    <w:p w14:paraId="71D0C2DF" w14:textId="77777777" w:rsidR="005F1343" w:rsidRDefault="005F1343" w:rsidP="005F1343">
      <w:pPr>
        <w:rPr>
          <w:b/>
        </w:rPr>
      </w:pPr>
    </w:p>
    <w:p w14:paraId="70D0E5D0" w14:textId="190D3FB2" w:rsidR="005F1343" w:rsidRPr="005F1343" w:rsidRDefault="005F1343" w:rsidP="005F1343">
      <w:pPr>
        <w:rPr>
          <w:b/>
        </w:rPr>
      </w:pPr>
      <w:r>
        <w:rPr>
          <w:b/>
        </w:rPr>
        <w:t>Kluziště:</w:t>
      </w:r>
    </w:p>
    <w:p w14:paraId="1C70D278" w14:textId="28200FF9" w:rsidR="00D74787" w:rsidRPr="005372D4" w:rsidRDefault="00D74787" w:rsidP="005F1343">
      <w:pPr>
        <w:spacing w:line="288" w:lineRule="auto"/>
        <w:ind w:left="360" w:hanging="360"/>
      </w:pPr>
      <w:r w:rsidRPr="005372D4">
        <w:t xml:space="preserve">Kluziště o rozměrech 24x12 m, </w:t>
      </w:r>
      <w:proofErr w:type="gramStart"/>
      <w:r w:rsidRPr="005372D4">
        <w:t>288m2</w:t>
      </w:r>
      <w:proofErr w:type="gramEnd"/>
      <w:r w:rsidRPr="005372D4">
        <w:t>, včetně mantinelů, verze Hobby, konkrétně:</w:t>
      </w:r>
    </w:p>
    <w:p w14:paraId="2F4705BC" w14:textId="505945BC" w:rsidR="00D74787" w:rsidRPr="005372D4" w:rsidRDefault="008226CE" w:rsidP="005F1343">
      <w:pPr>
        <w:spacing w:line="288" w:lineRule="auto"/>
      </w:pPr>
      <w:r w:rsidRPr="005372D4">
        <w:t xml:space="preserve">Přesná </w:t>
      </w:r>
      <w:r w:rsidR="00857624" w:rsidRPr="005372D4">
        <w:t>délka kluziště</w:t>
      </w:r>
      <w:r w:rsidR="00D74787" w:rsidRPr="005372D4">
        <w:t>, 23,58</w:t>
      </w:r>
      <w:r w:rsidR="00857624" w:rsidRPr="005372D4">
        <w:t>m</w:t>
      </w:r>
    </w:p>
    <w:p w14:paraId="52B3C35B" w14:textId="144ED32F" w:rsidR="00D74787" w:rsidRPr="005372D4" w:rsidRDefault="00857624" w:rsidP="005F1343">
      <w:pPr>
        <w:spacing w:line="288" w:lineRule="auto"/>
      </w:pPr>
      <w:r w:rsidRPr="005372D4">
        <w:t>Přesná šířka kluziště</w:t>
      </w:r>
      <w:r w:rsidR="00D74787" w:rsidRPr="005372D4">
        <w:t>, 11,58</w:t>
      </w:r>
      <w:r w:rsidRPr="005372D4">
        <w:t>m</w:t>
      </w:r>
    </w:p>
    <w:p w14:paraId="555A4D87" w14:textId="6F7BF65D" w:rsidR="00D74787" w:rsidRPr="005372D4" w:rsidRDefault="00857624" w:rsidP="005F1343">
      <w:pPr>
        <w:spacing w:line="288" w:lineRule="auto"/>
      </w:pPr>
      <w:r w:rsidRPr="005372D4">
        <w:t>Výměra plochy kluziště</w:t>
      </w:r>
      <w:r w:rsidR="00D74787" w:rsidRPr="005372D4">
        <w:t>, 273,06</w:t>
      </w:r>
      <w:r w:rsidRPr="005372D4">
        <w:t>m2</w:t>
      </w:r>
    </w:p>
    <w:p w14:paraId="01A73929" w14:textId="160024E5" w:rsidR="00F52115" w:rsidRPr="005372D4" w:rsidRDefault="00F52115" w:rsidP="005F1343">
      <w:pPr>
        <w:spacing w:line="288" w:lineRule="auto"/>
      </w:pPr>
      <w:r w:rsidRPr="005372D4">
        <w:t xml:space="preserve">Výška mantinelu </w:t>
      </w:r>
      <w:proofErr w:type="gramStart"/>
      <w:r w:rsidRPr="005372D4">
        <w:t>1000mm</w:t>
      </w:r>
      <w:proofErr w:type="gramEnd"/>
    </w:p>
    <w:p w14:paraId="543FDF99" w14:textId="77777777" w:rsidR="00291F97" w:rsidRDefault="00291F97" w:rsidP="005F1343">
      <w:pPr>
        <w:spacing w:line="288" w:lineRule="auto"/>
        <w:rPr>
          <w:b/>
        </w:rPr>
      </w:pPr>
    </w:p>
    <w:p w14:paraId="7466EECD" w14:textId="77777777" w:rsidR="00291F97" w:rsidRDefault="00291F97" w:rsidP="005F1343">
      <w:pPr>
        <w:spacing w:line="288" w:lineRule="auto"/>
        <w:rPr>
          <w:b/>
        </w:rPr>
      </w:pPr>
    </w:p>
    <w:p w14:paraId="4D153F47" w14:textId="3171C387" w:rsidR="00291F97" w:rsidRDefault="00291F97" w:rsidP="005F1343">
      <w:pPr>
        <w:spacing w:line="288" w:lineRule="auto"/>
      </w:pPr>
      <w:r w:rsidRPr="00291F97">
        <w:rPr>
          <w:b/>
        </w:rPr>
        <w:t xml:space="preserve">Vysavač </w:t>
      </w:r>
      <w:proofErr w:type="spellStart"/>
      <w:r w:rsidRPr="00291F97">
        <w:rPr>
          <w:b/>
        </w:rPr>
        <w:t>Kärcher</w:t>
      </w:r>
      <w:proofErr w:type="spellEnd"/>
      <w:r w:rsidRPr="00291F97">
        <w:rPr>
          <w:b/>
        </w:rPr>
        <w:t xml:space="preserve"> na </w:t>
      </w:r>
      <w:proofErr w:type="spellStart"/>
      <w:r w:rsidRPr="00291F97">
        <w:rPr>
          <w:b/>
        </w:rPr>
        <w:t>mokrosuché</w:t>
      </w:r>
      <w:proofErr w:type="spellEnd"/>
      <w:r w:rsidRPr="00291F97">
        <w:rPr>
          <w:b/>
        </w:rPr>
        <w:t xml:space="preserve"> vysávání</w:t>
      </w:r>
      <w:r w:rsidRPr="001A1112">
        <w:t xml:space="preserve"> typ. NT 35/1 AP</w:t>
      </w:r>
      <w:r>
        <w:t xml:space="preserve"> </w:t>
      </w:r>
    </w:p>
    <w:p w14:paraId="1E942256" w14:textId="2BE429BB" w:rsidR="00291F97" w:rsidRDefault="00291F97" w:rsidP="005F1343">
      <w:pPr>
        <w:spacing w:line="288" w:lineRule="auto"/>
      </w:pPr>
      <w:r w:rsidRPr="00291F97">
        <w:rPr>
          <w:b/>
        </w:rPr>
        <w:t xml:space="preserve">Kotoučový čistič </w:t>
      </w:r>
      <w:proofErr w:type="spellStart"/>
      <w:r w:rsidRPr="00291F97">
        <w:rPr>
          <w:b/>
        </w:rPr>
        <w:t>Kärcher</w:t>
      </w:r>
      <w:proofErr w:type="spellEnd"/>
      <w:r w:rsidRPr="001A1112">
        <w:t xml:space="preserve"> </w:t>
      </w:r>
      <w:proofErr w:type="gramStart"/>
      <w:r w:rsidRPr="001A1112">
        <w:t>typ  BR</w:t>
      </w:r>
      <w:proofErr w:type="gramEnd"/>
      <w:r w:rsidRPr="001A1112">
        <w:t xml:space="preserve"> 40/10 C </w:t>
      </w:r>
      <w:proofErr w:type="spellStart"/>
      <w:r w:rsidRPr="001A1112">
        <w:t>Adv</w:t>
      </w:r>
      <w:proofErr w:type="spellEnd"/>
    </w:p>
    <w:p w14:paraId="6B21BD21" w14:textId="055DBACD" w:rsidR="00291F97" w:rsidRDefault="00291F97" w:rsidP="005F1343">
      <w:pPr>
        <w:spacing w:line="288" w:lineRule="auto"/>
        <w:rPr>
          <w:highlight w:val="yellow"/>
        </w:rPr>
      </w:pPr>
      <w:r w:rsidRPr="00291F97">
        <w:rPr>
          <w:b/>
        </w:rPr>
        <w:t>Gumová pochozí plocha</w:t>
      </w:r>
      <w:r>
        <w:t xml:space="preserve"> – penízková podlahovina</w:t>
      </w:r>
    </w:p>
    <w:p w14:paraId="514E57EB" w14:textId="77777777" w:rsidR="005F1343" w:rsidRDefault="005F1343" w:rsidP="005F1343">
      <w:pPr>
        <w:spacing w:line="288" w:lineRule="auto"/>
        <w:rPr>
          <w:highlight w:val="yellow"/>
        </w:rPr>
      </w:pPr>
    </w:p>
    <w:p w14:paraId="2A4B6BFD" w14:textId="4B404F57" w:rsidR="00D74787" w:rsidRDefault="00D74787" w:rsidP="00D74787"/>
    <w:sectPr w:rsidR="00D74787" w:rsidSect="00BC0895">
      <w:footerReference w:type="default" r:id="rId8"/>
      <w:pgSz w:w="11906" w:h="16838"/>
      <w:pgMar w:top="1417" w:right="1417" w:bottom="993" w:left="1417" w:header="56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EEFA2" w14:textId="77777777" w:rsidR="00F3129E" w:rsidRDefault="00F3129E" w:rsidP="002F1FDF">
      <w:pPr>
        <w:spacing w:after="0"/>
      </w:pPr>
      <w:r>
        <w:separator/>
      </w:r>
    </w:p>
  </w:endnote>
  <w:endnote w:type="continuationSeparator" w:id="0">
    <w:p w14:paraId="5C0AD914" w14:textId="77777777" w:rsidR="00F3129E" w:rsidRDefault="00F3129E" w:rsidP="002F1F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89052278"/>
      <w:docPartObj>
        <w:docPartGallery w:val="Page Numbers (Top of Page)"/>
        <w:docPartUnique/>
      </w:docPartObj>
    </w:sdtPr>
    <w:sdtEndPr/>
    <w:sdtContent>
      <w:p w14:paraId="658EB9F3" w14:textId="2F722B67" w:rsidR="00685A06" w:rsidRPr="00764F42" w:rsidRDefault="00685A06" w:rsidP="00685A06">
        <w:pPr>
          <w:spacing w:before="240"/>
          <w:jc w:val="right"/>
          <w:rPr>
            <w:sz w:val="20"/>
          </w:rPr>
        </w:pPr>
        <w:r w:rsidRPr="00764F42">
          <w:rPr>
            <w:sz w:val="20"/>
          </w:rPr>
          <w:t xml:space="preserve">strana </w:t>
        </w:r>
        <w:r w:rsidRPr="00764F42">
          <w:rPr>
            <w:sz w:val="20"/>
          </w:rPr>
          <w:fldChar w:fldCharType="begin"/>
        </w:r>
        <w:r w:rsidRPr="00764F42">
          <w:rPr>
            <w:sz w:val="20"/>
          </w:rPr>
          <w:instrText>PAGE</w:instrText>
        </w:r>
        <w:r w:rsidRPr="00764F42">
          <w:rPr>
            <w:sz w:val="20"/>
          </w:rPr>
          <w:fldChar w:fldCharType="separate"/>
        </w:r>
        <w:r w:rsidR="003F7E79">
          <w:rPr>
            <w:noProof/>
            <w:sz w:val="20"/>
          </w:rPr>
          <w:t>2</w:t>
        </w:r>
        <w:r w:rsidRPr="00764F42">
          <w:rPr>
            <w:sz w:val="20"/>
          </w:rPr>
          <w:fldChar w:fldCharType="end"/>
        </w:r>
        <w:r w:rsidRPr="00764F42">
          <w:rPr>
            <w:sz w:val="20"/>
          </w:rPr>
          <w:t>/</w:t>
        </w:r>
        <w:r w:rsidRPr="00764F42">
          <w:rPr>
            <w:sz w:val="20"/>
          </w:rPr>
          <w:fldChar w:fldCharType="begin"/>
        </w:r>
        <w:r w:rsidRPr="00764F42">
          <w:rPr>
            <w:sz w:val="20"/>
          </w:rPr>
          <w:instrText>NUMPAGES</w:instrText>
        </w:r>
        <w:r w:rsidRPr="00764F42">
          <w:rPr>
            <w:sz w:val="20"/>
          </w:rPr>
          <w:fldChar w:fldCharType="separate"/>
        </w:r>
        <w:r w:rsidR="003F7E79">
          <w:rPr>
            <w:noProof/>
            <w:sz w:val="20"/>
          </w:rPr>
          <w:t>7</w:t>
        </w:r>
        <w:r w:rsidRPr="00764F42">
          <w:rPr>
            <w:sz w:val="20"/>
          </w:rPr>
          <w:fldChar w:fldCharType="end"/>
        </w:r>
      </w:p>
    </w:sdtContent>
  </w:sdt>
  <w:p w14:paraId="2F8091FE" w14:textId="77777777" w:rsidR="0015496A" w:rsidRDefault="001549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FA3AD" w14:textId="77777777" w:rsidR="00F3129E" w:rsidRDefault="00F3129E" w:rsidP="002F1FDF">
      <w:pPr>
        <w:spacing w:after="0"/>
      </w:pPr>
      <w:r>
        <w:separator/>
      </w:r>
    </w:p>
  </w:footnote>
  <w:footnote w:type="continuationSeparator" w:id="0">
    <w:p w14:paraId="10BF149C" w14:textId="77777777" w:rsidR="00F3129E" w:rsidRDefault="00F3129E" w:rsidP="002F1F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750"/>
    <w:multiLevelType w:val="multilevel"/>
    <w:tmpl w:val="62AE4AEE"/>
    <w:numStyleLink w:val="Vcerovovseznam"/>
  </w:abstractNum>
  <w:abstractNum w:abstractNumId="1" w15:restartNumberingAfterBreak="0">
    <w:nsid w:val="05442D0E"/>
    <w:multiLevelType w:val="multilevel"/>
    <w:tmpl w:val="62AE4AEE"/>
    <w:numStyleLink w:val="Vcerovovseznam"/>
  </w:abstractNum>
  <w:abstractNum w:abstractNumId="2" w15:restartNumberingAfterBreak="0">
    <w:nsid w:val="08CB041F"/>
    <w:multiLevelType w:val="hybridMultilevel"/>
    <w:tmpl w:val="A8B234A6"/>
    <w:lvl w:ilvl="0" w:tplc="65BA3074">
      <w:start w:val="1"/>
      <w:numFmt w:val="upperRoman"/>
      <w:lvlText w:val="ČLÁNEK %1"/>
      <w:lvlJc w:val="center"/>
      <w:pPr>
        <w:ind w:left="720"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36D6F"/>
    <w:multiLevelType w:val="hybridMultilevel"/>
    <w:tmpl w:val="E51CF5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6C6D87"/>
    <w:multiLevelType w:val="multilevel"/>
    <w:tmpl w:val="8CEA86D4"/>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4948B6"/>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A63B23"/>
    <w:multiLevelType w:val="hybridMultilevel"/>
    <w:tmpl w:val="F188944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485C10"/>
    <w:multiLevelType w:val="hybridMultilevel"/>
    <w:tmpl w:val="20085A02"/>
    <w:lvl w:ilvl="0" w:tplc="65BA3074">
      <w:start w:val="1"/>
      <w:numFmt w:val="upperRoman"/>
      <w:lvlText w:val="ČLÁNEK %1"/>
      <w:lvlJc w:val="center"/>
      <w:pPr>
        <w:ind w:left="720"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D02E5D"/>
    <w:multiLevelType w:val="hybridMultilevel"/>
    <w:tmpl w:val="AF5E29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262E5B"/>
    <w:multiLevelType w:val="hybridMultilevel"/>
    <w:tmpl w:val="1CEE38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434D4A"/>
    <w:multiLevelType w:val="multilevel"/>
    <w:tmpl w:val="033A3704"/>
    <w:lvl w:ilvl="0">
      <w:start w:val="3"/>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F11917"/>
    <w:multiLevelType w:val="multilevel"/>
    <w:tmpl w:val="62AE4AEE"/>
    <w:numStyleLink w:val="Vcerovovseznam"/>
  </w:abstractNum>
  <w:abstractNum w:abstractNumId="12" w15:restartNumberingAfterBreak="0">
    <w:nsid w:val="251B2A9B"/>
    <w:multiLevelType w:val="multilevel"/>
    <w:tmpl w:val="62AE4AEE"/>
    <w:numStyleLink w:val="Vcerovovseznam"/>
  </w:abstractNum>
  <w:abstractNum w:abstractNumId="13" w15:restartNumberingAfterBreak="0">
    <w:nsid w:val="261D5499"/>
    <w:multiLevelType w:val="multilevel"/>
    <w:tmpl w:val="7C2C4AC0"/>
    <w:lvl w:ilvl="0">
      <w:start w:val="1"/>
      <w:numFmt w:val="bullet"/>
      <w:lvlText w:val=""/>
      <w:lvlJc w:val="left"/>
      <w:pPr>
        <w:ind w:left="720" w:hanging="360"/>
      </w:pPr>
      <w:rPr>
        <w:rFonts w:ascii="Symbol" w:hAnsi="Symbol" w:hint="default"/>
        <w:sz w:val="24"/>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297D5CBE"/>
    <w:multiLevelType w:val="multilevel"/>
    <w:tmpl w:val="62AE4AEE"/>
    <w:numStyleLink w:val="Vcerovovseznam"/>
  </w:abstractNum>
  <w:abstractNum w:abstractNumId="15" w15:restartNumberingAfterBreak="0">
    <w:nsid w:val="2BBA3861"/>
    <w:multiLevelType w:val="multilevel"/>
    <w:tmpl w:val="8CEA86D4"/>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6C0C71"/>
    <w:multiLevelType w:val="hybridMultilevel"/>
    <w:tmpl w:val="1D3AB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F4626F"/>
    <w:multiLevelType w:val="multilevel"/>
    <w:tmpl w:val="20EAFDFE"/>
    <w:lvl w:ilvl="0">
      <w:start w:val="4"/>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166568"/>
    <w:multiLevelType w:val="hybridMultilevel"/>
    <w:tmpl w:val="45FA033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FE172B"/>
    <w:multiLevelType w:val="multilevel"/>
    <w:tmpl w:val="62AE4AEE"/>
    <w:numStyleLink w:val="Vcerovovseznam"/>
  </w:abstractNum>
  <w:abstractNum w:abstractNumId="20" w15:restartNumberingAfterBreak="0">
    <w:nsid w:val="34777590"/>
    <w:multiLevelType w:val="multilevel"/>
    <w:tmpl w:val="62AE4AEE"/>
    <w:numStyleLink w:val="Vcerovovseznam"/>
  </w:abstractNum>
  <w:abstractNum w:abstractNumId="21" w15:restartNumberingAfterBreak="0">
    <w:nsid w:val="36533A13"/>
    <w:multiLevelType w:val="multilevel"/>
    <w:tmpl w:val="62AE4AEE"/>
    <w:numStyleLink w:val="Vcerovovseznam"/>
  </w:abstractNum>
  <w:abstractNum w:abstractNumId="22" w15:restartNumberingAfterBreak="0">
    <w:nsid w:val="39CF0A56"/>
    <w:multiLevelType w:val="multilevel"/>
    <w:tmpl w:val="62AE4AEE"/>
    <w:numStyleLink w:val="Vcerovovseznam"/>
  </w:abstractNum>
  <w:abstractNum w:abstractNumId="23" w15:restartNumberingAfterBreak="0">
    <w:nsid w:val="3F4E5129"/>
    <w:multiLevelType w:val="multilevel"/>
    <w:tmpl w:val="968E6A32"/>
    <w:lvl w:ilvl="0">
      <w:start w:val="6"/>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08D2145"/>
    <w:multiLevelType w:val="multilevel"/>
    <w:tmpl w:val="62AE4AEE"/>
    <w:numStyleLink w:val="Vcerovovseznam"/>
  </w:abstractNum>
  <w:abstractNum w:abstractNumId="25" w15:restartNumberingAfterBreak="0">
    <w:nsid w:val="4472166B"/>
    <w:multiLevelType w:val="multilevel"/>
    <w:tmpl w:val="20EAFDFE"/>
    <w:lvl w:ilvl="0">
      <w:start w:val="4"/>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1C4893"/>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696EBD"/>
    <w:multiLevelType w:val="multilevel"/>
    <w:tmpl w:val="62AE4AEE"/>
    <w:numStyleLink w:val="Vcerovovseznam"/>
  </w:abstractNum>
  <w:abstractNum w:abstractNumId="28" w15:restartNumberingAfterBreak="0">
    <w:nsid w:val="5356526F"/>
    <w:multiLevelType w:val="multilevel"/>
    <w:tmpl w:val="62AE4AEE"/>
    <w:numStyleLink w:val="Vcerovovseznam"/>
  </w:abstractNum>
  <w:abstractNum w:abstractNumId="29" w15:restartNumberingAfterBreak="0">
    <w:nsid w:val="5DA727A8"/>
    <w:multiLevelType w:val="multilevel"/>
    <w:tmpl w:val="62AE4AEE"/>
    <w:numStyleLink w:val="Vcerovovseznam"/>
  </w:abstractNum>
  <w:abstractNum w:abstractNumId="30" w15:restartNumberingAfterBreak="0">
    <w:nsid w:val="601E261C"/>
    <w:multiLevelType w:val="multilevel"/>
    <w:tmpl w:val="62AE4AEE"/>
    <w:numStyleLink w:val="Vcerovovseznam"/>
  </w:abstractNum>
  <w:abstractNum w:abstractNumId="31" w15:restartNumberingAfterBreak="0">
    <w:nsid w:val="60777645"/>
    <w:multiLevelType w:val="hybridMultilevel"/>
    <w:tmpl w:val="2E14170A"/>
    <w:lvl w:ilvl="0" w:tplc="E9F4F946">
      <w:numFmt w:val="bullet"/>
      <w:pStyle w:val="Odstavecseseznamem"/>
      <w:lvlText w:val="-"/>
      <w:lvlJc w:val="left"/>
      <w:pPr>
        <w:ind w:left="360" w:hanging="360"/>
      </w:pPr>
      <w:rPr>
        <w:rFonts w:ascii="Verdana" w:eastAsia="Times New Roman" w:hAnsi="Verdan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30D3C82"/>
    <w:multiLevelType w:val="multilevel"/>
    <w:tmpl w:val="0E7AC06E"/>
    <w:lvl w:ilvl="0">
      <w:start w:val="1"/>
      <w:numFmt w:val="lowerLetter"/>
      <w:lvlText w:val="%1."/>
      <w:lvlJc w:val="left"/>
      <w:pPr>
        <w:ind w:left="720" w:hanging="360"/>
      </w:pPr>
      <w:rPr>
        <w:rFonts w:hint="default"/>
        <w:sz w:val="24"/>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6327101F"/>
    <w:multiLevelType w:val="multilevel"/>
    <w:tmpl w:val="62AE4AEE"/>
    <w:styleLink w:val="Vcerovovseznam"/>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747E0E"/>
    <w:multiLevelType w:val="multilevel"/>
    <w:tmpl w:val="62AE4AEE"/>
    <w:numStyleLink w:val="Vcerovovseznam"/>
  </w:abstractNum>
  <w:abstractNum w:abstractNumId="35" w15:restartNumberingAfterBreak="0">
    <w:nsid w:val="69984B36"/>
    <w:multiLevelType w:val="multilevel"/>
    <w:tmpl w:val="62AE4AEE"/>
    <w:numStyleLink w:val="Vcerovovseznam"/>
  </w:abstractNum>
  <w:abstractNum w:abstractNumId="36" w15:restartNumberingAfterBreak="0">
    <w:nsid w:val="6B986C27"/>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9B4FD9"/>
    <w:multiLevelType w:val="hybridMultilevel"/>
    <w:tmpl w:val="9B84B022"/>
    <w:lvl w:ilvl="0" w:tplc="69AC66B8">
      <w:start w:val="1"/>
      <w:numFmt w:val="upperRoman"/>
      <w:pStyle w:val="lnekislovannew"/>
      <w:lvlText w:val="ČLÁNEK %1."/>
      <w:lvlJc w:val="center"/>
      <w:pPr>
        <w:ind w:left="720" w:hanging="360"/>
      </w:pPr>
      <w:rPr>
        <w:rFonts w:hint="default"/>
        <w:b/>
      </w:rPr>
    </w:lvl>
    <w:lvl w:ilvl="1" w:tplc="F36AB918">
      <w:numFmt w:val="bullet"/>
      <w:lvlText w:val="•"/>
      <w:lvlJc w:val="left"/>
      <w:pPr>
        <w:ind w:left="1785" w:hanging="705"/>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BB1814"/>
    <w:multiLevelType w:val="multilevel"/>
    <w:tmpl w:val="62AE4AEE"/>
    <w:numStyleLink w:val="Vcerovovseznam"/>
  </w:abstractNum>
  <w:abstractNum w:abstractNumId="39" w15:restartNumberingAfterBreak="0">
    <w:nsid w:val="6F653A3A"/>
    <w:multiLevelType w:val="multilevel"/>
    <w:tmpl w:val="62AE4AEE"/>
    <w:numStyleLink w:val="Vcerovovseznam"/>
  </w:abstractNum>
  <w:abstractNum w:abstractNumId="40" w15:restartNumberingAfterBreak="0">
    <w:nsid w:val="6FE27E4D"/>
    <w:multiLevelType w:val="hybridMultilevel"/>
    <w:tmpl w:val="7B782AD0"/>
    <w:lvl w:ilvl="0" w:tplc="3C9A72BE">
      <w:start w:val="1"/>
      <w:numFmt w:val="upperRoman"/>
      <w:pStyle w:val="lnekislovn"/>
      <w:lvlText w:val="ČLÁNEK %1"/>
      <w:lvlJc w:val="center"/>
      <w:pPr>
        <w:ind w:left="1097"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6962B2"/>
    <w:multiLevelType w:val="multilevel"/>
    <w:tmpl w:val="62AE4AEE"/>
    <w:numStyleLink w:val="Vcerovovseznam"/>
  </w:abstractNum>
  <w:abstractNum w:abstractNumId="42" w15:restartNumberingAfterBreak="0">
    <w:nsid w:val="7FAC500C"/>
    <w:multiLevelType w:val="multilevel"/>
    <w:tmpl w:val="62AE4AEE"/>
    <w:numStyleLink w:val="Vcerovovseznam"/>
  </w:abstractNum>
  <w:num w:numId="1">
    <w:abstractNumId w:val="31"/>
  </w:num>
  <w:num w:numId="2">
    <w:abstractNumId w:val="40"/>
  </w:num>
  <w:num w:numId="3">
    <w:abstractNumId w:val="33"/>
  </w:num>
  <w:num w:numId="4">
    <w:abstractNumId w:val="4"/>
  </w:num>
  <w:num w:numId="5">
    <w:abstractNumId w:val="27"/>
  </w:num>
  <w:num w:numId="6">
    <w:abstractNumId w:val="28"/>
  </w:num>
  <w:num w:numId="7">
    <w:abstractNumId w:val="10"/>
  </w:num>
  <w:num w:numId="8">
    <w:abstractNumId w:val="17"/>
  </w:num>
  <w:num w:numId="9">
    <w:abstractNumId w:val="14"/>
  </w:num>
  <w:num w:numId="10">
    <w:abstractNumId w:val="24"/>
  </w:num>
  <w:num w:numId="11">
    <w:abstractNumId w:val="0"/>
  </w:num>
  <w:num w:numId="12">
    <w:abstractNumId w:val="21"/>
  </w:num>
  <w:num w:numId="13">
    <w:abstractNumId w:val="23"/>
  </w:num>
  <w:num w:numId="14">
    <w:abstractNumId w:val="18"/>
  </w:num>
  <w:num w:numId="15">
    <w:abstractNumId w:val="35"/>
  </w:num>
  <w:num w:numId="16">
    <w:abstractNumId w:val="38"/>
  </w:num>
  <w:num w:numId="17">
    <w:abstractNumId w:val="2"/>
  </w:num>
  <w:num w:numId="18">
    <w:abstractNumId w:val="7"/>
  </w:num>
  <w:num w:numId="19">
    <w:abstractNumId w:val="37"/>
  </w:num>
  <w:num w:numId="20">
    <w:abstractNumId w:val="1"/>
  </w:num>
  <w:num w:numId="21">
    <w:abstractNumId w:val="41"/>
  </w:num>
  <w:num w:numId="22">
    <w:abstractNumId w:val="20"/>
  </w:num>
  <w:num w:numId="23">
    <w:abstractNumId w:val="12"/>
  </w:num>
  <w:num w:numId="24">
    <w:abstractNumId w:val="42"/>
  </w:num>
  <w:num w:numId="25">
    <w:abstractNumId w:val="22"/>
  </w:num>
  <w:num w:numId="26">
    <w:abstractNumId w:val="8"/>
  </w:num>
  <w:num w:numId="27">
    <w:abstractNumId w:val="30"/>
  </w:num>
  <w:num w:numId="28">
    <w:abstractNumId w:val="34"/>
  </w:num>
  <w:num w:numId="29">
    <w:abstractNumId w:val="11"/>
  </w:num>
  <w:num w:numId="30">
    <w:abstractNumId w:val="37"/>
  </w:num>
  <w:num w:numId="31">
    <w:abstractNumId w:val="25"/>
  </w:num>
  <w:num w:numId="32">
    <w:abstractNumId w:val="31"/>
  </w:num>
  <w:num w:numId="33">
    <w:abstractNumId w:val="16"/>
  </w:num>
  <w:num w:numId="34">
    <w:abstractNumId w:val="3"/>
  </w:num>
  <w:num w:numId="35">
    <w:abstractNumId w:val="15"/>
  </w:num>
  <w:num w:numId="36">
    <w:abstractNumId w:val="9"/>
  </w:num>
  <w:num w:numId="37">
    <w:abstractNumId w:val="39"/>
  </w:num>
  <w:num w:numId="38">
    <w:abstractNumId w:val="5"/>
  </w:num>
  <w:num w:numId="39">
    <w:abstractNumId w:val="19"/>
  </w:num>
  <w:num w:numId="40">
    <w:abstractNumId w:val="26"/>
  </w:num>
  <w:num w:numId="41">
    <w:abstractNumId w:val="13"/>
  </w:num>
  <w:num w:numId="42">
    <w:abstractNumId w:val="32"/>
  </w:num>
  <w:num w:numId="43">
    <w:abstractNumId w:val="6"/>
  </w:num>
  <w:num w:numId="44">
    <w:abstractNumId w:val="37"/>
    <w:lvlOverride w:ilvl="0">
      <w:startOverride w:val="1"/>
    </w:lvlOverride>
  </w:num>
  <w:num w:numId="45">
    <w:abstractNumId w:val="36"/>
  </w:num>
  <w:num w:numId="46">
    <w:abstractNumId w:val="29"/>
  </w:num>
  <w:num w:numId="47">
    <w:abstractNumId w:val="37"/>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69"/>
    <w:rsid w:val="000164D8"/>
    <w:rsid w:val="0002091D"/>
    <w:rsid w:val="00020BB4"/>
    <w:rsid w:val="00027390"/>
    <w:rsid w:val="0003411B"/>
    <w:rsid w:val="00057AF9"/>
    <w:rsid w:val="00061934"/>
    <w:rsid w:val="000739BA"/>
    <w:rsid w:val="000810BA"/>
    <w:rsid w:val="00083AC6"/>
    <w:rsid w:val="00090D82"/>
    <w:rsid w:val="000B145B"/>
    <w:rsid w:val="000B7C1A"/>
    <w:rsid w:val="000C0AF7"/>
    <w:rsid w:val="000C40BD"/>
    <w:rsid w:val="000D4593"/>
    <w:rsid w:val="0012122D"/>
    <w:rsid w:val="00131DC0"/>
    <w:rsid w:val="0015496A"/>
    <w:rsid w:val="00184497"/>
    <w:rsid w:val="00192119"/>
    <w:rsid w:val="001A1112"/>
    <w:rsid w:val="001A4A60"/>
    <w:rsid w:val="001B180C"/>
    <w:rsid w:val="001B3F4D"/>
    <w:rsid w:val="001C2D22"/>
    <w:rsid w:val="001E008A"/>
    <w:rsid w:val="001E507C"/>
    <w:rsid w:val="001E69AA"/>
    <w:rsid w:val="001F5965"/>
    <w:rsid w:val="001F628F"/>
    <w:rsid w:val="002241E1"/>
    <w:rsid w:val="00231833"/>
    <w:rsid w:val="002334D2"/>
    <w:rsid w:val="002559CD"/>
    <w:rsid w:val="00255A39"/>
    <w:rsid w:val="00257C34"/>
    <w:rsid w:val="0026648D"/>
    <w:rsid w:val="00291F97"/>
    <w:rsid w:val="002A243B"/>
    <w:rsid w:val="002C3D9B"/>
    <w:rsid w:val="002E3D85"/>
    <w:rsid w:val="002E41F2"/>
    <w:rsid w:val="002F10F6"/>
    <w:rsid w:val="002F1FDF"/>
    <w:rsid w:val="003142E1"/>
    <w:rsid w:val="00343000"/>
    <w:rsid w:val="0039110F"/>
    <w:rsid w:val="003913D2"/>
    <w:rsid w:val="003A7AD5"/>
    <w:rsid w:val="003C621E"/>
    <w:rsid w:val="003D08D7"/>
    <w:rsid w:val="003D521C"/>
    <w:rsid w:val="003F17FB"/>
    <w:rsid w:val="003F1D69"/>
    <w:rsid w:val="003F7E79"/>
    <w:rsid w:val="00402A83"/>
    <w:rsid w:val="004060F1"/>
    <w:rsid w:val="0040728F"/>
    <w:rsid w:val="0041215E"/>
    <w:rsid w:val="00412CA1"/>
    <w:rsid w:val="00442C8B"/>
    <w:rsid w:val="00452AB1"/>
    <w:rsid w:val="00457D71"/>
    <w:rsid w:val="00462219"/>
    <w:rsid w:val="0046352A"/>
    <w:rsid w:val="00467B69"/>
    <w:rsid w:val="004700DD"/>
    <w:rsid w:val="00484B88"/>
    <w:rsid w:val="004932EC"/>
    <w:rsid w:val="004C5497"/>
    <w:rsid w:val="004D52B5"/>
    <w:rsid w:val="004E4CBB"/>
    <w:rsid w:val="004F4354"/>
    <w:rsid w:val="005013D4"/>
    <w:rsid w:val="00535FAE"/>
    <w:rsid w:val="005372D4"/>
    <w:rsid w:val="00542A61"/>
    <w:rsid w:val="005566AE"/>
    <w:rsid w:val="00563787"/>
    <w:rsid w:val="005637C0"/>
    <w:rsid w:val="00572A75"/>
    <w:rsid w:val="00596BCE"/>
    <w:rsid w:val="005A1DCE"/>
    <w:rsid w:val="005B2758"/>
    <w:rsid w:val="005C7F91"/>
    <w:rsid w:val="005D22A0"/>
    <w:rsid w:val="005E6BA9"/>
    <w:rsid w:val="005E75B0"/>
    <w:rsid w:val="005F1343"/>
    <w:rsid w:val="005F6FBD"/>
    <w:rsid w:val="005F7BF5"/>
    <w:rsid w:val="00601230"/>
    <w:rsid w:val="0060670B"/>
    <w:rsid w:val="0064554E"/>
    <w:rsid w:val="00651CBD"/>
    <w:rsid w:val="00662D3D"/>
    <w:rsid w:val="00685A06"/>
    <w:rsid w:val="00690AE5"/>
    <w:rsid w:val="00693164"/>
    <w:rsid w:val="0069555D"/>
    <w:rsid w:val="006A1B1D"/>
    <w:rsid w:val="006C4F2A"/>
    <w:rsid w:val="006D0CD2"/>
    <w:rsid w:val="006F35B6"/>
    <w:rsid w:val="00710E07"/>
    <w:rsid w:val="00727265"/>
    <w:rsid w:val="00737E48"/>
    <w:rsid w:val="0074609A"/>
    <w:rsid w:val="00764F42"/>
    <w:rsid w:val="0077249C"/>
    <w:rsid w:val="00774CCD"/>
    <w:rsid w:val="007A3250"/>
    <w:rsid w:val="007D34D7"/>
    <w:rsid w:val="007D7F77"/>
    <w:rsid w:val="007F007C"/>
    <w:rsid w:val="0080270A"/>
    <w:rsid w:val="008036F5"/>
    <w:rsid w:val="008128A1"/>
    <w:rsid w:val="008226CE"/>
    <w:rsid w:val="00824867"/>
    <w:rsid w:val="00827377"/>
    <w:rsid w:val="008363C0"/>
    <w:rsid w:val="008371EC"/>
    <w:rsid w:val="00847DE4"/>
    <w:rsid w:val="00857624"/>
    <w:rsid w:val="00870BC9"/>
    <w:rsid w:val="00870D0E"/>
    <w:rsid w:val="00874F2D"/>
    <w:rsid w:val="0089574B"/>
    <w:rsid w:val="008A2AA2"/>
    <w:rsid w:val="008A559E"/>
    <w:rsid w:val="008C5C4A"/>
    <w:rsid w:val="00930C14"/>
    <w:rsid w:val="0094211B"/>
    <w:rsid w:val="0094307C"/>
    <w:rsid w:val="00953E8A"/>
    <w:rsid w:val="00970014"/>
    <w:rsid w:val="00971D4C"/>
    <w:rsid w:val="0099711F"/>
    <w:rsid w:val="009A0BC0"/>
    <w:rsid w:val="009A5AC7"/>
    <w:rsid w:val="009B02AA"/>
    <w:rsid w:val="009B20E1"/>
    <w:rsid w:val="009B3DE1"/>
    <w:rsid w:val="009D7A8E"/>
    <w:rsid w:val="009F0971"/>
    <w:rsid w:val="009F12D2"/>
    <w:rsid w:val="00A418C6"/>
    <w:rsid w:val="00A65897"/>
    <w:rsid w:val="00A67915"/>
    <w:rsid w:val="00A72E8A"/>
    <w:rsid w:val="00A73AAD"/>
    <w:rsid w:val="00A84E4A"/>
    <w:rsid w:val="00AB4719"/>
    <w:rsid w:val="00AB64EF"/>
    <w:rsid w:val="00AC0C52"/>
    <w:rsid w:val="00AF27E1"/>
    <w:rsid w:val="00AF52D4"/>
    <w:rsid w:val="00B248F4"/>
    <w:rsid w:val="00B36E77"/>
    <w:rsid w:val="00B60EBE"/>
    <w:rsid w:val="00B61249"/>
    <w:rsid w:val="00B63BAB"/>
    <w:rsid w:val="00B70B7A"/>
    <w:rsid w:val="00B8082F"/>
    <w:rsid w:val="00B96134"/>
    <w:rsid w:val="00BA3D8B"/>
    <w:rsid w:val="00BB23CE"/>
    <w:rsid w:val="00BB2BDB"/>
    <w:rsid w:val="00BB5FC4"/>
    <w:rsid w:val="00BB7929"/>
    <w:rsid w:val="00BC0895"/>
    <w:rsid w:val="00BC0F53"/>
    <w:rsid w:val="00C058E6"/>
    <w:rsid w:val="00C10598"/>
    <w:rsid w:val="00C12706"/>
    <w:rsid w:val="00C14FD2"/>
    <w:rsid w:val="00C1709E"/>
    <w:rsid w:val="00C43F23"/>
    <w:rsid w:val="00C43F25"/>
    <w:rsid w:val="00C50CEC"/>
    <w:rsid w:val="00C95AD4"/>
    <w:rsid w:val="00CB1A61"/>
    <w:rsid w:val="00CB60AE"/>
    <w:rsid w:val="00CC1E5A"/>
    <w:rsid w:val="00CC52E4"/>
    <w:rsid w:val="00CD71AF"/>
    <w:rsid w:val="00CD7F76"/>
    <w:rsid w:val="00CE072E"/>
    <w:rsid w:val="00CE1555"/>
    <w:rsid w:val="00CE7FB9"/>
    <w:rsid w:val="00D02D8C"/>
    <w:rsid w:val="00D16995"/>
    <w:rsid w:val="00D22252"/>
    <w:rsid w:val="00D33148"/>
    <w:rsid w:val="00D44DF4"/>
    <w:rsid w:val="00D543FC"/>
    <w:rsid w:val="00D56810"/>
    <w:rsid w:val="00D739F1"/>
    <w:rsid w:val="00D74787"/>
    <w:rsid w:val="00D76DFE"/>
    <w:rsid w:val="00D82120"/>
    <w:rsid w:val="00D97DE1"/>
    <w:rsid w:val="00DA1675"/>
    <w:rsid w:val="00DC149C"/>
    <w:rsid w:val="00DC6068"/>
    <w:rsid w:val="00DC6700"/>
    <w:rsid w:val="00DC68DA"/>
    <w:rsid w:val="00DE68AB"/>
    <w:rsid w:val="00DF5664"/>
    <w:rsid w:val="00DF6F0E"/>
    <w:rsid w:val="00E068A6"/>
    <w:rsid w:val="00E308AE"/>
    <w:rsid w:val="00E3251C"/>
    <w:rsid w:val="00E3368B"/>
    <w:rsid w:val="00E5470A"/>
    <w:rsid w:val="00E615E8"/>
    <w:rsid w:val="00E62CE4"/>
    <w:rsid w:val="00E64B3D"/>
    <w:rsid w:val="00E80ABD"/>
    <w:rsid w:val="00E831BA"/>
    <w:rsid w:val="00E83F65"/>
    <w:rsid w:val="00E94DB5"/>
    <w:rsid w:val="00EA755A"/>
    <w:rsid w:val="00EB0017"/>
    <w:rsid w:val="00EB5D75"/>
    <w:rsid w:val="00EC2C4A"/>
    <w:rsid w:val="00ED3BF3"/>
    <w:rsid w:val="00EF49A5"/>
    <w:rsid w:val="00F12C8B"/>
    <w:rsid w:val="00F14384"/>
    <w:rsid w:val="00F23E03"/>
    <w:rsid w:val="00F27628"/>
    <w:rsid w:val="00F3129E"/>
    <w:rsid w:val="00F51340"/>
    <w:rsid w:val="00F52115"/>
    <w:rsid w:val="00F6275C"/>
    <w:rsid w:val="00F62C24"/>
    <w:rsid w:val="00F67DDE"/>
    <w:rsid w:val="00FA7074"/>
    <w:rsid w:val="00FB2FC2"/>
    <w:rsid w:val="00FC706E"/>
    <w:rsid w:val="00FD06DE"/>
    <w:rsid w:val="00FE0B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9298D"/>
  <w15:chartTrackingRefBased/>
  <w15:docId w15:val="{4FB78B18-D93E-4994-A324-978DA0CC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lsdException w:name="heading 3" w:locked="0" w:semiHidden="1" w:uiPriority="9" w:unhideWhenUsed="1"/>
    <w:lsdException w:name="heading 4" w:semiHidden="1"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lsdException w:name="Subtle Reference" w:locked="0" w:uiPriority="31"/>
    <w:lsdException w:name="Intense Reference" w:locked="0" w:uiPriority="32"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uiPriority w:val="1"/>
    <w:qFormat/>
    <w:rsid w:val="000739BA"/>
    <w:pPr>
      <w:spacing w:after="120" w:line="240" w:lineRule="auto"/>
      <w:jc w:val="both"/>
    </w:pPr>
    <w:rPr>
      <w:sz w:val="24"/>
    </w:rPr>
  </w:style>
  <w:style w:type="paragraph" w:styleId="Nadpis1">
    <w:name w:val="heading 1"/>
    <w:aliases w:val="Článek název"/>
    <w:basedOn w:val="Normln"/>
    <w:next w:val="Normln"/>
    <w:link w:val="Nadpis1Char"/>
    <w:uiPriority w:val="9"/>
    <w:qFormat/>
    <w:locked/>
    <w:rsid w:val="000739BA"/>
    <w:pPr>
      <w:keepNext/>
      <w:keepLines/>
      <w:spacing w:before="120"/>
      <w:jc w:val="center"/>
      <w:outlineLvl w:val="0"/>
    </w:pPr>
    <w:rPr>
      <w:rFonts w:eastAsiaTheme="majorEastAsia" w:cstheme="majorBidi"/>
      <w:b/>
      <w:caps/>
      <w:szCs w:val="32"/>
    </w:rPr>
  </w:style>
  <w:style w:type="paragraph" w:styleId="Nadpis2">
    <w:name w:val="heading 2"/>
    <w:basedOn w:val="Normln"/>
    <w:next w:val="Normln"/>
    <w:link w:val="Nadpis2Char"/>
    <w:uiPriority w:val="9"/>
    <w:locked/>
    <w:rsid w:val="002F1FDF"/>
    <w:pPr>
      <w:keepNext/>
      <w:keepLines/>
      <w:spacing w:before="40" w:after="0"/>
      <w:outlineLvl w:val="1"/>
    </w:pPr>
    <w:rPr>
      <w:rFonts w:asciiTheme="majorHAnsi" w:eastAsiaTheme="majorEastAsia" w:hAnsiTheme="majorHAnsi" w:cstheme="majorBidi"/>
      <w:sz w:val="28"/>
      <w:szCs w:val="26"/>
    </w:rPr>
  </w:style>
  <w:style w:type="paragraph" w:styleId="Nadpis3">
    <w:name w:val="heading 3"/>
    <w:basedOn w:val="Normln"/>
    <w:next w:val="Normln"/>
    <w:link w:val="Nadpis3Char"/>
    <w:uiPriority w:val="9"/>
    <w:locked/>
    <w:rsid w:val="002F1FDF"/>
    <w:pPr>
      <w:keepNext/>
      <w:keepLines/>
      <w:spacing w:before="40" w:after="0"/>
      <w:outlineLvl w:val="2"/>
    </w:pPr>
    <w:rPr>
      <w:rFonts w:asciiTheme="majorHAnsi" w:eastAsiaTheme="majorEastAsia" w:hAnsiTheme="majorHAnsi"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název Char"/>
    <w:basedOn w:val="Standardnpsmoodstavce"/>
    <w:link w:val="Nadpis1"/>
    <w:uiPriority w:val="9"/>
    <w:rsid w:val="000739BA"/>
    <w:rPr>
      <w:rFonts w:eastAsiaTheme="majorEastAsia" w:cstheme="majorBidi"/>
      <w:b/>
      <w:caps/>
      <w:sz w:val="24"/>
      <w:szCs w:val="32"/>
    </w:rPr>
  </w:style>
  <w:style w:type="character" w:customStyle="1" w:styleId="Nadpis2Char">
    <w:name w:val="Nadpis 2 Char"/>
    <w:basedOn w:val="Standardnpsmoodstavce"/>
    <w:link w:val="Nadpis2"/>
    <w:uiPriority w:val="9"/>
    <w:rsid w:val="002F1FDF"/>
    <w:rPr>
      <w:rFonts w:asciiTheme="majorHAnsi" w:eastAsiaTheme="majorEastAsia" w:hAnsiTheme="majorHAnsi" w:cstheme="majorBidi"/>
      <w:sz w:val="28"/>
      <w:szCs w:val="26"/>
    </w:rPr>
  </w:style>
  <w:style w:type="paragraph" w:styleId="Nzev">
    <w:name w:val="Title"/>
    <w:aliases w:val="Název smlouvy,tl"/>
    <w:basedOn w:val="Normln"/>
    <w:next w:val="Normln"/>
    <w:link w:val="NzevChar"/>
    <w:uiPriority w:val="99"/>
    <w:qFormat/>
    <w:rsid w:val="00EA755A"/>
    <w:pPr>
      <w:spacing w:before="360" w:after="0"/>
      <w:contextualSpacing/>
      <w:jc w:val="center"/>
    </w:pPr>
    <w:rPr>
      <w:rFonts w:eastAsiaTheme="majorEastAsia" w:cstheme="majorBidi"/>
      <w:b/>
      <w:caps/>
      <w:spacing w:val="-10"/>
      <w:kern w:val="28"/>
      <w:sz w:val="36"/>
      <w:szCs w:val="56"/>
    </w:rPr>
  </w:style>
  <w:style w:type="character" w:customStyle="1" w:styleId="NzevChar">
    <w:name w:val="Název Char"/>
    <w:aliases w:val="Název smlouvy Char,tl Char"/>
    <w:basedOn w:val="Standardnpsmoodstavce"/>
    <w:link w:val="Nzev"/>
    <w:uiPriority w:val="99"/>
    <w:rsid w:val="00EA755A"/>
    <w:rPr>
      <w:rFonts w:eastAsiaTheme="majorEastAsia" w:cstheme="majorBidi"/>
      <w:b/>
      <w:caps/>
      <w:spacing w:val="-10"/>
      <w:kern w:val="28"/>
      <w:sz w:val="36"/>
      <w:szCs w:val="56"/>
    </w:rPr>
  </w:style>
  <w:style w:type="paragraph" w:styleId="Podnadpis">
    <w:name w:val="Subtitle"/>
    <w:basedOn w:val="Normln"/>
    <w:next w:val="Normln"/>
    <w:link w:val="PodnadpisChar"/>
    <w:uiPriority w:val="11"/>
    <w:locked/>
    <w:rsid w:val="002F1FDF"/>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F1FDF"/>
    <w:rPr>
      <w:rFonts w:eastAsiaTheme="minorEastAsia"/>
      <w:color w:val="5A5A5A" w:themeColor="text1" w:themeTint="A5"/>
      <w:spacing w:val="15"/>
      <w:sz w:val="24"/>
    </w:rPr>
  </w:style>
  <w:style w:type="character" w:customStyle="1" w:styleId="Nadpis3Char">
    <w:name w:val="Nadpis 3 Char"/>
    <w:basedOn w:val="Standardnpsmoodstavce"/>
    <w:link w:val="Nadpis3"/>
    <w:uiPriority w:val="9"/>
    <w:rsid w:val="002F1FDF"/>
    <w:rPr>
      <w:rFonts w:asciiTheme="majorHAnsi" w:eastAsiaTheme="majorEastAsia" w:hAnsiTheme="majorHAnsi" w:cstheme="majorBidi"/>
      <w:b/>
      <w:sz w:val="24"/>
      <w:szCs w:val="24"/>
    </w:rPr>
  </w:style>
  <w:style w:type="character" w:styleId="Zdraznnintenzivn">
    <w:name w:val="Intense Emphasis"/>
    <w:aliases w:val="Kurzíva + barva"/>
    <w:basedOn w:val="Standardnpsmoodstavce"/>
    <w:uiPriority w:val="21"/>
    <w:locked/>
    <w:rsid w:val="005E75B0"/>
    <w:rPr>
      <w:i/>
      <w:iCs/>
      <w:color w:val="006386"/>
    </w:rPr>
  </w:style>
  <w:style w:type="paragraph" w:styleId="Zhlav">
    <w:name w:val="header"/>
    <w:basedOn w:val="Normln"/>
    <w:link w:val="ZhlavChar"/>
    <w:uiPriority w:val="99"/>
    <w:unhideWhenUsed/>
    <w:locked/>
    <w:rsid w:val="002F1FDF"/>
    <w:pPr>
      <w:tabs>
        <w:tab w:val="center" w:pos="4536"/>
        <w:tab w:val="right" w:pos="9072"/>
      </w:tabs>
      <w:spacing w:after="0"/>
    </w:pPr>
  </w:style>
  <w:style w:type="character" w:customStyle="1" w:styleId="ZhlavChar">
    <w:name w:val="Záhlaví Char"/>
    <w:basedOn w:val="Standardnpsmoodstavce"/>
    <w:link w:val="Zhlav"/>
    <w:uiPriority w:val="99"/>
    <w:rsid w:val="002F1FDF"/>
    <w:rPr>
      <w:sz w:val="24"/>
    </w:rPr>
  </w:style>
  <w:style w:type="paragraph" w:styleId="Zpat">
    <w:name w:val="footer"/>
    <w:basedOn w:val="Normln"/>
    <w:link w:val="ZpatChar"/>
    <w:uiPriority w:val="99"/>
    <w:unhideWhenUsed/>
    <w:locked/>
    <w:rsid w:val="002F1FDF"/>
    <w:pPr>
      <w:tabs>
        <w:tab w:val="center" w:pos="4536"/>
        <w:tab w:val="right" w:pos="9072"/>
      </w:tabs>
      <w:spacing w:after="0"/>
    </w:pPr>
  </w:style>
  <w:style w:type="character" w:customStyle="1" w:styleId="ZpatChar">
    <w:name w:val="Zápatí Char"/>
    <w:basedOn w:val="Standardnpsmoodstavce"/>
    <w:link w:val="Zpat"/>
    <w:uiPriority w:val="99"/>
    <w:rsid w:val="002F1FDF"/>
    <w:rPr>
      <w:sz w:val="24"/>
    </w:rPr>
  </w:style>
  <w:style w:type="character" w:styleId="Odkazjemn">
    <w:name w:val="Subtle Reference"/>
    <w:basedOn w:val="Standardnpsmoodstavce"/>
    <w:uiPriority w:val="31"/>
    <w:locked/>
    <w:rsid w:val="002F1FDF"/>
    <w:rPr>
      <w:smallCaps/>
      <w:color w:val="5A5A5A" w:themeColor="text1" w:themeTint="A5"/>
    </w:rPr>
  </w:style>
  <w:style w:type="character" w:styleId="Odkazintenzivn">
    <w:name w:val="Intense Reference"/>
    <w:aliases w:val="Barevně"/>
    <w:basedOn w:val="Standardnpsmoodstavce"/>
    <w:uiPriority w:val="32"/>
    <w:qFormat/>
    <w:locked/>
    <w:rsid w:val="002F1FDF"/>
    <w:rPr>
      <w:b/>
      <w:bCs/>
      <w:smallCaps/>
      <w:color w:val="006386" w:themeColor="accent1"/>
      <w:spacing w:val="5"/>
    </w:rPr>
  </w:style>
  <w:style w:type="paragraph" w:styleId="Odstavecseseznamem">
    <w:name w:val="List Paragraph"/>
    <w:aliases w:val="Odrážkový seznam"/>
    <w:basedOn w:val="Normln"/>
    <w:uiPriority w:val="34"/>
    <w:qFormat/>
    <w:locked/>
    <w:rsid w:val="00CC1E5A"/>
    <w:pPr>
      <w:numPr>
        <w:numId w:val="1"/>
      </w:numPr>
      <w:spacing w:before="120" w:after="0"/>
    </w:pPr>
  </w:style>
  <w:style w:type="table" w:styleId="Mkatabulky">
    <w:name w:val="Table Grid"/>
    <w:basedOn w:val="Normlntabulka"/>
    <w:uiPriority w:val="39"/>
    <w:locked/>
    <w:rsid w:val="008A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character" w:styleId="Zdraznnjemn">
    <w:name w:val="Subtle Emphasis"/>
    <w:aliases w:val="Kurzíva"/>
    <w:basedOn w:val="Standardnpsmoodstavce"/>
    <w:uiPriority w:val="19"/>
    <w:qFormat/>
    <w:rsid w:val="00764F42"/>
    <w:rPr>
      <w:i/>
      <w:iCs/>
      <w:color w:val="auto"/>
    </w:rPr>
  </w:style>
  <w:style w:type="character" w:styleId="Siln">
    <w:name w:val="Strong"/>
    <w:aliases w:val="Tučné"/>
    <w:basedOn w:val="Standardnpsmoodstavce"/>
    <w:uiPriority w:val="22"/>
    <w:qFormat/>
    <w:rsid w:val="00CE1555"/>
    <w:rPr>
      <w:b/>
      <w:bCs/>
    </w:rPr>
  </w:style>
  <w:style w:type="paragraph" w:customStyle="1" w:styleId="lnekislovn">
    <w:name w:val="Článek čislování"/>
    <w:basedOn w:val="Normln"/>
    <w:next w:val="Normln"/>
    <w:link w:val="lnekislovnChar"/>
    <w:uiPriority w:val="3"/>
    <w:locked/>
    <w:rsid w:val="00737E48"/>
    <w:pPr>
      <w:numPr>
        <w:numId w:val="2"/>
      </w:numPr>
      <w:spacing w:before="360" w:after="0"/>
      <w:jc w:val="center"/>
    </w:pPr>
    <w:rPr>
      <w:b/>
      <w:caps/>
    </w:rPr>
  </w:style>
  <w:style w:type="numbering" w:customStyle="1" w:styleId="Vcerovovseznam">
    <w:name w:val="Víceúrovňový seznam"/>
    <w:uiPriority w:val="99"/>
    <w:locked/>
    <w:rsid w:val="000739BA"/>
    <w:pPr>
      <w:numPr>
        <w:numId w:val="3"/>
      </w:numPr>
    </w:pPr>
  </w:style>
  <w:style w:type="character" w:customStyle="1" w:styleId="lnekislovnChar">
    <w:name w:val="Článek čislování Char"/>
    <w:basedOn w:val="Standardnpsmoodstavce"/>
    <w:link w:val="lnekislovn"/>
    <w:uiPriority w:val="3"/>
    <w:rsid w:val="005637C0"/>
    <w:rPr>
      <w:b/>
      <w:caps/>
      <w:sz w:val="24"/>
    </w:rPr>
  </w:style>
  <w:style w:type="paragraph" w:styleId="Zkladntext">
    <w:name w:val="Body Text"/>
    <w:aliases w:val="b,Odrazky a,c"/>
    <w:basedOn w:val="Normln"/>
    <w:link w:val="ZkladntextChar"/>
    <w:locked/>
    <w:rsid w:val="007D7F77"/>
    <w:pPr>
      <w:jc w:val="left"/>
    </w:pPr>
    <w:rPr>
      <w:rFonts w:ascii="Times New Roman" w:eastAsia="Times New Roman" w:hAnsi="Times New Roman" w:cs="Times New Roman"/>
      <w:sz w:val="20"/>
      <w:szCs w:val="20"/>
      <w:lang w:eastAsia="cs-CZ"/>
    </w:rPr>
  </w:style>
  <w:style w:type="character" w:customStyle="1" w:styleId="ZkladntextChar">
    <w:name w:val="Základní text Char"/>
    <w:aliases w:val="b Char,Odrazky a Char,c Char"/>
    <w:basedOn w:val="Standardnpsmoodstavce"/>
    <w:link w:val="Zkladntext"/>
    <w:uiPriority w:val="99"/>
    <w:rsid w:val="007D7F77"/>
    <w:rPr>
      <w:rFonts w:ascii="Times New Roman" w:eastAsia="Times New Roman" w:hAnsi="Times New Roman" w:cs="Times New Roman"/>
      <w:sz w:val="20"/>
      <w:szCs w:val="20"/>
      <w:lang w:eastAsia="cs-CZ"/>
    </w:rPr>
  </w:style>
  <w:style w:type="paragraph" w:customStyle="1" w:styleId="lnekislovannew">
    <w:name w:val="článek čislovaní new"/>
    <w:basedOn w:val="Zkladntext"/>
    <w:link w:val="lnekislovannewChar"/>
    <w:uiPriority w:val="1"/>
    <w:qFormat/>
    <w:rsid w:val="00D44DF4"/>
    <w:pPr>
      <w:numPr>
        <w:numId w:val="19"/>
      </w:numPr>
      <w:spacing w:before="240"/>
      <w:ind w:right="-454"/>
      <w:jc w:val="center"/>
    </w:pPr>
    <w:rPr>
      <w:rFonts w:asciiTheme="minorHAnsi" w:hAnsiTheme="minorHAnsi"/>
      <w:sz w:val="24"/>
    </w:rPr>
  </w:style>
  <w:style w:type="character" w:customStyle="1" w:styleId="lnekislovannewChar">
    <w:name w:val="článek čislovaní new Char"/>
    <w:basedOn w:val="ZkladntextChar"/>
    <w:link w:val="lnekislovannew"/>
    <w:uiPriority w:val="1"/>
    <w:rsid w:val="00D44DF4"/>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locked/>
    <w:rsid w:val="00057AF9"/>
    <w:rPr>
      <w:sz w:val="16"/>
      <w:szCs w:val="16"/>
    </w:rPr>
  </w:style>
  <w:style w:type="paragraph" w:styleId="Textkomente">
    <w:name w:val="annotation text"/>
    <w:basedOn w:val="Normln"/>
    <w:link w:val="TextkomenteChar"/>
    <w:uiPriority w:val="99"/>
    <w:semiHidden/>
    <w:unhideWhenUsed/>
    <w:locked/>
    <w:rsid w:val="00057AF9"/>
    <w:rPr>
      <w:sz w:val="20"/>
      <w:szCs w:val="20"/>
    </w:rPr>
  </w:style>
  <w:style w:type="character" w:customStyle="1" w:styleId="TextkomenteChar">
    <w:name w:val="Text komentáře Char"/>
    <w:basedOn w:val="Standardnpsmoodstavce"/>
    <w:link w:val="Textkomente"/>
    <w:uiPriority w:val="99"/>
    <w:semiHidden/>
    <w:rsid w:val="00057AF9"/>
    <w:rPr>
      <w:sz w:val="20"/>
      <w:szCs w:val="20"/>
    </w:rPr>
  </w:style>
  <w:style w:type="paragraph" w:styleId="Pedmtkomente">
    <w:name w:val="annotation subject"/>
    <w:basedOn w:val="Textkomente"/>
    <w:next w:val="Textkomente"/>
    <w:link w:val="PedmtkomenteChar"/>
    <w:uiPriority w:val="99"/>
    <w:semiHidden/>
    <w:unhideWhenUsed/>
    <w:locked/>
    <w:rsid w:val="00057AF9"/>
    <w:rPr>
      <w:b/>
      <w:bCs/>
    </w:rPr>
  </w:style>
  <w:style w:type="character" w:customStyle="1" w:styleId="PedmtkomenteChar">
    <w:name w:val="Předmět komentáře Char"/>
    <w:basedOn w:val="TextkomenteChar"/>
    <w:link w:val="Pedmtkomente"/>
    <w:uiPriority w:val="99"/>
    <w:semiHidden/>
    <w:rsid w:val="00057AF9"/>
    <w:rPr>
      <w:b/>
      <w:bCs/>
      <w:sz w:val="20"/>
      <w:szCs w:val="20"/>
    </w:rPr>
  </w:style>
  <w:style w:type="paragraph" w:styleId="Textbubliny">
    <w:name w:val="Balloon Text"/>
    <w:basedOn w:val="Normln"/>
    <w:link w:val="TextbublinyChar"/>
    <w:uiPriority w:val="99"/>
    <w:semiHidden/>
    <w:unhideWhenUsed/>
    <w:locked/>
    <w:rsid w:val="00057AF9"/>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0492">
      <w:bodyDiv w:val="1"/>
      <w:marLeft w:val="0"/>
      <w:marRight w:val="0"/>
      <w:marTop w:val="0"/>
      <w:marBottom w:val="0"/>
      <w:divBdr>
        <w:top w:val="none" w:sz="0" w:space="0" w:color="auto"/>
        <w:left w:val="none" w:sz="0" w:space="0" w:color="auto"/>
        <w:bottom w:val="none" w:sz="0" w:space="0" w:color="auto"/>
        <w:right w:val="none" w:sz="0" w:space="0" w:color="auto"/>
      </w:divBdr>
    </w:div>
    <w:div w:id="320892239">
      <w:bodyDiv w:val="1"/>
      <w:marLeft w:val="0"/>
      <w:marRight w:val="0"/>
      <w:marTop w:val="0"/>
      <w:marBottom w:val="0"/>
      <w:divBdr>
        <w:top w:val="none" w:sz="0" w:space="0" w:color="auto"/>
        <w:left w:val="none" w:sz="0" w:space="0" w:color="auto"/>
        <w:bottom w:val="none" w:sz="0" w:space="0" w:color="auto"/>
        <w:right w:val="none" w:sz="0" w:space="0" w:color="auto"/>
      </w:divBdr>
    </w:div>
    <w:div w:id="1294336160">
      <w:bodyDiv w:val="1"/>
      <w:marLeft w:val="0"/>
      <w:marRight w:val="0"/>
      <w:marTop w:val="0"/>
      <w:marBottom w:val="0"/>
      <w:divBdr>
        <w:top w:val="none" w:sz="0" w:space="0" w:color="auto"/>
        <w:left w:val="none" w:sz="0" w:space="0" w:color="auto"/>
        <w:bottom w:val="none" w:sz="0" w:space="0" w:color="auto"/>
        <w:right w:val="none" w:sz="0" w:space="0" w:color="auto"/>
      </w:divBdr>
    </w:div>
    <w:div w:id="16457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AKZL">
      <a:dk1>
        <a:sysClr val="windowText" lastClr="000000"/>
      </a:dk1>
      <a:lt1>
        <a:sysClr val="window" lastClr="FFFFFF"/>
      </a:lt1>
      <a:dk2>
        <a:srgbClr val="8496B0"/>
      </a:dk2>
      <a:lt2>
        <a:srgbClr val="E7E6E6"/>
      </a:lt2>
      <a:accent1>
        <a:srgbClr val="006386"/>
      </a:accent1>
      <a:accent2>
        <a:srgbClr val="8B2F0B"/>
      </a:accent2>
      <a:accent3>
        <a:srgbClr val="80864A"/>
      </a:accent3>
      <a:accent4>
        <a:srgbClr val="BF9000"/>
      </a:accent4>
      <a:accent5>
        <a:srgbClr val="034A90"/>
      </a:accent5>
      <a:accent6>
        <a:srgbClr val="375623"/>
      </a:accent6>
      <a:hlink>
        <a:srgbClr val="006386"/>
      </a:hlink>
      <a:folHlink>
        <a:srgbClr val="4B0E03"/>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2F77E-7896-4A50-811F-FE77BBDF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1820</Words>
  <Characters>10741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AKZL a patrneři</dc:creator>
  <cp:keywords/>
  <dc:description/>
  <cp:lastModifiedBy>Petr Kovářík</cp:lastModifiedBy>
  <cp:revision>3</cp:revision>
  <cp:lastPrinted>2019-04-02T08:15:00Z</cp:lastPrinted>
  <dcterms:created xsi:type="dcterms:W3CDTF">2019-04-23T08:23:00Z</dcterms:created>
  <dcterms:modified xsi:type="dcterms:W3CDTF">2019-04-23T08:24:00Z</dcterms:modified>
</cp:coreProperties>
</file>