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E4" w:rsidRPr="00A25FE4" w:rsidRDefault="00A25FE4" w:rsidP="00A25FE4">
      <w:pPr>
        <w:spacing w:after="0" w:line="240" w:lineRule="auto"/>
        <w:ind w:left="2832" w:hanging="2832"/>
        <w:jc w:val="center"/>
        <w:rPr>
          <w:rFonts w:cs="Arial"/>
          <w:b/>
          <w:sz w:val="20"/>
          <w:szCs w:val="20"/>
        </w:rPr>
      </w:pPr>
      <w:r w:rsidRPr="00A25FE4">
        <w:rPr>
          <w:rFonts w:cs="Arial"/>
          <w:b/>
          <w:color w:val="181818" w:themeColor="background2" w:themeShade="1A"/>
          <w:sz w:val="20"/>
          <w:szCs w:val="20"/>
        </w:rPr>
        <w:t xml:space="preserve">Smlouva o poskytování služeb v </w:t>
      </w:r>
      <w:r w:rsidR="00C64AC6">
        <w:rPr>
          <w:rFonts w:cs="Arial"/>
          <w:b/>
          <w:sz w:val="20"/>
          <w:szCs w:val="20"/>
        </w:rPr>
        <w:t>Marketingové situační analýzy</w:t>
      </w:r>
      <w:r w:rsidRPr="00A25FE4">
        <w:rPr>
          <w:rFonts w:cs="Arial"/>
          <w:b/>
          <w:sz w:val="20"/>
          <w:szCs w:val="20"/>
        </w:rPr>
        <w:t xml:space="preserve"> a návrh marketingové</w:t>
      </w:r>
    </w:p>
    <w:p w:rsidR="00A25FE4" w:rsidRPr="00A25FE4" w:rsidRDefault="00A25FE4" w:rsidP="00A25FE4">
      <w:pPr>
        <w:spacing w:after="0" w:line="240" w:lineRule="auto"/>
        <w:ind w:left="2832" w:hanging="2832"/>
        <w:jc w:val="center"/>
        <w:rPr>
          <w:rFonts w:cs="Arial"/>
          <w:b/>
          <w:sz w:val="20"/>
          <w:szCs w:val="20"/>
        </w:rPr>
      </w:pPr>
      <w:r w:rsidRPr="00A25FE4">
        <w:rPr>
          <w:rFonts w:cs="Arial"/>
          <w:b/>
          <w:sz w:val="20"/>
          <w:szCs w:val="20"/>
        </w:rPr>
        <w:t>strategie na roky 2020 a 2021 pro RBP, zdravotní pojišťovnu,</w:t>
      </w:r>
    </w:p>
    <w:p w:rsidR="00A25FE4" w:rsidRDefault="00A25FE4" w:rsidP="00A25FE4">
      <w:pPr>
        <w:spacing w:after="0" w:line="240" w:lineRule="auto"/>
        <w:jc w:val="both"/>
        <w:rPr>
          <w:rFonts w:cs="Arial"/>
        </w:rPr>
      </w:pPr>
    </w:p>
    <w:p w:rsidR="00DB0CD5" w:rsidRDefault="00DB0CD5" w:rsidP="00A25FE4">
      <w:pPr>
        <w:spacing w:after="0" w:line="240" w:lineRule="auto"/>
        <w:jc w:val="both"/>
        <w:rPr>
          <w:rFonts w:cs="Arial"/>
        </w:rPr>
      </w:pPr>
    </w:p>
    <w:p w:rsidR="00DB0CD5" w:rsidRDefault="00DB0CD5" w:rsidP="00A25FE4">
      <w:pPr>
        <w:spacing w:after="0" w:line="240" w:lineRule="auto"/>
        <w:jc w:val="both"/>
        <w:rPr>
          <w:rFonts w:cs="Arial"/>
        </w:rPr>
      </w:pPr>
    </w:p>
    <w:p w:rsidR="00A25FE4" w:rsidRPr="00A25FE4" w:rsidRDefault="00A25FE4" w:rsidP="00A25FE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uzavřená dle § 1746 odst. 2 zákona č. 89/2012 Sb., </w:t>
      </w:r>
      <w:r w:rsidR="00DB0CD5">
        <w:rPr>
          <w:rFonts w:cs="Arial"/>
        </w:rPr>
        <w:t xml:space="preserve">občanský zákoník, v platném znění, níže uvedeného měsíce a roku </w:t>
      </w:r>
      <w:proofErr w:type="gramStart"/>
      <w:r w:rsidR="00DB0CD5">
        <w:rPr>
          <w:rFonts w:cs="Arial"/>
        </w:rPr>
        <w:t>mezi</w:t>
      </w:r>
      <w:proofErr w:type="gramEnd"/>
      <w:r w:rsidR="00B66464">
        <w:rPr>
          <w:rFonts w:cs="Arial"/>
        </w:rPr>
        <w:t>:</w:t>
      </w:r>
      <w:r w:rsidR="00DB0CD5">
        <w:rPr>
          <w:rFonts w:cs="Arial"/>
        </w:rPr>
        <w:t xml:space="preserve"> </w:t>
      </w:r>
    </w:p>
    <w:p w:rsidR="00A25FE4" w:rsidRDefault="00A25FE4" w:rsidP="00DA53D4">
      <w:pPr>
        <w:spacing w:line="280" w:lineRule="atLeast"/>
        <w:rPr>
          <w:rFonts w:cs="Arial"/>
          <w:b/>
          <w:color w:val="181818" w:themeColor="background2" w:themeShade="1A"/>
          <w:sz w:val="20"/>
          <w:szCs w:val="20"/>
        </w:rPr>
      </w:pPr>
    </w:p>
    <w:p w:rsidR="00DA53D4" w:rsidRPr="00B8648D" w:rsidRDefault="00DA53D4" w:rsidP="00DA53D4">
      <w:pPr>
        <w:spacing w:line="280" w:lineRule="atLeast"/>
        <w:rPr>
          <w:rFonts w:cs="Arial"/>
          <w:b/>
          <w:color w:val="181818" w:themeColor="background2" w:themeShade="1A"/>
          <w:sz w:val="20"/>
          <w:szCs w:val="20"/>
        </w:rPr>
      </w:pPr>
      <w:r w:rsidRPr="00B8648D">
        <w:rPr>
          <w:rFonts w:cs="Arial"/>
          <w:b/>
          <w:color w:val="181818" w:themeColor="background2" w:themeShade="1A"/>
          <w:sz w:val="20"/>
          <w:szCs w:val="20"/>
        </w:rPr>
        <w:t xml:space="preserve">RBP, zdravotní pojišťovna  </w:t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sídlo: 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="00A25FE4">
        <w:rPr>
          <w:rFonts w:cs="Arial"/>
          <w:color w:val="181818" w:themeColor="background2" w:themeShade="1A"/>
          <w:sz w:val="20"/>
          <w:szCs w:val="20"/>
        </w:rPr>
        <w:t>Michálkovická 967/108, Slezská Ostrava, 710 00 Ostrava</w:t>
      </w:r>
      <w:r w:rsidR="00A25FE4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IČ: 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="00A25FE4">
        <w:rPr>
          <w:rFonts w:cs="Arial"/>
          <w:color w:val="181818" w:themeColor="background2" w:themeShade="1A"/>
          <w:sz w:val="20"/>
          <w:szCs w:val="20"/>
        </w:rPr>
        <w:t>476 73 036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  <w:t xml:space="preserve"> </w:t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DIČ: 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="00A25FE4">
        <w:rPr>
          <w:rFonts w:cs="Arial"/>
          <w:color w:val="181818" w:themeColor="background2" w:themeShade="1A"/>
          <w:sz w:val="20"/>
          <w:szCs w:val="20"/>
        </w:rPr>
        <w:t>CZ47673036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  <w:t xml:space="preserve"> </w:t>
      </w:r>
    </w:p>
    <w:p w:rsidR="00DA53D4" w:rsidRPr="00B8648D" w:rsidRDefault="00A25FE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>
        <w:rPr>
          <w:rFonts w:cs="Arial"/>
          <w:color w:val="181818" w:themeColor="background2" w:themeShade="1A"/>
          <w:sz w:val="20"/>
          <w:szCs w:val="20"/>
        </w:rPr>
        <w:t>zastoupená</w:t>
      </w:r>
      <w:r w:rsidR="00DA53D4" w:rsidRPr="00B8648D">
        <w:rPr>
          <w:rFonts w:cs="Arial"/>
          <w:color w:val="181818" w:themeColor="background2" w:themeShade="1A"/>
          <w:sz w:val="20"/>
          <w:szCs w:val="20"/>
        </w:rPr>
        <w:t xml:space="preserve">: </w:t>
      </w:r>
      <w:r w:rsidR="00DA53D4" w:rsidRPr="00B8648D">
        <w:rPr>
          <w:rFonts w:cs="Arial"/>
          <w:color w:val="181818" w:themeColor="background2" w:themeShade="1A"/>
          <w:sz w:val="20"/>
          <w:szCs w:val="20"/>
        </w:rPr>
        <w:tab/>
      </w:r>
      <w:r>
        <w:rPr>
          <w:rFonts w:cs="Arial"/>
          <w:color w:val="181818" w:themeColor="background2" w:themeShade="1A"/>
          <w:sz w:val="20"/>
          <w:szCs w:val="20"/>
        </w:rPr>
        <w:t>Ing. Antonínem Klimšou, MBA, výkonným ředitelem</w:t>
      </w:r>
      <w:r w:rsidR="00DA53D4" w:rsidRPr="00B8648D">
        <w:rPr>
          <w:rFonts w:cs="Arial"/>
          <w:color w:val="181818" w:themeColor="background2" w:themeShade="1A"/>
          <w:sz w:val="20"/>
          <w:szCs w:val="20"/>
        </w:rPr>
        <w:tab/>
        <w:t xml:space="preserve"> </w:t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bankovní spojení: 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proofErr w:type="spellStart"/>
      <w:r w:rsidR="00426B88" w:rsidRPr="00426B88">
        <w:rPr>
          <w:rFonts w:cs="Arial"/>
          <w:color w:val="181818" w:themeColor="background2" w:themeShade="1A"/>
          <w:sz w:val="20"/>
          <w:szCs w:val="20"/>
          <w:highlight w:val="black"/>
        </w:rPr>
        <w:t>xxxxxxxxxxx</w:t>
      </w:r>
      <w:proofErr w:type="spellEnd"/>
      <w:r w:rsidRPr="00B8648D">
        <w:rPr>
          <w:rFonts w:cs="Arial"/>
          <w:color w:val="181818" w:themeColor="background2" w:themeShade="1A"/>
          <w:sz w:val="20"/>
          <w:szCs w:val="20"/>
        </w:rPr>
        <w:tab/>
      </w:r>
    </w:p>
    <w:p w:rsidR="00DA53D4" w:rsidRPr="00B8648D" w:rsidRDefault="00A25FE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>
        <w:rPr>
          <w:rFonts w:cs="Arial"/>
          <w:color w:val="181818" w:themeColor="background2" w:themeShade="1A"/>
          <w:sz w:val="20"/>
          <w:szCs w:val="20"/>
        </w:rPr>
        <w:t>č. účtu:</w:t>
      </w:r>
      <w:r>
        <w:rPr>
          <w:rFonts w:cs="Arial"/>
          <w:color w:val="181818" w:themeColor="background2" w:themeShade="1A"/>
          <w:sz w:val="20"/>
          <w:szCs w:val="20"/>
        </w:rPr>
        <w:tab/>
      </w:r>
      <w:r>
        <w:rPr>
          <w:rFonts w:cs="Arial"/>
          <w:color w:val="181818" w:themeColor="background2" w:themeShade="1A"/>
          <w:sz w:val="20"/>
          <w:szCs w:val="20"/>
        </w:rPr>
        <w:tab/>
      </w:r>
      <w:proofErr w:type="spellStart"/>
      <w:r w:rsidR="00426B88" w:rsidRPr="00426B88">
        <w:rPr>
          <w:rFonts w:cs="Arial"/>
          <w:color w:val="181818" w:themeColor="background2" w:themeShade="1A"/>
          <w:sz w:val="20"/>
          <w:szCs w:val="20"/>
          <w:highlight w:val="black"/>
        </w:rPr>
        <w:t>xxxxxxxxxxx</w:t>
      </w:r>
      <w:proofErr w:type="spellEnd"/>
      <w:r w:rsidR="00DA53D4"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="00DA53D4" w:rsidRPr="00B8648D">
        <w:rPr>
          <w:rFonts w:cs="Arial"/>
          <w:color w:val="181818" w:themeColor="background2" w:themeShade="1A"/>
          <w:sz w:val="20"/>
          <w:szCs w:val="20"/>
        </w:rPr>
        <w:tab/>
      </w:r>
    </w:p>
    <w:p w:rsidR="00DA53D4" w:rsidRDefault="00A25FE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>
        <w:rPr>
          <w:rFonts w:cs="Arial"/>
          <w:color w:val="181818" w:themeColor="background2" w:themeShade="1A"/>
          <w:sz w:val="20"/>
          <w:szCs w:val="20"/>
        </w:rPr>
        <w:t xml:space="preserve">zapsaná v Obchodním rejstříku vedeném Krajským soudem v Ostravě, </w:t>
      </w:r>
      <w:proofErr w:type="spellStart"/>
      <w:r>
        <w:rPr>
          <w:rFonts w:cs="Arial"/>
          <w:color w:val="181818" w:themeColor="background2" w:themeShade="1A"/>
          <w:sz w:val="20"/>
          <w:szCs w:val="20"/>
        </w:rPr>
        <w:t>sp</w:t>
      </w:r>
      <w:proofErr w:type="spellEnd"/>
      <w:r>
        <w:rPr>
          <w:rFonts w:cs="Arial"/>
          <w:color w:val="181818" w:themeColor="background2" w:themeShade="1A"/>
          <w:sz w:val="20"/>
          <w:szCs w:val="20"/>
        </w:rPr>
        <w:t>. zn. AXIV 554</w:t>
      </w:r>
    </w:p>
    <w:p w:rsidR="00A25FE4" w:rsidRPr="00B8648D" w:rsidRDefault="00A25FE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(dále pouze </w:t>
      </w:r>
      <w:r w:rsidR="00DB0CD5">
        <w:rPr>
          <w:rFonts w:cs="Arial"/>
          <w:color w:val="181818" w:themeColor="background2" w:themeShade="1A"/>
          <w:sz w:val="20"/>
          <w:szCs w:val="20"/>
        </w:rPr>
        <w:t>jako „</w:t>
      </w:r>
      <w:r w:rsidRPr="00B8648D">
        <w:rPr>
          <w:rFonts w:cs="Arial"/>
          <w:color w:val="181818" w:themeColor="background2" w:themeShade="1A"/>
          <w:sz w:val="20"/>
          <w:szCs w:val="20"/>
        </w:rPr>
        <w:t>klient</w:t>
      </w:r>
      <w:r w:rsidR="00DB0CD5">
        <w:rPr>
          <w:rFonts w:cs="Arial"/>
          <w:color w:val="181818" w:themeColor="background2" w:themeShade="1A"/>
          <w:sz w:val="20"/>
          <w:szCs w:val="20"/>
        </w:rPr>
        <w:t>“</w:t>
      </w:r>
      <w:r w:rsidRPr="00B8648D">
        <w:rPr>
          <w:rFonts w:cs="Arial"/>
          <w:color w:val="181818" w:themeColor="background2" w:themeShade="1A"/>
          <w:sz w:val="20"/>
          <w:szCs w:val="20"/>
        </w:rPr>
        <w:t>)</w:t>
      </w:r>
    </w:p>
    <w:p w:rsidR="00DA53D4" w:rsidRPr="00B8648D" w:rsidRDefault="00DA53D4" w:rsidP="00DA53D4">
      <w:pPr>
        <w:spacing w:after="120" w:line="280" w:lineRule="atLeast"/>
        <w:rPr>
          <w:rFonts w:cs="Arial"/>
          <w:b/>
          <w:bCs/>
          <w:color w:val="181818" w:themeColor="background2" w:themeShade="1A"/>
          <w:sz w:val="20"/>
          <w:szCs w:val="20"/>
        </w:rPr>
      </w:pPr>
    </w:p>
    <w:p w:rsidR="00DA53D4" w:rsidRPr="00B8648D" w:rsidRDefault="00DA53D4" w:rsidP="00DA53D4">
      <w:pPr>
        <w:spacing w:line="280" w:lineRule="atLeast"/>
        <w:jc w:val="center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>a</w:t>
      </w:r>
    </w:p>
    <w:p w:rsidR="00DA53D4" w:rsidRPr="00B8648D" w:rsidRDefault="00DA53D4" w:rsidP="00DA53D4">
      <w:pPr>
        <w:pStyle w:val="Zkladntext"/>
        <w:keepNext/>
        <w:rPr>
          <w:color w:val="181818" w:themeColor="background2" w:themeShade="1A"/>
        </w:rPr>
      </w:pPr>
    </w:p>
    <w:p w:rsidR="00DA53D4" w:rsidRPr="00B8648D" w:rsidRDefault="00DA53D4" w:rsidP="00DA53D4">
      <w:pPr>
        <w:spacing w:after="120"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b/>
          <w:bCs/>
          <w:color w:val="181818" w:themeColor="background2" w:themeShade="1A"/>
          <w:sz w:val="20"/>
          <w:szCs w:val="20"/>
        </w:rPr>
        <w:t>AMI Communications, spol. s r.o</w:t>
      </w:r>
      <w:r w:rsidRPr="00B8648D">
        <w:rPr>
          <w:rFonts w:cs="Arial"/>
          <w:color w:val="181818" w:themeColor="background2" w:themeShade="1A"/>
          <w:sz w:val="20"/>
          <w:szCs w:val="20"/>
        </w:rPr>
        <w:t>.</w:t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sídlo: 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  <w:t>Týn 641/4, 110 00, Praha 1</w:t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>IČO: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  <w:t xml:space="preserve">630 77 370 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DIČ: 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  <w:t>CZ 63077370</w:t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>jejímž jménem jedná: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  <w:t>PhDr. Marek Stránský, jednatel</w:t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bankovní spojení: 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proofErr w:type="spellStart"/>
      <w:r w:rsidR="00426B88" w:rsidRPr="00426B88">
        <w:rPr>
          <w:rFonts w:cs="Arial"/>
          <w:color w:val="181818" w:themeColor="background2" w:themeShade="1A"/>
          <w:sz w:val="20"/>
          <w:szCs w:val="20"/>
          <w:highlight w:val="black"/>
        </w:rPr>
        <w:t>xxxxxxxxxxx</w:t>
      </w:r>
      <w:proofErr w:type="spellEnd"/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č. účtu: 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proofErr w:type="spellStart"/>
      <w:r w:rsidR="00426B88" w:rsidRPr="00426B88">
        <w:rPr>
          <w:rFonts w:cs="Arial"/>
          <w:color w:val="181818" w:themeColor="background2" w:themeShade="1A"/>
          <w:sz w:val="20"/>
          <w:szCs w:val="20"/>
          <w:highlight w:val="black"/>
        </w:rPr>
        <w:t>xxxxxxxxxxx</w:t>
      </w:r>
      <w:proofErr w:type="spellEnd"/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>zapsána v obchodním rejstříku vedeném Městským soudem v Praze, oddíl C, vložka 36493</w:t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(dále pouze </w:t>
      </w:r>
      <w:r w:rsidR="00DB0CD5">
        <w:rPr>
          <w:rFonts w:cs="Arial"/>
          <w:color w:val="181818" w:themeColor="background2" w:themeShade="1A"/>
          <w:sz w:val="20"/>
          <w:szCs w:val="20"/>
        </w:rPr>
        <w:t>„</w:t>
      </w:r>
      <w:r w:rsidRPr="00B8648D">
        <w:rPr>
          <w:rFonts w:cs="Arial"/>
          <w:color w:val="181818" w:themeColor="background2" w:themeShade="1A"/>
          <w:sz w:val="20"/>
          <w:szCs w:val="20"/>
        </w:rPr>
        <w:t>agentura</w:t>
      </w:r>
      <w:r w:rsidR="00DB0CD5">
        <w:rPr>
          <w:rFonts w:cs="Arial"/>
          <w:color w:val="181818" w:themeColor="background2" w:themeShade="1A"/>
          <w:sz w:val="20"/>
          <w:szCs w:val="20"/>
        </w:rPr>
        <w:t>“</w:t>
      </w:r>
      <w:r w:rsidRPr="00B8648D">
        <w:rPr>
          <w:rFonts w:cs="Arial"/>
          <w:color w:val="181818" w:themeColor="background2" w:themeShade="1A"/>
          <w:sz w:val="20"/>
          <w:szCs w:val="20"/>
        </w:rPr>
        <w:t>)</w:t>
      </w:r>
    </w:p>
    <w:p w:rsidR="00DA53D4" w:rsidRPr="00B8648D" w:rsidRDefault="00DB0CD5" w:rsidP="00DA53D4">
      <w:pPr>
        <w:spacing w:before="120" w:line="280" w:lineRule="atLeast"/>
        <w:rPr>
          <w:rFonts w:cs="Arial"/>
          <w:color w:val="181818" w:themeColor="background2" w:themeShade="1A"/>
          <w:sz w:val="20"/>
          <w:szCs w:val="20"/>
        </w:rPr>
      </w:pPr>
      <w:r>
        <w:rPr>
          <w:rFonts w:cs="Arial"/>
          <w:color w:val="181818" w:themeColor="background2" w:themeShade="1A"/>
          <w:sz w:val="20"/>
          <w:szCs w:val="20"/>
        </w:rPr>
        <w:t>(klient a agentura společně dále též jako „smluvní strany“)</w:t>
      </w:r>
    </w:p>
    <w:p w:rsidR="00DA53D4" w:rsidRPr="00B8648D" w:rsidRDefault="00DA53D4" w:rsidP="00DA53D4">
      <w:pPr>
        <w:pStyle w:val="Monitoringtext"/>
        <w:widowControl/>
        <w:autoSpaceDE w:val="0"/>
        <w:autoSpaceDN w:val="0"/>
        <w:spacing w:before="120" w:after="0" w:line="280" w:lineRule="atLeast"/>
        <w:rPr>
          <w:color w:val="181818" w:themeColor="background2" w:themeShade="1A"/>
          <w:lang w:eastAsia="cs-CZ"/>
        </w:rPr>
      </w:pPr>
    </w:p>
    <w:p w:rsidR="00DA53D4" w:rsidRPr="00B8648D" w:rsidRDefault="00DA53D4" w:rsidP="00DA53D4">
      <w:pPr>
        <w:pStyle w:val="Monitoringtext"/>
        <w:widowControl/>
        <w:autoSpaceDE w:val="0"/>
        <w:autoSpaceDN w:val="0"/>
        <w:spacing w:before="120" w:after="0" w:line="280" w:lineRule="atLeast"/>
        <w:rPr>
          <w:color w:val="181818" w:themeColor="background2" w:themeShade="1A"/>
          <w:lang w:eastAsia="cs-CZ"/>
        </w:rPr>
      </w:pPr>
    </w:p>
    <w:p w:rsidR="00DA53D4" w:rsidRDefault="00DA53D4" w:rsidP="00FA3932">
      <w:pPr>
        <w:pStyle w:val="Mil-head1"/>
        <w:spacing w:before="120" w:line="280" w:lineRule="atLeast"/>
        <w:jc w:val="left"/>
        <w:rPr>
          <w:rFonts w:ascii="Arial" w:hAnsi="Arial" w:cs="Arial"/>
          <w:color w:val="181818" w:themeColor="background2" w:themeShade="1A"/>
        </w:rPr>
      </w:pPr>
    </w:p>
    <w:p w:rsidR="00B66464" w:rsidRPr="00B8648D" w:rsidRDefault="00B66464" w:rsidP="00FA3932">
      <w:pPr>
        <w:pStyle w:val="Mil-head1"/>
        <w:spacing w:before="120" w:line="280" w:lineRule="atLeast"/>
        <w:jc w:val="left"/>
        <w:rPr>
          <w:rFonts w:ascii="Arial" w:hAnsi="Arial" w:cs="Arial"/>
          <w:color w:val="181818" w:themeColor="background2" w:themeShade="1A"/>
        </w:rPr>
      </w:pPr>
    </w:p>
    <w:p w:rsidR="00DA53D4" w:rsidRPr="00B8648D" w:rsidRDefault="00DA53D4" w:rsidP="00385E9B">
      <w:pPr>
        <w:pStyle w:val="Mil-head1"/>
        <w:numPr>
          <w:ilvl w:val="0"/>
          <w:numId w:val="20"/>
        </w:numPr>
        <w:spacing w:before="120" w:line="280" w:lineRule="atLeast"/>
        <w:jc w:val="left"/>
        <w:rPr>
          <w:rFonts w:ascii="Arial" w:hAnsi="Arial" w:cs="Arial"/>
          <w:b/>
          <w:bCs/>
          <w:color w:val="181818" w:themeColor="background2" w:themeShade="1A"/>
          <w:lang w:val="cs-CZ"/>
        </w:rPr>
      </w:pPr>
      <w:r w:rsidRPr="00B8648D">
        <w:rPr>
          <w:rFonts w:ascii="Arial" w:hAnsi="Arial" w:cs="Arial"/>
          <w:b/>
          <w:bCs/>
          <w:color w:val="181818" w:themeColor="background2" w:themeShade="1A"/>
          <w:lang w:val="cs-CZ"/>
        </w:rPr>
        <w:lastRenderedPageBreak/>
        <w:t>Účel a předmět smlouvy</w:t>
      </w:r>
    </w:p>
    <w:p w:rsidR="00DA53D4" w:rsidRDefault="00FA3932" w:rsidP="00385E9B">
      <w:pPr>
        <w:pStyle w:val="Nadpis2"/>
        <w:keepLines w:val="0"/>
        <w:numPr>
          <w:ilvl w:val="0"/>
          <w:numId w:val="21"/>
        </w:numPr>
        <w:autoSpaceDE w:val="0"/>
        <w:autoSpaceDN w:val="0"/>
        <w:spacing w:before="120" w:after="120" w:line="280" w:lineRule="atLeast"/>
        <w:jc w:val="both"/>
        <w:rPr>
          <w:rFonts w:cs="Arial"/>
          <w:b w:val="0"/>
          <w:caps/>
          <w:color w:val="181818" w:themeColor="background2" w:themeShade="1A"/>
          <w:sz w:val="20"/>
          <w:szCs w:val="20"/>
        </w:rPr>
      </w:pPr>
      <w:r>
        <w:rPr>
          <w:rFonts w:cs="Arial"/>
          <w:b w:val="0"/>
          <w:color w:val="181818" w:themeColor="background2" w:themeShade="1A"/>
          <w:sz w:val="20"/>
          <w:szCs w:val="20"/>
        </w:rPr>
        <w:t>Klient</w:t>
      </w:r>
      <w:r w:rsidR="00C64AC6">
        <w:rPr>
          <w:rFonts w:cs="Arial"/>
          <w:b w:val="0"/>
          <w:color w:val="181818" w:themeColor="background2" w:themeShade="1A"/>
          <w:sz w:val="20"/>
          <w:szCs w:val="20"/>
        </w:rPr>
        <w:t xml:space="preserve"> realizoval výběrové řízení na zpracování Marketingové situační analýzy</w:t>
      </w:r>
      <w:r w:rsidR="004D134C">
        <w:rPr>
          <w:rFonts w:cs="Arial"/>
          <w:b w:val="0"/>
          <w:color w:val="181818" w:themeColor="background2" w:themeShade="1A"/>
          <w:sz w:val="20"/>
          <w:szCs w:val="20"/>
        </w:rPr>
        <w:t xml:space="preserve"> a návrh marketingové strategie na roky 2020 – 2021 pro klienta (dále jen „veřejná zakázka“).</w:t>
      </w:r>
      <w:r w:rsidR="00C64AC6">
        <w:rPr>
          <w:rFonts w:cs="Arial"/>
          <w:b w:val="0"/>
          <w:color w:val="181818" w:themeColor="background2" w:themeShade="1A"/>
          <w:sz w:val="20"/>
          <w:szCs w:val="20"/>
        </w:rPr>
        <w:t xml:space="preserve"> </w:t>
      </w:r>
      <w:r w:rsidR="00DA53D4" w:rsidRPr="00B8648D">
        <w:rPr>
          <w:rFonts w:cs="Arial"/>
          <w:b w:val="0"/>
          <w:color w:val="181818" w:themeColor="background2" w:themeShade="1A"/>
          <w:sz w:val="20"/>
          <w:szCs w:val="20"/>
        </w:rPr>
        <w:t xml:space="preserve">Účelem této smlouvy je </w:t>
      </w:r>
      <w:r w:rsidR="00670DEE">
        <w:rPr>
          <w:rFonts w:cs="Arial"/>
          <w:b w:val="0"/>
          <w:color w:val="181818" w:themeColor="background2" w:themeShade="1A"/>
          <w:sz w:val="20"/>
          <w:szCs w:val="20"/>
        </w:rPr>
        <w:t>provedení, zabezpečení a dodání marketingové analýzy a marketingové strategie dle zadávací dokumentace k veřejné zakázce</w:t>
      </w:r>
      <w:r w:rsidR="004D134C">
        <w:rPr>
          <w:rFonts w:cs="Arial"/>
          <w:b w:val="0"/>
          <w:caps/>
          <w:color w:val="181818" w:themeColor="background2" w:themeShade="1A"/>
          <w:sz w:val="20"/>
          <w:szCs w:val="20"/>
        </w:rPr>
        <w:t xml:space="preserve">. </w:t>
      </w:r>
    </w:p>
    <w:p w:rsidR="004D134C" w:rsidRPr="00385E9B" w:rsidRDefault="004D134C" w:rsidP="00385E9B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385E9B">
        <w:rPr>
          <w:sz w:val="20"/>
          <w:szCs w:val="20"/>
        </w:rPr>
        <w:t>Předmětem této smlouvy je:</w:t>
      </w:r>
    </w:p>
    <w:p w:rsidR="004D134C" w:rsidRPr="004D134C" w:rsidRDefault="001E49BE" w:rsidP="004D134C">
      <w:pPr>
        <w:pStyle w:val="Zkladntext21"/>
        <w:numPr>
          <w:ilvl w:val="0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>
        <w:rPr>
          <w:rFonts w:ascii="Arial" w:hAnsi="Arial" w:cs="Arial"/>
          <w:b w:val="0"/>
          <w:i w:val="0"/>
          <w:snapToGrid w:val="0"/>
          <w:sz w:val="20"/>
          <w:u w:val="none"/>
        </w:rPr>
        <w:t>Analýza</w:t>
      </w:r>
      <w:r w:rsidR="004D134C"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v následujícím rozsahu a detailech:</w:t>
      </w:r>
    </w:p>
    <w:p w:rsidR="004D134C" w:rsidRPr="004D134C" w:rsidRDefault="004D134C" w:rsidP="004D134C">
      <w:pPr>
        <w:pStyle w:val="Zkladntext21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Odstavecseseznamem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cs="Arial"/>
          <w:b/>
          <w:snapToGrid w:val="0"/>
          <w:vanish/>
          <w:sz w:val="20"/>
          <w:szCs w:val="20"/>
          <w:lang w:eastAsia="ar-SA"/>
        </w:rPr>
      </w:pPr>
    </w:p>
    <w:p w:rsidR="004D134C" w:rsidRPr="004D134C" w:rsidRDefault="004D134C" w:rsidP="004D134C">
      <w:pPr>
        <w:pStyle w:val="Odstavecseseznamem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cs="Arial"/>
          <w:b/>
          <w:snapToGrid w:val="0"/>
          <w:vanish/>
          <w:sz w:val="20"/>
          <w:szCs w:val="20"/>
          <w:lang w:eastAsia="ar-SA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dosavadní komunikace značky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, jeho produktů a služeb,</w:t>
      </w:r>
    </w:p>
    <w:p w:rsidR="004D134C" w:rsidRPr="004D134C" w:rsidRDefault="004D134C" w:rsidP="004D134C">
      <w:pPr>
        <w:pStyle w:val="Zkladntext21"/>
        <w:ind w:left="144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celkového postavení značky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klienta 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na relevantním trhu ve vztahu ke konkurenci,</w:t>
      </w:r>
    </w:p>
    <w:p w:rsidR="004D134C" w:rsidRPr="004D134C" w:rsidRDefault="004D134C" w:rsidP="004D134C">
      <w:pPr>
        <w:pStyle w:val="Zkladntext21"/>
        <w:ind w:left="144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konkurence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v rozsahu uvedení největších konkurentů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a jimi používaných marketingových nástrojů,</w:t>
      </w:r>
    </w:p>
    <w:p w:rsidR="004D134C" w:rsidRPr="004D134C" w:rsidRDefault="004D134C" w:rsidP="004D134C">
      <w:pPr>
        <w:pStyle w:val="Zkladntext21"/>
        <w:ind w:left="144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vizuální identity a grafiky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napříč komunikací,</w:t>
      </w:r>
    </w:p>
    <w:p w:rsidR="004D134C" w:rsidRPr="004D134C" w:rsidRDefault="004D134C" w:rsidP="004D134C">
      <w:pPr>
        <w:pStyle w:val="Zkladntext21"/>
        <w:ind w:left="144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monitoring medií a analýza mediálního obrazu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,</w:t>
      </w:r>
    </w:p>
    <w:p w:rsidR="004D134C" w:rsidRPr="004D134C" w:rsidRDefault="004D134C" w:rsidP="004D134C">
      <w:pPr>
        <w:pStyle w:val="Zkladntext21"/>
        <w:ind w:left="144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marketingu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na sociálních sítích, </w:t>
      </w:r>
    </w:p>
    <w:p w:rsidR="004D134C" w:rsidRPr="004D134C" w:rsidRDefault="004D134C" w:rsidP="004D134C">
      <w:pPr>
        <w:pStyle w:val="Zkladntext21"/>
        <w:ind w:left="144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</w:t>
      </w:r>
      <w:proofErr w:type="spellStart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content</w:t>
      </w:r>
      <w:proofErr w:type="spellEnd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marketingu a SEO pozice ve vyhledávačích,</w:t>
      </w:r>
    </w:p>
    <w:p w:rsidR="004D134C" w:rsidRPr="004D134C" w:rsidRDefault="004D134C" w:rsidP="004D134C">
      <w:pPr>
        <w:pStyle w:val="Zkladntext21"/>
        <w:ind w:left="144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direct marketingu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,</w:t>
      </w:r>
    </w:p>
    <w:p w:rsidR="004D134C" w:rsidRPr="004D134C" w:rsidRDefault="004D134C" w:rsidP="004D134C">
      <w:pPr>
        <w:pStyle w:val="Zkladntext21"/>
        <w:ind w:left="144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tištěných propagačních materiálů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ve srovnání s konkurencí,</w:t>
      </w:r>
    </w:p>
    <w:p w:rsidR="004D134C" w:rsidRPr="004D134C" w:rsidRDefault="004D134C" w:rsidP="004D134C">
      <w:pPr>
        <w:pStyle w:val="Zkladntext21"/>
        <w:ind w:firstLine="36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výkonnostního online marketingu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(PPC kampaně, </w:t>
      </w:r>
      <w:proofErr w:type="spellStart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bannerové</w:t>
      </w:r>
      <w:proofErr w:type="spellEnd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kampaně,</w:t>
      </w:r>
      <w:r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používaní </w:t>
      </w:r>
      <w:proofErr w:type="spellStart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remarketingu</w:t>
      </w:r>
      <w:proofErr w:type="spellEnd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, RTB kampaní),</w:t>
      </w:r>
    </w:p>
    <w:p w:rsidR="004D134C" w:rsidRPr="004D134C" w:rsidRDefault="004D134C" w:rsidP="004D134C">
      <w:pPr>
        <w:pStyle w:val="Zkladntext21"/>
        <w:ind w:left="144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</w:t>
      </w:r>
      <w:proofErr w:type="spellStart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vidoekampaní</w:t>
      </w:r>
      <w:proofErr w:type="spellEnd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(TV, atd.),</w:t>
      </w:r>
    </w:p>
    <w:p w:rsidR="004D134C" w:rsidRPr="004D134C" w:rsidRDefault="004D134C" w:rsidP="004D134C">
      <w:pPr>
        <w:pStyle w:val="Zkladntext21"/>
        <w:ind w:left="144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analýza produktů a služeb </w:t>
      </w:r>
      <w:r w:rsidR="00D240B6">
        <w:rPr>
          <w:rFonts w:ascii="Arial" w:hAnsi="Arial" w:cs="Arial"/>
          <w:b w:val="0"/>
          <w:i w:val="0"/>
          <w:snapToGrid w:val="0"/>
          <w:sz w:val="20"/>
          <w:u w:val="none"/>
        </w:rPr>
        <w:t>klienta</w:t>
      </w: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ve vztahu ke konkurenci a cílovým skupinám.</w:t>
      </w:r>
    </w:p>
    <w:p w:rsidR="004D134C" w:rsidRPr="004D134C" w:rsidRDefault="004D134C" w:rsidP="004D134C">
      <w:pPr>
        <w:pStyle w:val="Zkladntext21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81282A" w:rsidP="004D134C">
      <w:pPr>
        <w:pStyle w:val="Zkladntext21"/>
        <w:numPr>
          <w:ilvl w:val="0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>
        <w:rPr>
          <w:rFonts w:ascii="Arial" w:hAnsi="Arial" w:cs="Arial"/>
          <w:b w:val="0"/>
          <w:i w:val="0"/>
          <w:snapToGrid w:val="0"/>
          <w:sz w:val="20"/>
          <w:u w:val="none"/>
        </w:rPr>
        <w:t>Marketingová</w:t>
      </w:r>
      <w:r w:rsidR="004D134C"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strategie </w:t>
      </w:r>
      <w:r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klienta </w:t>
      </w:r>
      <w:r w:rsidR="004D134C"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pro období 2020 – 2021 v následujícím rozsahu a minimálně v těchto detailech:</w:t>
      </w:r>
    </w:p>
    <w:p w:rsidR="004D134C" w:rsidRPr="004D134C" w:rsidRDefault="004D134C" w:rsidP="004D134C">
      <w:pPr>
        <w:pStyle w:val="Zkladntext21"/>
        <w:ind w:left="72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0"/>
          <w:numId w:val="18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vytvoření minimálně tří marketingových komunikačních linií</w:t>
      </w:r>
    </w:p>
    <w:p w:rsidR="004D134C" w:rsidRPr="004D134C" w:rsidRDefault="004D134C" w:rsidP="004D134C">
      <w:pPr>
        <w:pStyle w:val="Zkladntext21"/>
        <w:numPr>
          <w:ilvl w:val="0"/>
          <w:numId w:val="18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vytvoření obsahového marketingu pro navrhované marketingové komunikační linie - </w:t>
      </w:r>
      <w:proofErr w:type="spellStart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content</w:t>
      </w:r>
      <w:proofErr w:type="spellEnd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 marketing, s konkrétní realizací v následujících oblastech:</w:t>
      </w:r>
    </w:p>
    <w:p w:rsidR="004D134C" w:rsidRPr="004D134C" w:rsidRDefault="004D134C" w:rsidP="004D134C">
      <w:pPr>
        <w:pStyle w:val="Zkladntext21"/>
        <w:ind w:left="720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PR, </w:t>
      </w: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sociální sítě, </w:t>
      </w: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webová prezentace, včetně posílení SEO </w:t>
      </w:r>
      <w:proofErr w:type="spellStart"/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brand</w:t>
      </w:r>
      <w:proofErr w:type="spellEnd"/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 xml:space="preserve">tištěné materiály, </w:t>
      </w:r>
    </w:p>
    <w:p w:rsidR="004D134C" w:rsidRPr="004D134C" w:rsidRDefault="004D134C" w:rsidP="004D134C">
      <w:pPr>
        <w:pStyle w:val="Zkladntext21"/>
        <w:numPr>
          <w:ilvl w:val="1"/>
          <w:numId w:val="17"/>
        </w:numPr>
        <w:rPr>
          <w:rFonts w:ascii="Arial" w:hAnsi="Arial" w:cs="Arial"/>
          <w:b w:val="0"/>
          <w:i w:val="0"/>
          <w:snapToGrid w:val="0"/>
          <w:sz w:val="20"/>
          <w:u w:val="none"/>
        </w:rPr>
      </w:pPr>
      <w:r w:rsidRPr="004D134C">
        <w:rPr>
          <w:rFonts w:ascii="Arial" w:hAnsi="Arial" w:cs="Arial"/>
          <w:b w:val="0"/>
          <w:i w:val="0"/>
          <w:snapToGrid w:val="0"/>
          <w:sz w:val="20"/>
          <w:u w:val="none"/>
        </w:rPr>
        <w:t>audiovizuální materiály,</w:t>
      </w:r>
    </w:p>
    <w:p w:rsidR="004D134C" w:rsidRPr="004D134C" w:rsidRDefault="004D134C" w:rsidP="004D134C">
      <w:pPr>
        <w:pStyle w:val="Zkladntext21"/>
        <w:rPr>
          <w:rFonts w:ascii="Arial" w:hAnsi="Arial" w:cs="Arial"/>
          <w:b w:val="0"/>
          <w:i w:val="0"/>
          <w:snapToGrid w:val="0"/>
          <w:sz w:val="20"/>
          <w:u w:val="none"/>
        </w:rPr>
      </w:pPr>
    </w:p>
    <w:p w:rsidR="004D134C" w:rsidRPr="004D134C" w:rsidRDefault="00385E9B" w:rsidP="00385E9B">
      <w:pPr>
        <w:spacing w:after="120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>
        <w:rPr>
          <w:rFonts w:cs="Arial"/>
          <w:sz w:val="20"/>
          <w:szCs w:val="20"/>
        </w:rPr>
        <w:tab/>
      </w:r>
      <w:r w:rsidR="0081282A">
        <w:rPr>
          <w:rFonts w:cs="Arial"/>
          <w:sz w:val="20"/>
          <w:szCs w:val="20"/>
        </w:rPr>
        <w:t xml:space="preserve">Předmět této smlouvy </w:t>
      </w:r>
      <w:r w:rsidR="004D134C" w:rsidRPr="004D134C">
        <w:rPr>
          <w:rFonts w:cs="Arial"/>
          <w:sz w:val="20"/>
          <w:szCs w:val="20"/>
        </w:rPr>
        <w:t xml:space="preserve">bude </w:t>
      </w:r>
      <w:r w:rsidR="0081282A">
        <w:rPr>
          <w:rFonts w:cs="Arial"/>
          <w:sz w:val="20"/>
          <w:szCs w:val="20"/>
        </w:rPr>
        <w:t>klientovi dodán</w:t>
      </w:r>
      <w:r w:rsidR="004D134C" w:rsidRPr="004D134C">
        <w:rPr>
          <w:rFonts w:cs="Arial"/>
          <w:sz w:val="20"/>
          <w:szCs w:val="20"/>
        </w:rPr>
        <w:t xml:space="preserve"> v elektronické formě (na USB) a papírové formě ve 3 vyhotoveních.</w:t>
      </w:r>
    </w:p>
    <w:p w:rsidR="004D134C" w:rsidRPr="004D134C" w:rsidRDefault="004D134C" w:rsidP="004D134C"/>
    <w:p w:rsidR="00DA53D4" w:rsidRPr="00B8648D" w:rsidRDefault="00DA53D4" w:rsidP="00385E9B">
      <w:pPr>
        <w:pStyle w:val="Mil-head1"/>
        <w:numPr>
          <w:ilvl w:val="0"/>
          <w:numId w:val="20"/>
        </w:numPr>
        <w:spacing w:before="120" w:line="280" w:lineRule="atLeast"/>
        <w:jc w:val="left"/>
        <w:rPr>
          <w:rFonts w:ascii="Arial" w:hAnsi="Arial" w:cs="Arial"/>
          <w:b/>
          <w:bCs/>
          <w:color w:val="181818" w:themeColor="background2" w:themeShade="1A"/>
          <w:lang w:val="cs-CZ"/>
        </w:rPr>
      </w:pPr>
      <w:r w:rsidRPr="00B8648D">
        <w:rPr>
          <w:rFonts w:ascii="Arial" w:hAnsi="Arial" w:cs="Arial"/>
          <w:b/>
          <w:bCs/>
          <w:color w:val="181818" w:themeColor="background2" w:themeShade="1A"/>
          <w:lang w:val="cs-CZ"/>
        </w:rPr>
        <w:t>Práva a povinnosti stran</w:t>
      </w:r>
    </w:p>
    <w:p w:rsidR="00DA53D4" w:rsidRPr="00B8648D" w:rsidRDefault="00385E9B" w:rsidP="00DA53D4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76"/>
        <w:jc w:val="both"/>
        <w:rPr>
          <w:rFonts w:cs="Arial"/>
          <w:b w:val="0"/>
          <w:caps/>
          <w:color w:val="181818" w:themeColor="background2" w:themeShade="1A"/>
          <w:sz w:val="20"/>
          <w:szCs w:val="20"/>
        </w:rPr>
      </w:pPr>
      <w:r>
        <w:rPr>
          <w:rFonts w:cs="Arial"/>
          <w:b w:val="0"/>
          <w:color w:val="181818" w:themeColor="background2" w:themeShade="1A"/>
          <w:sz w:val="20"/>
          <w:szCs w:val="20"/>
        </w:rPr>
        <w:t>1.</w:t>
      </w:r>
      <w:r>
        <w:rPr>
          <w:rFonts w:cs="Arial"/>
          <w:b w:val="0"/>
          <w:color w:val="181818" w:themeColor="background2" w:themeShade="1A"/>
          <w:sz w:val="20"/>
          <w:szCs w:val="20"/>
        </w:rPr>
        <w:tab/>
      </w:r>
      <w:r w:rsidR="00DA53D4" w:rsidRPr="00B8648D">
        <w:rPr>
          <w:rFonts w:cs="Arial"/>
          <w:b w:val="0"/>
          <w:color w:val="181818" w:themeColor="background2" w:themeShade="1A"/>
          <w:sz w:val="20"/>
          <w:szCs w:val="20"/>
        </w:rPr>
        <w:t xml:space="preserve">Každá ze stran se zavazuje zachovávat v tajnosti všechny informace důvěrného charakteru o druhé straně, které se dozví v průběhu vzájemné spolupráce, a to i po skončení platnosti této smlouvy. Jakékoli tyto informace lze použít jen pro splnění účelu této smlouvy. Smluvní strany se zavazují, že důvěrné informace získané podle této smlouvy či v souvislosti s ní neprozradí </w:t>
      </w:r>
      <w:r w:rsidR="00DA53D4" w:rsidRPr="00B8648D">
        <w:rPr>
          <w:rFonts w:cs="Arial"/>
          <w:b w:val="0"/>
          <w:color w:val="181818" w:themeColor="background2" w:themeShade="1A"/>
          <w:sz w:val="20"/>
          <w:szCs w:val="20"/>
        </w:rPr>
        <w:lastRenderedPageBreak/>
        <w:t xml:space="preserve">třetí osobě, budou je chránit před zneužitím a vyzrazením, neumožní k takovým informacím přístup, ani je nepoužijí pro své potřeby nebo pro potřeby jiného nebo v neprospěch druhé smluvní strany, pokud by takové jednání bylo v rozporu s účelem jejich poskytnutí podle této smlouvy. </w:t>
      </w:r>
    </w:p>
    <w:p w:rsidR="00DA53D4" w:rsidRPr="00B8648D" w:rsidRDefault="00385E9B" w:rsidP="00DA53D4">
      <w:pPr>
        <w:pStyle w:val="Nadpis2"/>
        <w:keepLines w:val="0"/>
        <w:numPr>
          <w:ilvl w:val="1"/>
          <w:numId w:val="0"/>
        </w:numPr>
        <w:tabs>
          <w:tab w:val="num" w:pos="718"/>
        </w:tabs>
        <w:autoSpaceDE w:val="0"/>
        <w:autoSpaceDN w:val="0"/>
        <w:spacing w:before="120" w:after="120" w:line="280" w:lineRule="atLeast"/>
        <w:ind w:left="578" w:hanging="578"/>
        <w:jc w:val="both"/>
        <w:rPr>
          <w:rFonts w:cs="Arial"/>
          <w:b w:val="0"/>
          <w:caps/>
          <w:color w:val="181818" w:themeColor="background2" w:themeShade="1A"/>
          <w:sz w:val="20"/>
          <w:szCs w:val="20"/>
        </w:rPr>
      </w:pPr>
      <w:r>
        <w:rPr>
          <w:rFonts w:cs="Arial"/>
          <w:b w:val="0"/>
          <w:color w:val="181818" w:themeColor="background2" w:themeShade="1A"/>
          <w:sz w:val="20"/>
          <w:szCs w:val="20"/>
        </w:rPr>
        <w:t>2.</w:t>
      </w:r>
      <w:r>
        <w:rPr>
          <w:rFonts w:cs="Arial"/>
          <w:b w:val="0"/>
          <w:color w:val="181818" w:themeColor="background2" w:themeShade="1A"/>
          <w:sz w:val="20"/>
          <w:szCs w:val="20"/>
        </w:rPr>
        <w:tab/>
      </w:r>
      <w:r w:rsidR="00DA53D4" w:rsidRPr="00B8648D">
        <w:rPr>
          <w:rFonts w:cs="Arial"/>
          <w:b w:val="0"/>
          <w:color w:val="181818" w:themeColor="background2" w:themeShade="1A"/>
          <w:sz w:val="20"/>
          <w:szCs w:val="20"/>
        </w:rPr>
        <w:t>Agentura se zavazuje, že při své činnosti bude dbát, aby nebyla poškozena dobrá pověst klienta. Je povinna vykonávat činnosti dle této smlouvy s vynaložením odborné péče a ve stanovených termínech, chránit oprávněné zájmy klienta, pokud jí jsou nebo při vynaložení odborné péče mohou být známy, a je při plnění této smlouvy povinna jednat čestně a svědomitě. Agentura prohlašuje, že disponuje potřebnými odbornými schopnostmi pro provádění služeb podle této smlouvy a tuto činnost vykonává vlastním jménem a na vlastní účet a odpovědnost.</w:t>
      </w:r>
    </w:p>
    <w:p w:rsidR="00D240B6" w:rsidRDefault="00385E9B" w:rsidP="00D240B6">
      <w:pPr>
        <w:pStyle w:val="Nadpis2"/>
        <w:keepLines w:val="0"/>
        <w:numPr>
          <w:ilvl w:val="1"/>
          <w:numId w:val="0"/>
        </w:numPr>
        <w:tabs>
          <w:tab w:val="num" w:pos="718"/>
        </w:tabs>
        <w:autoSpaceDE w:val="0"/>
        <w:autoSpaceDN w:val="0"/>
        <w:spacing w:before="120" w:after="120" w:line="280" w:lineRule="atLeast"/>
        <w:ind w:left="578" w:hanging="578"/>
        <w:jc w:val="both"/>
        <w:rPr>
          <w:rFonts w:cs="Arial"/>
          <w:b w:val="0"/>
          <w:color w:val="181818" w:themeColor="background2" w:themeShade="1A"/>
          <w:sz w:val="20"/>
          <w:szCs w:val="20"/>
        </w:rPr>
      </w:pPr>
      <w:r>
        <w:rPr>
          <w:rFonts w:cs="Arial"/>
          <w:b w:val="0"/>
          <w:color w:val="181818" w:themeColor="background2" w:themeShade="1A"/>
          <w:sz w:val="20"/>
          <w:szCs w:val="20"/>
        </w:rPr>
        <w:t>3.</w:t>
      </w:r>
      <w:r>
        <w:rPr>
          <w:rFonts w:cs="Arial"/>
          <w:b w:val="0"/>
          <w:color w:val="181818" w:themeColor="background2" w:themeShade="1A"/>
          <w:sz w:val="20"/>
          <w:szCs w:val="20"/>
        </w:rPr>
        <w:tab/>
      </w:r>
      <w:r w:rsidR="00DA53D4" w:rsidRPr="00B8648D">
        <w:rPr>
          <w:rFonts w:cs="Arial"/>
          <w:b w:val="0"/>
          <w:color w:val="181818" w:themeColor="background2" w:themeShade="1A"/>
          <w:sz w:val="20"/>
          <w:szCs w:val="20"/>
        </w:rPr>
        <w:t>Obě smluvní strany berou na vědomí, že jejich vzájemná spolupráce, koordinace a komunikace představují základní podmínku pro naplnění účelu této smlouvy a zavazují se vyvinout potřebné úsilí k tomu, aby tohoto účelu bylo v souladu s touto smlouvou dosaženo.</w:t>
      </w:r>
      <w:bookmarkStart w:id="0" w:name="_GoBack"/>
      <w:bookmarkEnd w:id="0"/>
    </w:p>
    <w:p w:rsidR="00D3394F" w:rsidRPr="00D3394F" w:rsidRDefault="00D3394F" w:rsidP="00D3394F">
      <w:pPr>
        <w:pStyle w:val="Nadpis2"/>
        <w:keepLines w:val="0"/>
        <w:numPr>
          <w:ilvl w:val="1"/>
          <w:numId w:val="0"/>
        </w:numPr>
        <w:tabs>
          <w:tab w:val="num" w:pos="718"/>
        </w:tabs>
        <w:autoSpaceDE w:val="0"/>
        <w:autoSpaceDN w:val="0"/>
        <w:spacing w:before="120" w:after="120" w:line="280" w:lineRule="atLeast"/>
        <w:ind w:left="578" w:hanging="578"/>
        <w:jc w:val="both"/>
      </w:pPr>
      <w:r w:rsidRPr="00D3394F">
        <w:rPr>
          <w:rFonts w:cs="Arial"/>
          <w:b w:val="0"/>
          <w:color w:val="181818" w:themeColor="background2" w:themeShade="1A"/>
          <w:sz w:val="20"/>
          <w:szCs w:val="20"/>
        </w:rPr>
        <w:t>4.</w:t>
      </w:r>
      <w:r w:rsidRPr="00D3394F">
        <w:rPr>
          <w:rFonts w:cs="Arial"/>
          <w:b w:val="0"/>
          <w:color w:val="181818" w:themeColor="background2" w:themeShade="1A"/>
          <w:sz w:val="20"/>
          <w:szCs w:val="20"/>
        </w:rPr>
        <w:tab/>
        <w:t>Agentura se zavazuje předat předmět této smlouvy klientovi nejpozději do 10. 5. 2019.</w:t>
      </w:r>
    </w:p>
    <w:p w:rsidR="00F96C22" w:rsidRPr="00F96C22" w:rsidRDefault="00F96C22" w:rsidP="00F96C22"/>
    <w:p w:rsidR="00DA53D4" w:rsidRPr="00B8648D" w:rsidRDefault="00385E9B" w:rsidP="00DA53D4">
      <w:pPr>
        <w:pStyle w:val="Nadpis1"/>
        <w:spacing w:before="120" w:line="280" w:lineRule="atLeast"/>
        <w:rPr>
          <w:rFonts w:ascii="Arial" w:hAnsi="Arial" w:cs="Arial"/>
          <w:bCs w:val="0"/>
          <w:color w:val="181818" w:themeColor="background2" w:themeShade="1A"/>
          <w:sz w:val="28"/>
        </w:rPr>
      </w:pPr>
      <w:r>
        <w:rPr>
          <w:rFonts w:ascii="Arial" w:hAnsi="Arial" w:cs="Arial"/>
          <w:bCs w:val="0"/>
          <w:color w:val="181818" w:themeColor="background2" w:themeShade="1A"/>
          <w:sz w:val="28"/>
        </w:rPr>
        <w:t>3.</w:t>
      </w:r>
      <w:r>
        <w:rPr>
          <w:rFonts w:ascii="Arial" w:hAnsi="Arial" w:cs="Arial"/>
          <w:bCs w:val="0"/>
          <w:color w:val="181818" w:themeColor="background2" w:themeShade="1A"/>
          <w:sz w:val="28"/>
        </w:rPr>
        <w:tab/>
      </w:r>
      <w:r w:rsidR="00DA53D4" w:rsidRPr="00B8648D">
        <w:rPr>
          <w:rFonts w:ascii="Arial" w:hAnsi="Arial" w:cs="Arial"/>
          <w:bCs w:val="0"/>
          <w:color w:val="181818" w:themeColor="background2" w:themeShade="1A"/>
          <w:sz w:val="28"/>
        </w:rPr>
        <w:t>Autorská práva</w:t>
      </w:r>
    </w:p>
    <w:p w:rsidR="00DA53D4" w:rsidRPr="00670DEE" w:rsidRDefault="00385E9B" w:rsidP="00670DEE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aps/>
          <w:color w:val="181818" w:themeColor="background2" w:themeShade="1A"/>
          <w:sz w:val="20"/>
          <w:szCs w:val="20"/>
        </w:rPr>
      </w:pP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1.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B8648D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Vlastnická práva k hmotnému předmětu, na kterém je dílo vytvořené podle této smlouvy zachyceno, přechází na Klienta okamžikem jeho úplného zaplacení. </w:t>
      </w:r>
    </w:p>
    <w:p w:rsidR="00DA53D4" w:rsidRPr="00B8648D" w:rsidRDefault="00385E9B" w:rsidP="00DA53D4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rPr>
          <w:rFonts w:cs="Arial"/>
          <w:b w:val="0"/>
          <w:bCs w:val="0"/>
          <w:iCs/>
          <w:caps/>
          <w:color w:val="181818" w:themeColor="background2" w:themeShade="1A"/>
          <w:sz w:val="20"/>
          <w:szCs w:val="20"/>
        </w:rPr>
      </w:pP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2.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B8648D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Agentura touto smlouvou uděluje </w:t>
      </w:r>
      <w:r w:rsidR="001E49BE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Klientovi a jeho spřízněným</w:t>
      </w:r>
      <w:r w:rsidR="00DA53D4" w:rsidRPr="00B8648D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subjektům licenci k užívání všech děl vytvořených pro Klienta zaměstnanci Agentury v rámci plnění této smlouvy (majetková práva). Tato licence se poskytuje jako: </w:t>
      </w:r>
    </w:p>
    <w:p w:rsidR="00DA53D4" w:rsidRPr="00B8648D" w:rsidRDefault="00DA53D4" w:rsidP="00DA53D4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80" w:lineRule="atLeast"/>
        <w:ind w:left="993"/>
        <w:jc w:val="both"/>
        <w:rPr>
          <w:rFonts w:cs="Arial"/>
          <w:iCs/>
          <w:color w:val="181818" w:themeColor="background2" w:themeShade="1A"/>
          <w:sz w:val="20"/>
          <w:szCs w:val="20"/>
        </w:rPr>
      </w:pPr>
      <w:r w:rsidRPr="00B8648D">
        <w:rPr>
          <w:rFonts w:cs="Arial"/>
          <w:iCs/>
          <w:color w:val="181818" w:themeColor="background2" w:themeShade="1A"/>
          <w:sz w:val="20"/>
          <w:szCs w:val="20"/>
        </w:rPr>
        <w:t>Výhradní, a</w:t>
      </w:r>
      <w:r w:rsidRPr="00B8648D">
        <w:rPr>
          <w:rFonts w:cs="Arial"/>
          <w:color w:val="181818" w:themeColor="background2" w:themeShade="1A"/>
          <w:sz w:val="20"/>
          <w:szCs w:val="20"/>
        </w:rPr>
        <w:t xml:space="preserve"> </w:t>
      </w:r>
    </w:p>
    <w:p w:rsidR="00DA53D4" w:rsidRPr="00B8648D" w:rsidRDefault="00DA53D4" w:rsidP="00DA53D4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80" w:lineRule="atLeast"/>
        <w:ind w:left="993"/>
        <w:jc w:val="both"/>
        <w:rPr>
          <w:rFonts w:cs="Arial"/>
          <w:iCs/>
          <w:color w:val="181818" w:themeColor="background2" w:themeShade="1A"/>
          <w:sz w:val="20"/>
          <w:szCs w:val="20"/>
        </w:rPr>
      </w:pPr>
      <w:r w:rsidRPr="00B8648D">
        <w:rPr>
          <w:rFonts w:cs="Arial"/>
          <w:iCs/>
          <w:color w:val="181818" w:themeColor="background2" w:themeShade="1A"/>
          <w:sz w:val="20"/>
          <w:szCs w:val="20"/>
        </w:rPr>
        <w:t xml:space="preserve">pro území České republiky, a </w:t>
      </w:r>
    </w:p>
    <w:p w:rsidR="00DA53D4" w:rsidRPr="00B8648D" w:rsidRDefault="00DA53D4" w:rsidP="00DA53D4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80" w:lineRule="atLeast"/>
        <w:ind w:left="993"/>
        <w:jc w:val="both"/>
        <w:rPr>
          <w:rFonts w:cs="Arial"/>
          <w:iCs/>
          <w:color w:val="181818" w:themeColor="background2" w:themeShade="1A"/>
          <w:sz w:val="20"/>
          <w:szCs w:val="20"/>
        </w:rPr>
      </w:pPr>
      <w:r w:rsidRPr="00B8648D">
        <w:rPr>
          <w:rFonts w:cs="Arial"/>
          <w:iCs/>
          <w:color w:val="181818" w:themeColor="background2" w:themeShade="1A"/>
          <w:sz w:val="20"/>
          <w:szCs w:val="20"/>
        </w:rPr>
        <w:t xml:space="preserve">množstevně, časově neomezená a </w:t>
      </w:r>
    </w:p>
    <w:p w:rsidR="00476959" w:rsidRDefault="00DA53D4" w:rsidP="00385E9B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80" w:lineRule="atLeast"/>
        <w:ind w:left="993"/>
        <w:jc w:val="both"/>
        <w:rPr>
          <w:rFonts w:cs="Arial"/>
          <w:iCs/>
          <w:color w:val="181818" w:themeColor="background2" w:themeShade="1A"/>
          <w:sz w:val="20"/>
          <w:szCs w:val="20"/>
        </w:rPr>
      </w:pPr>
      <w:r w:rsidRPr="00B8648D">
        <w:rPr>
          <w:rFonts w:cs="Arial"/>
          <w:iCs/>
          <w:color w:val="181818" w:themeColor="background2" w:themeShade="1A"/>
          <w:sz w:val="20"/>
          <w:szCs w:val="20"/>
        </w:rPr>
        <w:t>ke všem způsobům užití (včetně sítě Internet).</w:t>
      </w:r>
      <w:r w:rsidRPr="00B8648D">
        <w:rPr>
          <w:rFonts w:cs="Arial"/>
          <w:color w:val="181818" w:themeColor="background2" w:themeShade="1A"/>
          <w:sz w:val="20"/>
          <w:szCs w:val="20"/>
        </w:rPr>
        <w:t xml:space="preserve"> </w:t>
      </w:r>
    </w:p>
    <w:p w:rsidR="00385E9B" w:rsidRPr="00385E9B" w:rsidRDefault="00385E9B" w:rsidP="00385E9B">
      <w:pPr>
        <w:tabs>
          <w:tab w:val="left" w:pos="993"/>
        </w:tabs>
        <w:spacing w:after="0" w:line="280" w:lineRule="atLeast"/>
        <w:ind w:left="993"/>
        <w:jc w:val="both"/>
        <w:rPr>
          <w:rFonts w:cs="Arial"/>
          <w:iCs/>
          <w:color w:val="181818" w:themeColor="background2" w:themeShade="1A"/>
          <w:sz w:val="20"/>
          <w:szCs w:val="20"/>
        </w:rPr>
      </w:pPr>
    </w:p>
    <w:p w:rsidR="00DA53D4" w:rsidRPr="00B8648D" w:rsidRDefault="0081282A" w:rsidP="00DA53D4">
      <w:pPr>
        <w:spacing w:line="280" w:lineRule="atLeast"/>
        <w:ind w:left="567"/>
        <w:jc w:val="both"/>
        <w:rPr>
          <w:rFonts w:cs="Arial"/>
          <w:iCs/>
          <w:color w:val="181818" w:themeColor="background2" w:themeShade="1A"/>
          <w:sz w:val="20"/>
          <w:szCs w:val="20"/>
        </w:rPr>
      </w:pPr>
      <w:r>
        <w:rPr>
          <w:rFonts w:cs="Arial"/>
          <w:iCs/>
          <w:color w:val="181818" w:themeColor="background2" w:themeShade="1A"/>
          <w:sz w:val="20"/>
          <w:szCs w:val="20"/>
        </w:rPr>
        <w:t>Klient není povinen</w:t>
      </w:r>
      <w:r w:rsidR="00DA53D4" w:rsidRPr="00B8648D">
        <w:rPr>
          <w:rFonts w:cs="Arial"/>
          <w:iCs/>
          <w:color w:val="181818" w:themeColor="background2" w:themeShade="1A"/>
          <w:sz w:val="20"/>
          <w:szCs w:val="20"/>
        </w:rPr>
        <w:t xml:space="preserve"> tuto li</w:t>
      </w:r>
      <w:r>
        <w:rPr>
          <w:rFonts w:cs="Arial"/>
          <w:iCs/>
          <w:color w:val="181818" w:themeColor="background2" w:themeShade="1A"/>
          <w:sz w:val="20"/>
          <w:szCs w:val="20"/>
        </w:rPr>
        <w:t>cenci využít, resp. je oprávněn</w:t>
      </w:r>
      <w:r w:rsidR="00DA53D4" w:rsidRPr="00B8648D">
        <w:rPr>
          <w:rFonts w:cs="Arial"/>
          <w:iCs/>
          <w:color w:val="181818" w:themeColor="background2" w:themeShade="1A"/>
          <w:sz w:val="20"/>
          <w:szCs w:val="20"/>
        </w:rPr>
        <w:t xml:space="preserve"> ji využít v rozsahu podle svého vlastního uvážení. Odměna za udělení licence podle tohoto ustanovení je součástí pa</w:t>
      </w:r>
      <w:r>
        <w:rPr>
          <w:rFonts w:cs="Arial"/>
          <w:iCs/>
          <w:color w:val="181818" w:themeColor="background2" w:themeShade="1A"/>
          <w:sz w:val="20"/>
          <w:szCs w:val="20"/>
        </w:rPr>
        <w:t>ušální odměny Agentury hrazené</w:t>
      </w:r>
      <w:r w:rsidR="00476959">
        <w:rPr>
          <w:rFonts w:cs="Arial"/>
          <w:iCs/>
          <w:color w:val="181818" w:themeColor="background2" w:themeShade="1A"/>
          <w:sz w:val="20"/>
          <w:szCs w:val="20"/>
        </w:rPr>
        <w:t xml:space="preserve"> Klient</w:t>
      </w:r>
      <w:r>
        <w:rPr>
          <w:rFonts w:cs="Arial"/>
          <w:iCs/>
          <w:color w:val="181818" w:themeColor="background2" w:themeShade="1A"/>
          <w:sz w:val="20"/>
          <w:szCs w:val="20"/>
        </w:rPr>
        <w:t>em</w:t>
      </w:r>
      <w:r w:rsidR="00DA53D4" w:rsidRPr="00B8648D">
        <w:rPr>
          <w:rFonts w:cs="Arial"/>
          <w:iCs/>
          <w:color w:val="181818" w:themeColor="background2" w:themeShade="1A"/>
          <w:sz w:val="20"/>
          <w:szCs w:val="20"/>
        </w:rPr>
        <w:t xml:space="preserve"> podle této Smlouvy.</w:t>
      </w:r>
    </w:p>
    <w:p w:rsidR="00DA53D4" w:rsidRPr="00670DEE" w:rsidRDefault="00DA53D4" w:rsidP="00670DEE">
      <w:pPr>
        <w:spacing w:line="280" w:lineRule="atLeast"/>
        <w:ind w:left="567"/>
        <w:jc w:val="both"/>
        <w:rPr>
          <w:rFonts w:cs="Arial"/>
          <w:iCs/>
          <w:color w:val="181818" w:themeColor="background2" w:themeShade="1A"/>
          <w:sz w:val="20"/>
          <w:szCs w:val="20"/>
        </w:rPr>
      </w:pPr>
      <w:r w:rsidRPr="00B8648D">
        <w:rPr>
          <w:rFonts w:cs="Arial"/>
          <w:iCs/>
          <w:color w:val="181818" w:themeColor="background2" w:themeShade="1A"/>
          <w:sz w:val="20"/>
          <w:szCs w:val="20"/>
        </w:rPr>
        <w:t xml:space="preserve">V případě, že </w:t>
      </w:r>
      <w:r w:rsidR="0081282A">
        <w:rPr>
          <w:rFonts w:cs="Arial"/>
          <w:iCs/>
          <w:color w:val="181818" w:themeColor="background2" w:themeShade="1A"/>
          <w:sz w:val="20"/>
          <w:szCs w:val="20"/>
        </w:rPr>
        <w:t>Klient</w:t>
      </w:r>
      <w:r w:rsidRPr="00B8648D">
        <w:rPr>
          <w:rFonts w:cs="Arial"/>
          <w:iCs/>
          <w:color w:val="181818" w:themeColor="background2" w:themeShade="1A"/>
          <w:sz w:val="20"/>
          <w:szCs w:val="20"/>
        </w:rPr>
        <w:t xml:space="preserve"> bude v prodlení déle než 30 dní s více než jednou platbou, kterou je </w:t>
      </w:r>
      <w:r w:rsidR="0081282A">
        <w:rPr>
          <w:rFonts w:cs="Arial"/>
          <w:iCs/>
          <w:color w:val="181818" w:themeColor="background2" w:themeShade="1A"/>
          <w:sz w:val="20"/>
          <w:szCs w:val="20"/>
        </w:rPr>
        <w:t>Klient povinen</w:t>
      </w:r>
      <w:r w:rsidRPr="00B8648D">
        <w:rPr>
          <w:rFonts w:cs="Arial"/>
          <w:iCs/>
          <w:color w:val="181818" w:themeColor="background2" w:themeShade="1A"/>
          <w:sz w:val="20"/>
          <w:szCs w:val="20"/>
        </w:rPr>
        <w:t xml:space="preserve"> hradit podle této Smlouvy, a agentura splnila veškeré své povinnosti, pak se má za to, že tato licence nebyla poskytnuta a </w:t>
      </w:r>
      <w:r w:rsidR="0081282A">
        <w:rPr>
          <w:rFonts w:cs="Arial"/>
          <w:iCs/>
          <w:color w:val="181818" w:themeColor="background2" w:themeShade="1A"/>
          <w:sz w:val="20"/>
          <w:szCs w:val="20"/>
        </w:rPr>
        <w:t>Klient není oprávněn</w:t>
      </w:r>
      <w:r w:rsidRPr="00B8648D">
        <w:rPr>
          <w:rFonts w:cs="Arial"/>
          <w:iCs/>
          <w:color w:val="181818" w:themeColor="background2" w:themeShade="1A"/>
          <w:sz w:val="20"/>
          <w:szCs w:val="20"/>
        </w:rPr>
        <w:t xml:space="preserve"> tuto licenci využít.</w:t>
      </w:r>
    </w:p>
    <w:p w:rsidR="00DA53D4" w:rsidRPr="00B8648D" w:rsidRDefault="00385E9B" w:rsidP="00DA53D4">
      <w:pPr>
        <w:pStyle w:val="Nadpis1"/>
        <w:spacing w:before="120" w:line="280" w:lineRule="atLeast"/>
        <w:rPr>
          <w:rFonts w:ascii="Arial" w:hAnsi="Arial" w:cs="Arial"/>
          <w:bCs w:val="0"/>
          <w:color w:val="181818" w:themeColor="background2" w:themeShade="1A"/>
          <w:sz w:val="28"/>
        </w:rPr>
      </w:pPr>
      <w:r>
        <w:rPr>
          <w:rFonts w:ascii="Arial" w:hAnsi="Arial" w:cs="Arial"/>
          <w:bCs w:val="0"/>
          <w:color w:val="181818" w:themeColor="background2" w:themeShade="1A"/>
          <w:sz w:val="28"/>
        </w:rPr>
        <w:t>4.</w:t>
      </w:r>
      <w:r>
        <w:rPr>
          <w:rFonts w:ascii="Arial" w:hAnsi="Arial" w:cs="Arial"/>
          <w:bCs w:val="0"/>
          <w:color w:val="181818" w:themeColor="background2" w:themeShade="1A"/>
          <w:sz w:val="28"/>
        </w:rPr>
        <w:tab/>
      </w:r>
      <w:r w:rsidR="00DA53D4" w:rsidRPr="00B8648D">
        <w:rPr>
          <w:rFonts w:ascii="Arial" w:hAnsi="Arial" w:cs="Arial"/>
          <w:bCs w:val="0"/>
          <w:color w:val="181818" w:themeColor="background2" w:themeShade="1A"/>
          <w:sz w:val="28"/>
        </w:rPr>
        <w:t>Cena</w:t>
      </w:r>
    </w:p>
    <w:p w:rsidR="00DA53D4" w:rsidRPr="00385E9B" w:rsidRDefault="00385E9B" w:rsidP="00385E9B">
      <w:pPr>
        <w:pStyle w:val="Nadpis2"/>
        <w:keepLines w:val="0"/>
        <w:numPr>
          <w:ilvl w:val="1"/>
          <w:numId w:val="0"/>
        </w:numPr>
        <w:tabs>
          <w:tab w:val="num" w:pos="576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1.</w:t>
      </w:r>
      <w:r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Za poskytované služby </w:t>
      </w:r>
      <w:r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dle této smlouvy </w:t>
      </w:r>
      <w:r w:rsidR="00DA53D4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zaplatí klient agentuře</w:t>
      </w:r>
      <w:r w:rsidR="00670DEE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</w:t>
      </w:r>
      <w:r w:rsidR="001E49BE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celkovou cenu </w:t>
      </w:r>
      <w:r w:rsidR="00670DEE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290 000 Kč bez DPH.</w:t>
      </w:r>
      <w:r w:rsidR="00DA53D4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</w:t>
      </w:r>
    </w:p>
    <w:p w:rsidR="00DA53D4" w:rsidRDefault="00385E9B" w:rsidP="00385E9B">
      <w:pPr>
        <w:pStyle w:val="Nadpis2"/>
        <w:keepLines w:val="0"/>
        <w:numPr>
          <w:ilvl w:val="1"/>
          <w:numId w:val="0"/>
        </w:numPr>
        <w:tabs>
          <w:tab w:val="num" w:pos="576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2.</w:t>
      </w:r>
      <w:r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Podkladem pro všechny platby je faktura, která bude mít náležitosti</w:t>
      </w:r>
      <w:r w:rsidR="00D240B6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daňového dokladu</w:t>
      </w:r>
      <w:r w:rsidR="001E49BE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ve smyslu zákona č. 235/2004 Sb., o dani z přidané hodnoty, v platném znění</w:t>
      </w:r>
      <w:r w:rsidR="00D240B6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a splatnost 30</w:t>
      </w:r>
      <w:r w:rsidR="00DA53D4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dní ode dne jejího doručení klientovi. Úhrada bude prováděna v korunách č</w:t>
      </w:r>
      <w:r w:rsidR="001E49BE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eských, bezhotovostním způsobem, a to na účet agentury uvedený v záhlaví této smlouvy.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Cena dle této smlouvy bude uhrazena:</w:t>
      </w:r>
    </w:p>
    <w:p w:rsidR="00385E9B" w:rsidRDefault="00385E9B" w:rsidP="00385E9B">
      <w:pPr>
        <w:ind w:left="1416" w:hanging="849"/>
        <w:jc w:val="both"/>
        <w:rPr>
          <w:rFonts w:eastAsiaTheme="majorEastAsia" w:cs="Arial"/>
          <w:iCs/>
          <w:color w:val="181818" w:themeColor="background2" w:themeShade="1A"/>
          <w:sz w:val="20"/>
          <w:szCs w:val="20"/>
        </w:rPr>
      </w:pPr>
      <w:r>
        <w:t>a)</w:t>
      </w:r>
      <w:r>
        <w:tab/>
      </w:r>
      <w:r w:rsidRPr="00385E9B">
        <w:rPr>
          <w:rFonts w:eastAsiaTheme="majorEastAsia" w:cs="Arial"/>
          <w:iCs/>
          <w:color w:val="181818" w:themeColor="background2" w:themeShade="1A"/>
          <w:sz w:val="20"/>
          <w:szCs w:val="20"/>
        </w:rPr>
        <w:t>na základě faktury, která bude mít náležitosti daňového dokladu ve smyslu zákona č. 235/2004 Sb., o dani z přidané hodnoty, v platném znění a splatnost 30 dní ode dne jejího doručení klientovi</w:t>
      </w:r>
      <w:r>
        <w:rPr>
          <w:rFonts w:eastAsiaTheme="majorEastAsia" w:cs="Arial"/>
          <w:iCs/>
          <w:color w:val="181818" w:themeColor="background2" w:themeShade="1A"/>
          <w:sz w:val="20"/>
          <w:szCs w:val="20"/>
        </w:rPr>
        <w:t xml:space="preserve">, znějící na 50% částky uvedené v čl. </w:t>
      </w:r>
      <w:proofErr w:type="gramStart"/>
      <w:r>
        <w:rPr>
          <w:rFonts w:eastAsiaTheme="majorEastAsia" w:cs="Arial"/>
          <w:iCs/>
          <w:color w:val="181818" w:themeColor="background2" w:themeShade="1A"/>
          <w:sz w:val="20"/>
          <w:szCs w:val="20"/>
        </w:rPr>
        <w:t>4.1. této</w:t>
      </w:r>
      <w:proofErr w:type="gramEnd"/>
      <w:r>
        <w:rPr>
          <w:rFonts w:eastAsiaTheme="majorEastAsia" w:cs="Arial"/>
          <w:iCs/>
          <w:color w:val="181818" w:themeColor="background2" w:themeShade="1A"/>
          <w:sz w:val="20"/>
          <w:szCs w:val="20"/>
        </w:rPr>
        <w:t xml:space="preserve"> smlouvy. Fakturu dle tohoto článku vystaví agentura bez zbytečného odkladu po podpisu této smlouvy</w:t>
      </w:r>
    </w:p>
    <w:p w:rsidR="002E7A06" w:rsidRPr="002E7A06" w:rsidRDefault="002E7A06" w:rsidP="002E7A06">
      <w:pPr>
        <w:ind w:left="1416" w:hanging="849"/>
        <w:jc w:val="both"/>
        <w:rPr>
          <w:rFonts w:eastAsiaTheme="majorEastAsia" w:cs="Arial"/>
          <w:iCs/>
          <w:color w:val="181818" w:themeColor="background2" w:themeShade="1A"/>
          <w:sz w:val="20"/>
          <w:szCs w:val="20"/>
        </w:rPr>
      </w:pPr>
      <w:r>
        <w:lastRenderedPageBreak/>
        <w:t xml:space="preserve">b) </w:t>
      </w:r>
      <w:r>
        <w:tab/>
      </w:r>
      <w:r w:rsidRPr="00385E9B">
        <w:rPr>
          <w:rFonts w:eastAsiaTheme="majorEastAsia" w:cs="Arial"/>
          <w:iCs/>
          <w:color w:val="181818" w:themeColor="background2" w:themeShade="1A"/>
          <w:sz w:val="20"/>
          <w:szCs w:val="20"/>
        </w:rPr>
        <w:t>na základě faktury, která bude mít náležitosti daňového dokladu ve smyslu zákona č. 235/2004 Sb., o dani z přidané hodnoty, v platném znění a splatnost 30 dní ode dne jejího doručení klientovi</w:t>
      </w:r>
      <w:r>
        <w:rPr>
          <w:rFonts w:eastAsiaTheme="majorEastAsia" w:cs="Arial"/>
          <w:iCs/>
          <w:color w:val="181818" w:themeColor="background2" w:themeShade="1A"/>
          <w:sz w:val="20"/>
          <w:szCs w:val="20"/>
        </w:rPr>
        <w:t xml:space="preserve">, znějící na zbývající částku uvedené v čl. </w:t>
      </w:r>
      <w:proofErr w:type="gramStart"/>
      <w:r>
        <w:rPr>
          <w:rFonts w:eastAsiaTheme="majorEastAsia" w:cs="Arial"/>
          <w:iCs/>
          <w:color w:val="181818" w:themeColor="background2" w:themeShade="1A"/>
          <w:sz w:val="20"/>
          <w:szCs w:val="20"/>
        </w:rPr>
        <w:t>4.1. této</w:t>
      </w:r>
      <w:proofErr w:type="gramEnd"/>
      <w:r>
        <w:rPr>
          <w:rFonts w:eastAsiaTheme="majorEastAsia" w:cs="Arial"/>
          <w:iCs/>
          <w:color w:val="181818" w:themeColor="background2" w:themeShade="1A"/>
          <w:sz w:val="20"/>
          <w:szCs w:val="20"/>
        </w:rPr>
        <w:t xml:space="preserve"> smlouvy po odečtení částky dle písm. a) tohoto článku. Fakturu dle tohoto článku vystaví agentura bez zbytečného po předání a akceptování předmětu této smlouvy klientem.</w:t>
      </w:r>
    </w:p>
    <w:p w:rsidR="00DA53D4" w:rsidRPr="00385E9B" w:rsidRDefault="00385E9B" w:rsidP="00385E9B">
      <w:pPr>
        <w:pStyle w:val="Nadpis2"/>
        <w:keepLines w:val="0"/>
        <w:numPr>
          <w:ilvl w:val="1"/>
          <w:numId w:val="0"/>
        </w:numPr>
        <w:tabs>
          <w:tab w:val="num" w:pos="576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3.</w:t>
      </w:r>
      <w:r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V ceně nejsou zahrnuty externí náklady (např. dodávka dat pro monitoring médií, cestovné a ubytování mimo Prahu, poštovné a kurýrní služby, pronájem prostor, techniky, služby fotografa, grafické práce, doprava, překlady, jazykové korektury, tisky materiálů pro </w:t>
      </w:r>
      <w:proofErr w:type="spellStart"/>
      <w:proofErr w:type="gramStart"/>
      <w:r w:rsidR="00DA53D4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KOLs</w:t>
      </w:r>
      <w:proofErr w:type="spellEnd"/>
      <w:proofErr w:type="gramEnd"/>
      <w:r w:rsidR="00DA53D4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, expertní analýzy apod.) spojené s plněním smlouvy, které budou měsíčně vyúčtovány a přefakturovány podle platných účetních předpisů. Veškeré externí náklady musejí být předem schváleny klientem a jsou přefakturovány bez jakékoliv agenturní přirážky.</w:t>
      </w:r>
      <w:r w:rsidR="001E49BE" w:rsidRPr="00385E9B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Agentura se mimo toto ujednání zavazuje minimálně třikrát zúčastnit osobního jednání s Klientem resp. zástupcem klienta, a to za účelem sběru dat pro zpracování plnění a průběžné prezentace plnění smlouvy.</w:t>
      </w:r>
    </w:p>
    <w:p w:rsidR="00D240B6" w:rsidRPr="00D240B6" w:rsidRDefault="00D240B6" w:rsidP="00D240B6"/>
    <w:p w:rsidR="00DA53D4" w:rsidRPr="002E7A06" w:rsidRDefault="002E7A06" w:rsidP="002E7A06">
      <w:pPr>
        <w:pStyle w:val="Nadpis1"/>
        <w:spacing w:before="120" w:line="280" w:lineRule="atLeast"/>
        <w:rPr>
          <w:rFonts w:ascii="Arial" w:hAnsi="Arial" w:cs="Arial"/>
          <w:bCs w:val="0"/>
          <w:color w:val="181818" w:themeColor="background2" w:themeShade="1A"/>
          <w:sz w:val="28"/>
        </w:rPr>
      </w:pPr>
      <w:r w:rsidRPr="002E7A06">
        <w:rPr>
          <w:rFonts w:ascii="Arial" w:hAnsi="Arial" w:cs="Arial"/>
          <w:bCs w:val="0"/>
          <w:color w:val="181818" w:themeColor="background2" w:themeShade="1A"/>
          <w:sz w:val="28"/>
        </w:rPr>
        <w:t>5.</w:t>
      </w:r>
      <w:r w:rsidR="00DA53D4" w:rsidRPr="002E7A06">
        <w:rPr>
          <w:rFonts w:ascii="Arial" w:hAnsi="Arial" w:cs="Arial"/>
          <w:bCs w:val="0"/>
          <w:color w:val="181818" w:themeColor="background2" w:themeShade="1A"/>
          <w:sz w:val="28"/>
        </w:rPr>
        <w:t xml:space="preserve"> </w:t>
      </w:r>
      <w:r>
        <w:rPr>
          <w:rFonts w:ascii="Arial" w:hAnsi="Arial" w:cs="Arial"/>
          <w:bCs w:val="0"/>
          <w:color w:val="181818" w:themeColor="background2" w:themeShade="1A"/>
          <w:sz w:val="28"/>
        </w:rPr>
        <w:tab/>
      </w:r>
      <w:r w:rsidR="00DA53D4" w:rsidRPr="002E7A06">
        <w:rPr>
          <w:rFonts w:ascii="Arial" w:hAnsi="Arial" w:cs="Arial"/>
          <w:bCs w:val="0"/>
          <w:color w:val="181818" w:themeColor="background2" w:themeShade="1A"/>
          <w:sz w:val="28"/>
        </w:rPr>
        <w:t>Platnost smlouvy</w:t>
      </w:r>
    </w:p>
    <w:p w:rsidR="00DA53D4" w:rsidRPr="002E7A06" w:rsidRDefault="002E7A06" w:rsidP="002E7A06">
      <w:pPr>
        <w:pStyle w:val="Nadpis2"/>
        <w:keepLines w:val="0"/>
        <w:numPr>
          <w:ilvl w:val="1"/>
          <w:numId w:val="0"/>
        </w:numPr>
        <w:tabs>
          <w:tab w:val="num" w:pos="576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2E7A06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1.</w:t>
      </w:r>
      <w:r w:rsidRPr="002E7A06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2E7A06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Tato smlouva se uzavírá na dobu určitou</w:t>
      </w:r>
      <w:r w:rsidR="001E49BE" w:rsidRPr="002E7A06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, a to</w:t>
      </w:r>
      <w:r w:rsidR="00DA53D4" w:rsidRPr="002E7A06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v délce </w:t>
      </w:r>
      <w:r w:rsidR="00D240B6" w:rsidRPr="002E7A06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od jejího podpisu do řádného předání předmětu smlouvy klientovi.</w:t>
      </w:r>
    </w:p>
    <w:p w:rsidR="00DA53D4" w:rsidRPr="00F96C22" w:rsidRDefault="002E7A06" w:rsidP="00F96C22">
      <w:pPr>
        <w:pStyle w:val="Nadpis2"/>
        <w:keepLines w:val="0"/>
        <w:numPr>
          <w:ilvl w:val="1"/>
          <w:numId w:val="0"/>
        </w:numPr>
        <w:tabs>
          <w:tab w:val="num" w:pos="576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2E7A06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2.</w:t>
      </w:r>
      <w:r w:rsidRPr="002E7A06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2E7A06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Tuto smlouvu lze kdykoli zrušit písemně dohodou stran nebo jednostrannou výpovědí kterékoli ze smluvních stran s výpovědní lhůtou 2 měsíců, která počíná následujícím měsícem po doručení písemné výpovědi druhé ze smluvních stran.</w:t>
      </w:r>
      <w:r w:rsid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</w:t>
      </w:r>
      <w:r w:rsidR="00DA53D4" w:rsidRPr="00B8648D">
        <w:rPr>
          <w:rFonts w:cs="Arial"/>
          <w:b w:val="0"/>
          <w:color w:val="181818" w:themeColor="background2" w:themeShade="1A"/>
          <w:sz w:val="20"/>
          <w:szCs w:val="20"/>
        </w:rPr>
        <w:t xml:space="preserve">Po dobu nabytí účinnosti výpovědi resp. výpovědní lhůty platí všechna práva a povinnosti stran založené touto smlouvou. </w:t>
      </w:r>
    </w:p>
    <w:p w:rsidR="00DA53D4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76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3.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Po skončení platnosti smlouvy jsou strany povinny navzájem si zúčtovat zaplacené zálohy a jiné platby.</w:t>
      </w:r>
    </w:p>
    <w:p w:rsidR="00F96C22" w:rsidRPr="00F96C22" w:rsidRDefault="00F96C22" w:rsidP="00F96C22"/>
    <w:p w:rsidR="00DA53D4" w:rsidRPr="00B8648D" w:rsidRDefault="00DA53D4" w:rsidP="002E7A06">
      <w:pPr>
        <w:pStyle w:val="Nadpis1"/>
        <w:spacing w:before="120" w:line="280" w:lineRule="atLeast"/>
        <w:rPr>
          <w:rFonts w:ascii="Arial" w:hAnsi="Arial" w:cs="Arial"/>
          <w:b w:val="0"/>
          <w:bCs w:val="0"/>
          <w:color w:val="181818" w:themeColor="background2" w:themeShade="1A"/>
        </w:rPr>
      </w:pPr>
      <w:r w:rsidRPr="002E7A06">
        <w:rPr>
          <w:rFonts w:ascii="Arial" w:hAnsi="Arial" w:cs="Arial"/>
          <w:bCs w:val="0"/>
          <w:color w:val="181818" w:themeColor="background2" w:themeShade="1A"/>
          <w:sz w:val="28"/>
        </w:rPr>
        <w:t xml:space="preserve"> </w:t>
      </w:r>
      <w:r w:rsidR="002E7A06" w:rsidRPr="002E7A06">
        <w:rPr>
          <w:rFonts w:ascii="Arial" w:hAnsi="Arial" w:cs="Arial"/>
          <w:bCs w:val="0"/>
          <w:color w:val="181818" w:themeColor="background2" w:themeShade="1A"/>
          <w:sz w:val="28"/>
        </w:rPr>
        <w:t>6.</w:t>
      </w:r>
      <w:r w:rsidR="002E7A06" w:rsidRPr="002E7A06">
        <w:rPr>
          <w:rFonts w:ascii="Arial" w:hAnsi="Arial" w:cs="Arial"/>
          <w:bCs w:val="0"/>
          <w:color w:val="181818" w:themeColor="background2" w:themeShade="1A"/>
          <w:sz w:val="28"/>
        </w:rPr>
        <w:tab/>
      </w:r>
      <w:r w:rsidRPr="002E7A06">
        <w:rPr>
          <w:rFonts w:ascii="Arial" w:hAnsi="Arial" w:cs="Arial"/>
          <w:bCs w:val="0"/>
          <w:color w:val="181818" w:themeColor="background2" w:themeShade="1A"/>
          <w:sz w:val="28"/>
        </w:rPr>
        <w:t>Nástupnická práva</w:t>
      </w:r>
    </w:p>
    <w:p w:rsidR="00D240B6" w:rsidRPr="00F96C22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76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1.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Pokud by měl vzejít z jednoho ze smluvních partnerů právní nástupce, potom platí za dohodnuté, že všechna práva a povinnosti z této smlouvy přejdou na příslušného právního nástupce. Všechna ostatní ustanovení této smlouvy zůstávají nedotčena.</w:t>
      </w:r>
    </w:p>
    <w:p w:rsidR="00DA53D4" w:rsidRPr="002E7A06" w:rsidRDefault="002E7A06" w:rsidP="002E7A06">
      <w:pPr>
        <w:pStyle w:val="Nadpis1"/>
        <w:spacing w:before="120" w:line="280" w:lineRule="atLeast"/>
        <w:rPr>
          <w:rFonts w:ascii="Arial" w:hAnsi="Arial" w:cs="Arial"/>
          <w:bCs w:val="0"/>
          <w:color w:val="181818" w:themeColor="background2" w:themeShade="1A"/>
          <w:sz w:val="28"/>
        </w:rPr>
      </w:pPr>
      <w:r w:rsidRPr="002E7A06">
        <w:rPr>
          <w:rFonts w:ascii="Arial" w:hAnsi="Arial" w:cs="Arial"/>
          <w:bCs w:val="0"/>
          <w:color w:val="181818" w:themeColor="background2" w:themeShade="1A"/>
          <w:sz w:val="28"/>
        </w:rPr>
        <w:t>7.</w:t>
      </w:r>
      <w:r w:rsidRPr="002E7A06">
        <w:rPr>
          <w:rFonts w:ascii="Arial" w:hAnsi="Arial" w:cs="Arial"/>
          <w:bCs w:val="0"/>
          <w:color w:val="181818" w:themeColor="background2" w:themeShade="1A"/>
          <w:sz w:val="28"/>
        </w:rPr>
        <w:tab/>
      </w:r>
      <w:r w:rsidR="00DA53D4" w:rsidRPr="002E7A06">
        <w:rPr>
          <w:rFonts w:ascii="Arial" w:hAnsi="Arial" w:cs="Arial"/>
          <w:bCs w:val="0"/>
          <w:color w:val="181818" w:themeColor="background2" w:themeShade="1A"/>
          <w:sz w:val="28"/>
        </w:rPr>
        <w:t>Společná a závěrečná ustanovení</w:t>
      </w:r>
    </w:p>
    <w:p w:rsidR="00DA53D4" w:rsidRPr="00F96C22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1.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Tato smlouva vstupuje v platnost dnem jejího podpisu oběma stranami.</w:t>
      </w: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Agentura bere na vědomí, že klient je povinen uveřejnit tuto smlouvu v registru smluv dle zákona č. 340/2015 Sb., zákon registru smluv, v platném znění. Agentura bere dále na vědomí, že ve smyslu § 6 odst. 1 zákona č. 340/2015 Sb., zákon registru smluv, v platném znění, nabývá tato smlouva účinnosti nejdříve dnem jejího uveřejnění. </w:t>
      </w:r>
    </w:p>
    <w:p w:rsidR="00DA53D4" w:rsidRPr="00F96C22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2.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Tato smlouva a její přílohy i dodatky jsou předmětem obchodního tajemství obou smluvních stran.</w:t>
      </w:r>
    </w:p>
    <w:p w:rsidR="00DA53D4" w:rsidRPr="00F96C22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3.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Tuto smlouvu lze měnit, doplňovat nebo zrušit pouze písemnou formou; písemná forma je nezbytná i k vzdání se požadavku na písemnou formu. Písemné a oběma stranami podepsané dodatky budou číslovány ve vzestupném pořadí.</w:t>
      </w:r>
    </w:p>
    <w:p w:rsidR="00DA53D4" w:rsidRPr="00F96C22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4.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Práva a povinnosti stran se řídí příslušnými ustanoveními </w:t>
      </w:r>
      <w:r w:rsidR="00D240B6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občanského zákoníku.</w:t>
      </w:r>
    </w:p>
    <w:p w:rsidR="00DA53D4" w:rsidRPr="00F96C22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5.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Fyzické osoby, které tuto smlouvu uzavírají jménem jednotlivých smluvních stran, tímto prohlašují, že jsou plně oprávněny k platnému uzavření této smlouvy.</w:t>
      </w:r>
    </w:p>
    <w:p w:rsidR="00DA53D4" w:rsidRPr="00F96C22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6.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Smluvní strany si tímto vzájemně udělují výslovný souhlas se zasíláním zpráv, informací, potvrzení o doručení zpráv, urgencí a jiných sdělení ve věci této smlouvy a jejího plnění </w:t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lastRenderedPageBreak/>
        <w:t>prostřednictvím elektronických prostředků, zejména prostřednictvím elektronické pošty, na své elektronické kontakty (zpravidla na adresy elektronické pošty). Tento souhlas se dále vztahuje i na zasílání obchodních sdělení ve věcech, jichž se týká tato smlouva.</w:t>
      </w:r>
    </w:p>
    <w:p w:rsidR="00DA53D4" w:rsidRPr="00F96C22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7.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Oprávnění zástupci obou smluvních stran prohlašují, že plně souhlasí s obsahem této Smlouvy, kterou pokládají za oboustranně výhodnou a vyjadřují svou společnou vůli uzavřít obchodní vztah v souladu s touto Smlouvou.</w:t>
      </w:r>
    </w:p>
    <w:p w:rsidR="00DA53D4" w:rsidRPr="00F96C22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8.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Smluvní strany prohlašují, že Smlouva nebyla uzavřena pod nátlakem nebo za podmínek zvláště nevýhodných pro kteroukoli ze smluvních stran. </w:t>
      </w:r>
    </w:p>
    <w:p w:rsidR="00F96C22" w:rsidRPr="00F96C22" w:rsidRDefault="00F96C22" w:rsidP="00F96C22">
      <w:pPr>
        <w:pStyle w:val="Nadpis2"/>
        <w:keepLines w:val="0"/>
        <w:numPr>
          <w:ilvl w:val="1"/>
          <w:numId w:val="0"/>
        </w:numPr>
        <w:tabs>
          <w:tab w:val="num" w:pos="567"/>
        </w:tabs>
        <w:autoSpaceDE w:val="0"/>
        <w:autoSpaceDN w:val="0"/>
        <w:spacing w:before="120" w:after="120" w:line="280" w:lineRule="atLeast"/>
        <w:ind w:left="567" w:hanging="567"/>
        <w:jc w:val="both"/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</w:pP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9. </w:t>
      </w:r>
      <w:r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ab/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Tato smlouva je vyhotovena ve </w:t>
      </w: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dvou vyhotoveních</w:t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, kde každý má </w:t>
      </w: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platnost</w:t>
      </w:r>
      <w:r w:rsidR="00DA53D4"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 xml:space="preserve"> originálu. Každá ze smluvních stran obdrží </w:t>
      </w:r>
      <w:r w:rsidRPr="00F96C22">
        <w:rPr>
          <w:rFonts w:cs="Arial"/>
          <w:b w:val="0"/>
          <w:bCs w:val="0"/>
          <w:iCs/>
          <w:color w:val="181818" w:themeColor="background2" w:themeShade="1A"/>
          <w:sz w:val="20"/>
          <w:szCs w:val="20"/>
        </w:rPr>
        <w:t>po jednom vyhotovení.</w:t>
      </w:r>
    </w:p>
    <w:p w:rsidR="00F96C22" w:rsidRPr="00B8648D" w:rsidRDefault="00F96C22" w:rsidP="00DA53D4">
      <w:pPr>
        <w:spacing w:before="120" w:line="280" w:lineRule="atLeast"/>
        <w:rPr>
          <w:rFonts w:cs="Arial"/>
          <w:color w:val="181818" w:themeColor="background2" w:themeShade="1A"/>
          <w:sz w:val="20"/>
          <w:szCs w:val="20"/>
        </w:rPr>
      </w:pPr>
    </w:p>
    <w:p w:rsidR="00DA53D4" w:rsidRPr="00B8648D" w:rsidRDefault="00DA53D4" w:rsidP="00DA53D4">
      <w:pPr>
        <w:spacing w:before="120"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 xml:space="preserve">V Praze, dne </w:t>
      </w:r>
      <w:r w:rsidR="00A230A2">
        <w:rPr>
          <w:rFonts w:cs="Arial"/>
          <w:color w:val="181818" w:themeColor="background2" w:themeShade="1A"/>
          <w:sz w:val="20"/>
          <w:szCs w:val="20"/>
        </w:rPr>
        <w:tab/>
      </w:r>
      <w:r w:rsidR="00A230A2">
        <w:rPr>
          <w:rFonts w:cs="Arial"/>
          <w:color w:val="181818" w:themeColor="background2" w:themeShade="1A"/>
          <w:sz w:val="20"/>
          <w:szCs w:val="20"/>
        </w:rPr>
        <w:tab/>
      </w:r>
      <w:r w:rsidR="00A230A2">
        <w:rPr>
          <w:rFonts w:cs="Arial"/>
          <w:color w:val="181818" w:themeColor="background2" w:themeShade="1A"/>
          <w:sz w:val="20"/>
          <w:szCs w:val="20"/>
        </w:rPr>
        <w:tab/>
      </w:r>
      <w:r w:rsidR="00A230A2">
        <w:rPr>
          <w:rFonts w:cs="Arial"/>
          <w:color w:val="181818" w:themeColor="background2" w:themeShade="1A"/>
          <w:sz w:val="20"/>
          <w:szCs w:val="20"/>
        </w:rPr>
        <w:tab/>
      </w:r>
      <w:r w:rsidR="00A230A2">
        <w:rPr>
          <w:rFonts w:cs="Arial"/>
          <w:color w:val="181818" w:themeColor="background2" w:themeShade="1A"/>
          <w:sz w:val="20"/>
          <w:szCs w:val="20"/>
        </w:rPr>
        <w:tab/>
      </w:r>
      <w:r w:rsidR="00A230A2">
        <w:rPr>
          <w:rFonts w:cs="Arial"/>
          <w:color w:val="181818" w:themeColor="background2" w:themeShade="1A"/>
          <w:sz w:val="20"/>
          <w:szCs w:val="20"/>
        </w:rPr>
        <w:tab/>
      </w:r>
      <w:r w:rsidR="00A230A2">
        <w:rPr>
          <w:rFonts w:cs="Arial"/>
          <w:color w:val="181818" w:themeColor="background2" w:themeShade="1A"/>
          <w:sz w:val="20"/>
          <w:szCs w:val="20"/>
        </w:rPr>
        <w:tab/>
        <w:t>V Ostravě, dne</w:t>
      </w:r>
    </w:p>
    <w:p w:rsidR="00DA53D4" w:rsidRPr="00B8648D" w:rsidRDefault="00DA53D4" w:rsidP="00DA53D4">
      <w:pPr>
        <w:spacing w:before="120"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>...................................................</w:t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</w:r>
      <w:r w:rsidRPr="00B8648D">
        <w:rPr>
          <w:rFonts w:cs="Arial"/>
          <w:color w:val="181818" w:themeColor="background2" w:themeShade="1A"/>
          <w:sz w:val="20"/>
          <w:szCs w:val="20"/>
        </w:rPr>
        <w:tab/>
        <w:t>........................................................</w:t>
      </w:r>
    </w:p>
    <w:p w:rsidR="00A230A2" w:rsidRDefault="00DA53D4" w:rsidP="00DA53D4">
      <w:pPr>
        <w:spacing w:before="120"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>PhDr. Marek Stránský, Ph.D.</w:t>
      </w:r>
    </w:p>
    <w:p w:rsidR="00DA53D4" w:rsidRPr="00B8648D" w:rsidRDefault="00DA53D4" w:rsidP="00DA53D4">
      <w:pPr>
        <w:spacing w:before="120"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>jednatel</w:t>
      </w:r>
    </w:p>
    <w:p w:rsidR="00DA53D4" w:rsidRPr="00B8648D" w:rsidRDefault="00DA53D4" w:rsidP="00DA53D4">
      <w:pPr>
        <w:spacing w:line="280" w:lineRule="atLeast"/>
        <w:rPr>
          <w:rFonts w:cs="Arial"/>
          <w:color w:val="181818" w:themeColor="background2" w:themeShade="1A"/>
          <w:sz w:val="20"/>
          <w:szCs w:val="20"/>
        </w:rPr>
      </w:pPr>
      <w:r w:rsidRPr="00B8648D">
        <w:rPr>
          <w:rFonts w:cs="Arial"/>
          <w:color w:val="181818" w:themeColor="background2" w:themeShade="1A"/>
          <w:sz w:val="20"/>
          <w:szCs w:val="20"/>
        </w:rPr>
        <w:t>AMI Communications, spol. s r.o.</w:t>
      </w:r>
      <w:r w:rsidRPr="00B8648D">
        <w:rPr>
          <w:rFonts w:cs="Arial"/>
          <w:color w:val="181818" w:themeColor="background2" w:themeShade="1A"/>
        </w:rPr>
        <w:t xml:space="preserve"> </w:t>
      </w:r>
    </w:p>
    <w:p w:rsidR="004F3B20" w:rsidRPr="00B8648D" w:rsidRDefault="004F3B20" w:rsidP="00BE32F7">
      <w:pPr>
        <w:rPr>
          <w:color w:val="181818" w:themeColor="background2" w:themeShade="1A"/>
          <w:sz w:val="20"/>
        </w:rPr>
      </w:pPr>
    </w:p>
    <w:sectPr w:rsidR="004F3B20" w:rsidRPr="00B8648D" w:rsidSect="006168B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AB" w:rsidRDefault="00D04DAB" w:rsidP="004F3B20">
      <w:pPr>
        <w:spacing w:after="0" w:line="240" w:lineRule="auto"/>
      </w:pPr>
      <w:r>
        <w:separator/>
      </w:r>
    </w:p>
  </w:endnote>
  <w:endnote w:type="continuationSeparator" w:id="0">
    <w:p w:rsidR="00D04DAB" w:rsidRDefault="00D04DAB" w:rsidP="004F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20" w:rsidRDefault="006B15B1">
    <w:pPr>
      <w:pStyle w:val="Zpat"/>
    </w:pPr>
    <w:r>
      <w:rPr>
        <w:noProof/>
        <w:lang w:eastAsia="cs-CZ"/>
      </w:rPr>
      <w:pict>
        <v:rect id="Obdélník 11" o:spid="_x0000_s4099" style="position:absolute;margin-left:12.85pt;margin-top:34.05pt;width:49.55pt;height:25.2pt;z-index:251659264;visibility:visible;mso-position-horizontal-relative:right-margin-area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" filled="f" stroked="f">
          <v:textbox>
            <w:txbxContent>
              <w:sdt>
                <w:sdtPr>
                  <w:rPr>
                    <w:rFonts w:ascii="Arial Black" w:eastAsiaTheme="majorEastAsia" w:hAnsi="Arial Black" w:cstheme="majorBidi"/>
                    <w:color w:val="7B7B7B" w:themeColor="accent6" w:themeShade="BF"/>
                    <w:sz w:val="24"/>
                    <w:szCs w:val="24"/>
                  </w:rPr>
                  <w:id w:val="392084774"/>
                </w:sdtPr>
                <w:sdtContent>
                  <w:sdt>
                    <w:sdtPr>
                      <w:rPr>
                        <w:rFonts w:ascii="Arial Black" w:eastAsiaTheme="majorEastAsia" w:hAnsi="Arial Black" w:cstheme="majorBidi"/>
                        <w:color w:val="7B7B7B" w:themeColor="accent6" w:themeShade="BF"/>
                        <w:sz w:val="24"/>
                        <w:szCs w:val="24"/>
                      </w:rPr>
                      <w:id w:val="-1102874984"/>
                    </w:sdtPr>
                    <w:sdtContent>
                      <w:p w:rsidR="006168BF" w:rsidRPr="00781A72" w:rsidRDefault="006B15B1" w:rsidP="006168BF">
                        <w:pPr>
                          <w:jc w:val="center"/>
                          <w:rPr>
                            <w:rFonts w:ascii="Arial Black" w:eastAsiaTheme="majorEastAsia" w:hAnsi="Arial Black" w:cstheme="majorBidi"/>
                            <w:color w:val="7B7B7B" w:themeColor="accent6" w:themeShade="BF"/>
                            <w:sz w:val="24"/>
                            <w:szCs w:val="24"/>
                          </w:rPr>
                        </w:pPr>
                        <w:r w:rsidRPr="006B15B1">
                          <w:rPr>
                            <w:rFonts w:ascii="Arial Black" w:eastAsiaTheme="minorEastAsia" w:hAnsi="Arial Black"/>
                            <w:color w:val="7B7B7B" w:themeColor="accent6" w:themeShade="BF"/>
                            <w:sz w:val="24"/>
                            <w:szCs w:val="24"/>
                          </w:rPr>
                          <w:fldChar w:fldCharType="begin"/>
                        </w:r>
                        <w:r w:rsidR="006168BF" w:rsidRPr="00781A72">
                          <w:rPr>
                            <w:rFonts w:ascii="Arial Black" w:hAnsi="Arial Black"/>
                            <w:color w:val="7B7B7B" w:themeColor="accent6" w:themeShade="BF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6B15B1">
                          <w:rPr>
                            <w:rFonts w:ascii="Arial Black" w:eastAsiaTheme="minorEastAsia" w:hAnsi="Arial Black"/>
                            <w:color w:val="7B7B7B" w:themeColor="accent6" w:themeShade="BF"/>
                            <w:sz w:val="24"/>
                            <w:szCs w:val="24"/>
                          </w:rPr>
                          <w:fldChar w:fldCharType="separate"/>
                        </w:r>
                        <w:r w:rsidR="00426B88" w:rsidRPr="00426B88">
                          <w:rPr>
                            <w:rFonts w:ascii="Arial Black" w:eastAsiaTheme="majorEastAsia" w:hAnsi="Arial Black" w:cstheme="majorBidi"/>
                            <w:noProof/>
                            <w:color w:val="7B7B7B" w:themeColor="accent6" w:themeShade="BF"/>
                            <w:sz w:val="24"/>
                            <w:szCs w:val="24"/>
                          </w:rPr>
                          <w:t>2</w:t>
                        </w:r>
                        <w:r w:rsidRPr="00781A72">
                          <w:rPr>
                            <w:rFonts w:ascii="Arial Black" w:eastAsiaTheme="majorEastAsia" w:hAnsi="Arial Black" w:cstheme="majorBidi"/>
                            <w:color w:val="7B7B7B" w:themeColor="accent6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cs-CZ"/>
      </w:rPr>
      <w:pict>
        <v:rect id="Obdélník 3" o:spid="_x0000_s4098" style="position:absolute;margin-left:-55.5pt;margin-top:13.2pt;width:564.75pt;height:19.6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" fillcolor="#bfbfbf [2412]" stroked="f" strokeweight="2pt">
          <v:fill opacity="32896f"/>
        </v:rect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4097" type="#_x0000_t202" style="position:absolute;margin-left:-7.7pt;margin-top:13.4pt;width:457.2pt;height:19.6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" filled="f" stroked="f" strokeweight=".5pt">
          <v:textbox>
            <w:txbxContent>
              <w:p w:rsidR="006168BF" w:rsidRPr="00DD372B" w:rsidRDefault="006168BF" w:rsidP="006168BF">
                <w:pPr>
                  <w:rPr>
                    <w:color w:val="808080" w:themeColor="background1" w:themeShade="80"/>
                  </w:rPr>
                </w:pPr>
                <w:r w:rsidRPr="00DD372B">
                  <w:rPr>
                    <w:color w:val="808080" w:themeColor="background1" w:themeShade="80"/>
                  </w:rPr>
                  <w:t>AMI Communications, Týn 641/4, 110 00 Praha 1, Tel.: 234 124 112, Fax: 234 124 120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AB" w:rsidRDefault="00D04DAB" w:rsidP="004F3B20">
      <w:pPr>
        <w:spacing w:after="0" w:line="240" w:lineRule="auto"/>
      </w:pPr>
      <w:r>
        <w:separator/>
      </w:r>
    </w:p>
  </w:footnote>
  <w:footnote w:type="continuationSeparator" w:id="0">
    <w:p w:rsidR="00D04DAB" w:rsidRDefault="00D04DAB" w:rsidP="004F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64F"/>
    <w:multiLevelType w:val="hybridMultilevel"/>
    <w:tmpl w:val="ED42BB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7D14"/>
    <w:multiLevelType w:val="hybridMultilevel"/>
    <w:tmpl w:val="D8DAD608"/>
    <w:lvl w:ilvl="0" w:tplc="00DC4D6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E46C0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05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03732E"/>
    <w:multiLevelType w:val="multilevel"/>
    <w:tmpl w:val="3FCC0940"/>
    <w:lvl w:ilvl="0">
      <w:start w:val="1"/>
      <w:numFmt w:val="decimal"/>
      <w:pStyle w:val="cislovanitext"/>
      <w:lvlText w:val="%1|"/>
      <w:lvlJc w:val="left"/>
      <w:pPr>
        <w:ind w:left="510" w:hanging="283"/>
      </w:pPr>
      <w:rPr>
        <w:rFonts w:ascii="Arial" w:hAnsi="Arial" w:hint="default"/>
        <w:b/>
        <w:i w:val="0"/>
        <w:color w:val="E36C0A" w:themeColor="text1"/>
      </w:rPr>
    </w:lvl>
    <w:lvl w:ilvl="1">
      <w:start w:val="1"/>
      <w:numFmt w:val="lowerLetter"/>
      <w:lvlText w:val="%2|"/>
      <w:lvlJc w:val="left"/>
      <w:pPr>
        <w:ind w:left="850" w:hanging="283"/>
      </w:pPr>
      <w:rPr>
        <w:rFonts w:hint="default"/>
      </w:rPr>
    </w:lvl>
    <w:lvl w:ilvl="2">
      <w:start w:val="1"/>
      <w:numFmt w:val="lowerRoman"/>
      <w:lvlText w:val="%3|"/>
      <w:lvlJc w:val="right"/>
      <w:pPr>
        <w:ind w:left="1190" w:hanging="283"/>
      </w:pPr>
      <w:rPr>
        <w:rFonts w:hint="default"/>
      </w:rPr>
    </w:lvl>
    <w:lvl w:ilvl="3">
      <w:start w:val="1"/>
      <w:numFmt w:val="decimal"/>
      <w:lvlText w:val="%4|"/>
      <w:lvlJc w:val="left"/>
      <w:pPr>
        <w:ind w:left="1530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0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0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0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0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30" w:hanging="283"/>
      </w:pPr>
      <w:rPr>
        <w:rFonts w:hint="default"/>
      </w:rPr>
    </w:lvl>
  </w:abstractNum>
  <w:abstractNum w:abstractNumId="4">
    <w:nsid w:val="268D3751"/>
    <w:multiLevelType w:val="hybridMultilevel"/>
    <w:tmpl w:val="CEE83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E4C61"/>
    <w:multiLevelType w:val="hybridMultilevel"/>
    <w:tmpl w:val="BAA8616E"/>
    <w:lvl w:ilvl="0" w:tplc="DE62DD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970B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02359C"/>
    <w:multiLevelType w:val="hybridMultilevel"/>
    <w:tmpl w:val="CF5E057E"/>
    <w:lvl w:ilvl="0" w:tplc="174AB9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45750"/>
    <w:multiLevelType w:val="hybridMultilevel"/>
    <w:tmpl w:val="C314888A"/>
    <w:lvl w:ilvl="0" w:tplc="B3369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66549"/>
    <w:multiLevelType w:val="multilevel"/>
    <w:tmpl w:val="5660206E"/>
    <w:lvl w:ilvl="0">
      <w:start w:val="1"/>
      <w:numFmt w:val="bullet"/>
      <w:pStyle w:val="Odrazkyhlavni"/>
      <w:lvlText w:val=""/>
      <w:lvlJc w:val="left"/>
      <w:pPr>
        <w:ind w:left="510" w:hanging="283"/>
      </w:pPr>
      <w:rPr>
        <w:rFonts w:ascii="Wingdings" w:hAnsi="Wingdings" w:hint="default"/>
        <w:color w:val="E46C0A"/>
      </w:rPr>
    </w:lvl>
    <w:lvl w:ilvl="1">
      <w:start w:val="1"/>
      <w:numFmt w:val="bullet"/>
      <w:lvlText w:val="o"/>
      <w:lvlJc w:val="left"/>
      <w:pPr>
        <w:ind w:left="850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90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30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70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0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0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90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30" w:hanging="283"/>
      </w:pPr>
      <w:rPr>
        <w:rFonts w:ascii="Wingdings" w:hAnsi="Wingdings" w:hint="default"/>
      </w:rPr>
    </w:lvl>
  </w:abstractNum>
  <w:abstractNum w:abstractNumId="9">
    <w:nsid w:val="47583B50"/>
    <w:multiLevelType w:val="hybridMultilevel"/>
    <w:tmpl w:val="CFA80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D7F1B"/>
    <w:multiLevelType w:val="hybridMultilevel"/>
    <w:tmpl w:val="013A76EE"/>
    <w:lvl w:ilvl="0" w:tplc="B128F390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F23E0"/>
    <w:multiLevelType w:val="hybridMultilevel"/>
    <w:tmpl w:val="D39EEF16"/>
    <w:lvl w:ilvl="0" w:tplc="C9E4E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E1E49B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12F0C"/>
    <w:multiLevelType w:val="hybridMultilevel"/>
    <w:tmpl w:val="57C80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2468C"/>
    <w:multiLevelType w:val="multilevel"/>
    <w:tmpl w:val="A7F60790"/>
    <w:lvl w:ilvl="0">
      <w:start w:val="1"/>
      <w:numFmt w:val="decimal"/>
      <w:pStyle w:val="CISLOVANITEXT2"/>
      <w:lvlText w:val="%1|"/>
      <w:lvlJc w:val="right"/>
      <w:pPr>
        <w:ind w:left="510" w:hanging="17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36C0A" w:themeColor="text1"/>
        <w:vertAlign w:val="baseline"/>
      </w:rPr>
    </w:lvl>
    <w:lvl w:ilvl="1">
      <w:start w:val="1"/>
      <w:numFmt w:val="lowerLetter"/>
      <w:lvlText w:val="%2|"/>
      <w:lvlJc w:val="left"/>
      <w:pPr>
        <w:ind w:left="850" w:hanging="283"/>
      </w:pPr>
      <w:rPr>
        <w:rFonts w:hint="default"/>
      </w:rPr>
    </w:lvl>
    <w:lvl w:ilvl="2">
      <w:start w:val="1"/>
      <w:numFmt w:val="lowerRoman"/>
      <w:lvlText w:val="%3|"/>
      <w:lvlJc w:val="right"/>
      <w:pPr>
        <w:ind w:left="1190" w:hanging="283"/>
      </w:pPr>
      <w:rPr>
        <w:rFonts w:hint="default"/>
      </w:rPr>
    </w:lvl>
    <w:lvl w:ilvl="3">
      <w:start w:val="1"/>
      <w:numFmt w:val="decimal"/>
      <w:lvlText w:val="%4|"/>
      <w:lvlJc w:val="left"/>
      <w:pPr>
        <w:ind w:left="1530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0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0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0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0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30" w:hanging="283"/>
      </w:pPr>
      <w:rPr>
        <w:rFonts w:hint="default"/>
      </w:rPr>
    </w:lvl>
  </w:abstractNum>
  <w:abstractNum w:abstractNumId="14">
    <w:nsid w:val="56165941"/>
    <w:multiLevelType w:val="hybridMultilevel"/>
    <w:tmpl w:val="4740F422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FD30C4"/>
    <w:multiLevelType w:val="multilevel"/>
    <w:tmpl w:val="ECAE56F0"/>
    <w:lvl w:ilvl="0">
      <w:start w:val="1"/>
      <w:numFmt w:val="decimal"/>
      <w:lvlText w:val="%1|"/>
      <w:lvlJc w:val="left"/>
      <w:pPr>
        <w:ind w:left="720" w:hanging="360"/>
      </w:pPr>
      <w:rPr>
        <w:rFonts w:ascii="Arial" w:hAnsi="Arial" w:hint="default"/>
        <w:b/>
        <w:i w:val="0"/>
        <w:color w:val="E46C0A"/>
      </w:rPr>
    </w:lvl>
    <w:lvl w:ilvl="1">
      <w:start w:val="1"/>
      <w:numFmt w:val="lowerLetter"/>
      <w:lvlText w:val="%2|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|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|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2017F3D"/>
    <w:multiLevelType w:val="hybridMultilevel"/>
    <w:tmpl w:val="4FD87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25F41"/>
    <w:multiLevelType w:val="hybridMultilevel"/>
    <w:tmpl w:val="04466E54"/>
    <w:lvl w:ilvl="0" w:tplc="DE62DD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970B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6D21B1"/>
    <w:multiLevelType w:val="hybridMultilevel"/>
    <w:tmpl w:val="6EF2D650"/>
    <w:lvl w:ilvl="0" w:tplc="DE62DD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970B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C935BA"/>
    <w:multiLevelType w:val="hybridMultilevel"/>
    <w:tmpl w:val="726E64F8"/>
    <w:lvl w:ilvl="0" w:tplc="E446CDF2">
      <w:start w:val="1"/>
      <w:numFmt w:val="bullet"/>
      <w:pStyle w:val="Odrky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DC13C8"/>
    <w:multiLevelType w:val="hybridMultilevel"/>
    <w:tmpl w:val="23F86A20"/>
    <w:lvl w:ilvl="0" w:tplc="DE62DD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970B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9"/>
  </w:num>
  <w:num w:numId="5">
    <w:abstractNumId w:val="20"/>
  </w:num>
  <w:num w:numId="6">
    <w:abstractNumId w:val="17"/>
  </w:num>
  <w:num w:numId="7">
    <w:abstractNumId w:val="5"/>
  </w:num>
  <w:num w:numId="8">
    <w:abstractNumId w:val="18"/>
  </w:num>
  <w:num w:numId="9">
    <w:abstractNumId w:val="8"/>
  </w:num>
  <w:num w:numId="10">
    <w:abstractNumId w:val="3"/>
  </w:num>
  <w:num w:numId="11">
    <w:abstractNumId w:val="13"/>
  </w:num>
  <w:num w:numId="12">
    <w:abstractNumId w:val="4"/>
  </w:num>
  <w:num w:numId="13">
    <w:abstractNumId w:val="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1"/>
  </w:num>
  <w:num w:numId="18">
    <w:abstractNumId w:val="14"/>
  </w:num>
  <w:num w:numId="19">
    <w:abstractNumId w:val="9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5F18"/>
    <w:rsid w:val="000677C4"/>
    <w:rsid w:val="000E7FF3"/>
    <w:rsid w:val="00114D25"/>
    <w:rsid w:val="00135A2D"/>
    <w:rsid w:val="00157ED0"/>
    <w:rsid w:val="001615A6"/>
    <w:rsid w:val="001665ED"/>
    <w:rsid w:val="0017299E"/>
    <w:rsid w:val="001E4155"/>
    <w:rsid w:val="001E49BE"/>
    <w:rsid w:val="00221816"/>
    <w:rsid w:val="0024630F"/>
    <w:rsid w:val="00272B78"/>
    <w:rsid w:val="00281AFA"/>
    <w:rsid w:val="002E7A06"/>
    <w:rsid w:val="0030365A"/>
    <w:rsid w:val="00335697"/>
    <w:rsid w:val="003639B5"/>
    <w:rsid w:val="00385E9B"/>
    <w:rsid w:val="003E7A70"/>
    <w:rsid w:val="00426756"/>
    <w:rsid w:val="00426B88"/>
    <w:rsid w:val="00431D80"/>
    <w:rsid w:val="00476959"/>
    <w:rsid w:val="00480D7F"/>
    <w:rsid w:val="00491008"/>
    <w:rsid w:val="004B5BAE"/>
    <w:rsid w:val="004C29ED"/>
    <w:rsid w:val="004D0331"/>
    <w:rsid w:val="004D134C"/>
    <w:rsid w:val="004F3B20"/>
    <w:rsid w:val="004F516D"/>
    <w:rsid w:val="00510BCD"/>
    <w:rsid w:val="0051778E"/>
    <w:rsid w:val="005354B0"/>
    <w:rsid w:val="00542408"/>
    <w:rsid w:val="005917EF"/>
    <w:rsid w:val="005A777A"/>
    <w:rsid w:val="005B1485"/>
    <w:rsid w:val="005C05DB"/>
    <w:rsid w:val="006168BF"/>
    <w:rsid w:val="00662BE8"/>
    <w:rsid w:val="00670DEE"/>
    <w:rsid w:val="00682811"/>
    <w:rsid w:val="006B15B1"/>
    <w:rsid w:val="006B52EE"/>
    <w:rsid w:val="006C7AAB"/>
    <w:rsid w:val="006F2CE8"/>
    <w:rsid w:val="007065A9"/>
    <w:rsid w:val="00732E66"/>
    <w:rsid w:val="00795A2F"/>
    <w:rsid w:val="007A19B0"/>
    <w:rsid w:val="0081282A"/>
    <w:rsid w:val="008168B1"/>
    <w:rsid w:val="00866997"/>
    <w:rsid w:val="00894CF6"/>
    <w:rsid w:val="00932FA5"/>
    <w:rsid w:val="00953ED8"/>
    <w:rsid w:val="009741F4"/>
    <w:rsid w:val="009809A3"/>
    <w:rsid w:val="00984912"/>
    <w:rsid w:val="009F3C73"/>
    <w:rsid w:val="009F3F66"/>
    <w:rsid w:val="00A230A2"/>
    <w:rsid w:val="00A25FE4"/>
    <w:rsid w:val="00A34706"/>
    <w:rsid w:val="00A34A40"/>
    <w:rsid w:val="00A4443A"/>
    <w:rsid w:val="00A92F1B"/>
    <w:rsid w:val="00B00EE0"/>
    <w:rsid w:val="00B05F18"/>
    <w:rsid w:val="00B66464"/>
    <w:rsid w:val="00B8648D"/>
    <w:rsid w:val="00BA454D"/>
    <w:rsid w:val="00BB383B"/>
    <w:rsid w:val="00BE32F7"/>
    <w:rsid w:val="00C260DC"/>
    <w:rsid w:val="00C64AC6"/>
    <w:rsid w:val="00C72874"/>
    <w:rsid w:val="00C82270"/>
    <w:rsid w:val="00CB519B"/>
    <w:rsid w:val="00D04DAB"/>
    <w:rsid w:val="00D240B6"/>
    <w:rsid w:val="00D3394F"/>
    <w:rsid w:val="00D34D8E"/>
    <w:rsid w:val="00D74840"/>
    <w:rsid w:val="00D84BCD"/>
    <w:rsid w:val="00DA53D4"/>
    <w:rsid w:val="00DB0CD5"/>
    <w:rsid w:val="00DF5D06"/>
    <w:rsid w:val="00E312F2"/>
    <w:rsid w:val="00E41EA0"/>
    <w:rsid w:val="00EF640E"/>
    <w:rsid w:val="00F00863"/>
    <w:rsid w:val="00F4760C"/>
    <w:rsid w:val="00F47705"/>
    <w:rsid w:val="00F96C22"/>
    <w:rsid w:val="00FA3932"/>
    <w:rsid w:val="00FA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8BF"/>
    <w:rPr>
      <w:rFonts w:ascii="Arial" w:hAnsi="Arial"/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6168BF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E36C0A" w:themeColor="text1"/>
      <w:sz w:val="4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5D0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36C0A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777A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7B7B7B" w:themeColor="accent6" w:themeShade="BF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B20"/>
  </w:style>
  <w:style w:type="paragraph" w:styleId="Zpat">
    <w:name w:val="footer"/>
    <w:basedOn w:val="Normln"/>
    <w:link w:val="ZpatChar"/>
    <w:uiPriority w:val="99"/>
    <w:unhideWhenUsed/>
    <w:rsid w:val="004F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B20"/>
  </w:style>
  <w:style w:type="paragraph" w:styleId="Textbubliny">
    <w:name w:val="Balloon Text"/>
    <w:basedOn w:val="Normln"/>
    <w:link w:val="TextbublinyChar"/>
    <w:uiPriority w:val="99"/>
    <w:semiHidden/>
    <w:unhideWhenUsed/>
    <w:rsid w:val="004F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B2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B383B"/>
    <w:pPr>
      <w:spacing w:after="0" w:line="240" w:lineRule="auto"/>
    </w:pPr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4F516D"/>
    <w:pPr>
      <w:spacing w:after="300" w:line="240" w:lineRule="auto"/>
      <w:contextualSpacing/>
    </w:pPr>
    <w:rPr>
      <w:rFonts w:ascii="Arial Black" w:eastAsiaTheme="majorEastAsia" w:hAnsi="Arial Black" w:cstheme="majorBidi"/>
      <w:caps/>
      <w:color w:val="FFFFFF" w:themeColor="background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F516D"/>
    <w:rPr>
      <w:rFonts w:ascii="Arial Black" w:eastAsiaTheme="majorEastAsia" w:hAnsi="Arial Black" w:cstheme="majorBidi"/>
      <w:caps/>
      <w:color w:val="FFFFFF" w:themeColor="background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168BF"/>
    <w:rPr>
      <w:rFonts w:ascii="Arial Black" w:eastAsiaTheme="majorEastAsia" w:hAnsi="Arial Black" w:cstheme="majorBidi"/>
      <w:b/>
      <w:bCs/>
      <w:color w:val="E36C0A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5D06"/>
    <w:rPr>
      <w:rFonts w:ascii="Arial" w:eastAsiaTheme="majorEastAsia" w:hAnsi="Arial" w:cstheme="majorBidi"/>
      <w:b/>
      <w:bCs/>
      <w:color w:val="E36C0A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777A"/>
    <w:rPr>
      <w:rFonts w:ascii="Arial" w:eastAsiaTheme="majorEastAsia" w:hAnsi="Arial" w:cstheme="majorBidi"/>
      <w:b/>
      <w:bCs/>
      <w:i/>
      <w:color w:val="7B7B7B" w:themeColor="accent6" w:themeShade="BF"/>
    </w:rPr>
  </w:style>
  <w:style w:type="paragraph" w:styleId="Odstavecseseznamem">
    <w:name w:val="List Paragraph"/>
    <w:basedOn w:val="Normln"/>
    <w:link w:val="OdstavecseseznamemChar"/>
    <w:uiPriority w:val="34"/>
    <w:qFormat/>
    <w:rsid w:val="00272B78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A4443A"/>
    <w:rPr>
      <w:rFonts w:ascii="Arial" w:hAnsi="Arial"/>
      <w:b/>
      <w:i w:val="0"/>
      <w:iCs/>
      <w:color w:val="FFFFFF" w:themeColor="background1"/>
      <w:sz w:val="20"/>
    </w:rPr>
  </w:style>
  <w:style w:type="table" w:styleId="Mkatabulky">
    <w:name w:val="Table Grid"/>
    <w:basedOn w:val="Normlntabulka"/>
    <w:uiPriority w:val="59"/>
    <w:rsid w:val="004C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EF640E"/>
    <w:pPr>
      <w:spacing w:after="0" w:line="280" w:lineRule="atLeast"/>
    </w:pPr>
    <w:rPr>
      <w:rFonts w:eastAsia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F640E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tun">
    <w:name w:val="Základní text tučný"/>
    <w:basedOn w:val="Zkladntext"/>
    <w:next w:val="Zkladntext"/>
    <w:rsid w:val="00EF640E"/>
    <w:rPr>
      <w:b/>
    </w:rPr>
  </w:style>
  <w:style w:type="paragraph" w:customStyle="1" w:styleId="Odrky">
    <w:name w:val="Odrážky"/>
    <w:basedOn w:val="Zkladntext"/>
    <w:rsid w:val="00EF640E"/>
    <w:pPr>
      <w:numPr>
        <w:numId w:val="4"/>
      </w:numPr>
    </w:pPr>
  </w:style>
  <w:style w:type="paragraph" w:customStyle="1" w:styleId="Odrazkyhlavni">
    <w:name w:val="Odrazky hlavni"/>
    <w:basedOn w:val="Odstavecseseznamem"/>
    <w:link w:val="OdrazkyhlavniChar"/>
    <w:rsid w:val="007065A9"/>
    <w:pPr>
      <w:numPr>
        <w:numId w:val="9"/>
      </w:numPr>
      <w:spacing w:after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065A9"/>
    <w:rPr>
      <w:rFonts w:ascii="Arial" w:hAnsi="Arial"/>
      <w:sz w:val="19"/>
    </w:rPr>
  </w:style>
  <w:style w:type="character" w:customStyle="1" w:styleId="OdrazkyhlavniChar">
    <w:name w:val="Odrazky hlavni Char"/>
    <w:basedOn w:val="OdstavecseseznamemChar"/>
    <w:link w:val="Odrazkyhlavni"/>
    <w:rsid w:val="007065A9"/>
    <w:rPr>
      <w:rFonts w:ascii="Arial" w:hAnsi="Arial"/>
      <w:sz w:val="19"/>
    </w:rPr>
  </w:style>
  <w:style w:type="paragraph" w:customStyle="1" w:styleId="odrazkatext">
    <w:name w:val="odrazka text"/>
    <w:basedOn w:val="Odrazkyhlavni"/>
    <w:link w:val="odrazkatextChar"/>
    <w:qFormat/>
    <w:rsid w:val="00281AFA"/>
  </w:style>
  <w:style w:type="paragraph" w:customStyle="1" w:styleId="cislovanitext">
    <w:name w:val="cislovani text"/>
    <w:basedOn w:val="Odstavecseseznamem"/>
    <w:link w:val="cislovanitextChar"/>
    <w:rsid w:val="00281AFA"/>
    <w:pPr>
      <w:numPr>
        <w:numId w:val="10"/>
      </w:numPr>
    </w:pPr>
  </w:style>
  <w:style w:type="character" w:customStyle="1" w:styleId="odrazkatextChar">
    <w:name w:val="odrazka text Char"/>
    <w:basedOn w:val="OdrazkyhlavniChar"/>
    <w:link w:val="odrazkatext"/>
    <w:rsid w:val="00281AFA"/>
    <w:rPr>
      <w:rFonts w:ascii="Arial" w:hAnsi="Arial"/>
      <w:sz w:val="19"/>
    </w:rPr>
  </w:style>
  <w:style w:type="character" w:customStyle="1" w:styleId="cislovanitextChar">
    <w:name w:val="cislovani text Char"/>
    <w:basedOn w:val="OdstavecseseznamemChar"/>
    <w:link w:val="cislovanitext"/>
    <w:rsid w:val="00281AFA"/>
    <w:rPr>
      <w:rFonts w:ascii="Arial" w:hAnsi="Arial"/>
      <w:sz w:val="19"/>
    </w:rPr>
  </w:style>
  <w:style w:type="paragraph" w:customStyle="1" w:styleId="CISLOVANITEXT2">
    <w:name w:val="CISLOVANI TEXT2"/>
    <w:basedOn w:val="cislovanitext"/>
    <w:link w:val="CISLOVANITEXT2Char"/>
    <w:qFormat/>
    <w:rsid w:val="00DF5D06"/>
    <w:pPr>
      <w:numPr>
        <w:numId w:val="11"/>
      </w:numPr>
      <w:spacing w:after="0"/>
    </w:pPr>
  </w:style>
  <w:style w:type="character" w:customStyle="1" w:styleId="CISLOVANITEXT2Char">
    <w:name w:val="CISLOVANI TEXT2 Char"/>
    <w:basedOn w:val="cislovanitextChar"/>
    <w:link w:val="CISLOVANITEXT2"/>
    <w:rsid w:val="00DF5D06"/>
    <w:rPr>
      <w:rFonts w:ascii="Arial" w:hAnsi="Arial"/>
      <w:sz w:val="21"/>
    </w:rPr>
  </w:style>
  <w:style w:type="character" w:styleId="Hypertextovodkaz">
    <w:name w:val="Hyperlink"/>
    <w:basedOn w:val="Standardnpsmoodstavce"/>
    <w:uiPriority w:val="99"/>
    <w:unhideWhenUsed/>
    <w:rsid w:val="005917EF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A53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53D4"/>
    <w:rPr>
      <w:rFonts w:ascii="Arial" w:hAnsi="Arial"/>
      <w:sz w:val="21"/>
    </w:rPr>
  </w:style>
  <w:style w:type="paragraph" w:customStyle="1" w:styleId="Mil-head1">
    <w:name w:val="Mil-head1"/>
    <w:basedOn w:val="Normln"/>
    <w:rsid w:val="00DA53D4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GB" w:eastAsia="cs-CZ"/>
    </w:rPr>
  </w:style>
  <w:style w:type="paragraph" w:customStyle="1" w:styleId="Monitoringtext">
    <w:name w:val="Monitoring text"/>
    <w:basedOn w:val="Normln"/>
    <w:rsid w:val="00DA53D4"/>
    <w:pPr>
      <w:widowControl w:val="0"/>
      <w:spacing w:after="60" w:line="240" w:lineRule="atLeast"/>
    </w:pPr>
    <w:rPr>
      <w:rFonts w:eastAsia="Times New Roman" w:cs="Arial"/>
      <w:sz w:val="20"/>
      <w:szCs w:val="20"/>
    </w:rPr>
  </w:style>
  <w:style w:type="paragraph" w:customStyle="1" w:styleId="Zkladntext21">
    <w:name w:val="Základní text 21"/>
    <w:basedOn w:val="Normln"/>
    <w:rsid w:val="004D13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8BF"/>
    <w:rPr>
      <w:rFonts w:ascii="Arial" w:hAnsi="Arial"/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6168BF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E36C0A" w:themeColor="text1"/>
      <w:sz w:val="4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5D0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36C0A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777A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7B7B7B" w:themeColor="accent6" w:themeShade="BF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B20"/>
  </w:style>
  <w:style w:type="paragraph" w:styleId="Zpat">
    <w:name w:val="footer"/>
    <w:basedOn w:val="Normln"/>
    <w:link w:val="ZpatChar"/>
    <w:uiPriority w:val="99"/>
    <w:unhideWhenUsed/>
    <w:rsid w:val="004F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B20"/>
  </w:style>
  <w:style w:type="paragraph" w:styleId="Textbubliny">
    <w:name w:val="Balloon Text"/>
    <w:basedOn w:val="Normln"/>
    <w:link w:val="TextbublinyChar"/>
    <w:uiPriority w:val="99"/>
    <w:semiHidden/>
    <w:unhideWhenUsed/>
    <w:rsid w:val="004F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B2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B383B"/>
    <w:pPr>
      <w:spacing w:after="0" w:line="240" w:lineRule="auto"/>
    </w:pPr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4F516D"/>
    <w:pPr>
      <w:spacing w:after="300" w:line="240" w:lineRule="auto"/>
      <w:contextualSpacing/>
    </w:pPr>
    <w:rPr>
      <w:rFonts w:ascii="Arial Black" w:eastAsiaTheme="majorEastAsia" w:hAnsi="Arial Black" w:cstheme="majorBidi"/>
      <w:caps/>
      <w:color w:val="FFFFFF" w:themeColor="background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F516D"/>
    <w:rPr>
      <w:rFonts w:ascii="Arial Black" w:eastAsiaTheme="majorEastAsia" w:hAnsi="Arial Black" w:cstheme="majorBidi"/>
      <w:caps/>
      <w:color w:val="FFFFFF" w:themeColor="background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168BF"/>
    <w:rPr>
      <w:rFonts w:ascii="Arial Black" w:eastAsiaTheme="majorEastAsia" w:hAnsi="Arial Black" w:cstheme="majorBidi"/>
      <w:b/>
      <w:bCs/>
      <w:color w:val="E36C0A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5D06"/>
    <w:rPr>
      <w:rFonts w:ascii="Arial" w:eastAsiaTheme="majorEastAsia" w:hAnsi="Arial" w:cstheme="majorBidi"/>
      <w:b/>
      <w:bCs/>
      <w:color w:val="E36C0A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777A"/>
    <w:rPr>
      <w:rFonts w:ascii="Arial" w:eastAsiaTheme="majorEastAsia" w:hAnsi="Arial" w:cstheme="majorBidi"/>
      <w:b/>
      <w:bCs/>
      <w:i/>
      <w:color w:val="7B7B7B" w:themeColor="accent6" w:themeShade="BF"/>
    </w:rPr>
  </w:style>
  <w:style w:type="paragraph" w:styleId="Odstavecseseznamem">
    <w:name w:val="List Paragraph"/>
    <w:basedOn w:val="Normln"/>
    <w:link w:val="OdstavecseseznamemChar"/>
    <w:uiPriority w:val="34"/>
    <w:qFormat/>
    <w:rsid w:val="00272B78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A4443A"/>
    <w:rPr>
      <w:rFonts w:ascii="Arial" w:hAnsi="Arial"/>
      <w:b/>
      <w:i w:val="0"/>
      <w:iCs/>
      <w:color w:val="FFFFFF" w:themeColor="background1"/>
      <w:sz w:val="20"/>
    </w:rPr>
  </w:style>
  <w:style w:type="table" w:styleId="Mkatabulky">
    <w:name w:val="Table Grid"/>
    <w:basedOn w:val="Normlntabulka"/>
    <w:uiPriority w:val="59"/>
    <w:rsid w:val="004C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F640E"/>
    <w:pPr>
      <w:spacing w:after="0" w:line="280" w:lineRule="atLeast"/>
    </w:pPr>
    <w:rPr>
      <w:rFonts w:eastAsia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F640E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tun">
    <w:name w:val="Základní text tučný"/>
    <w:basedOn w:val="Zkladntext"/>
    <w:next w:val="Zkladntext"/>
    <w:rsid w:val="00EF640E"/>
    <w:rPr>
      <w:b/>
    </w:rPr>
  </w:style>
  <w:style w:type="paragraph" w:customStyle="1" w:styleId="Odrky">
    <w:name w:val="Odrážky"/>
    <w:basedOn w:val="Zkladntext"/>
    <w:rsid w:val="00EF640E"/>
    <w:pPr>
      <w:numPr>
        <w:numId w:val="4"/>
      </w:numPr>
    </w:pPr>
  </w:style>
  <w:style w:type="paragraph" w:customStyle="1" w:styleId="Odrazkyhlavni">
    <w:name w:val="Odrazky hlavni"/>
    <w:basedOn w:val="Odstavecseseznamem"/>
    <w:link w:val="OdrazkyhlavniChar"/>
    <w:rsid w:val="007065A9"/>
    <w:pPr>
      <w:numPr>
        <w:numId w:val="9"/>
      </w:numPr>
      <w:spacing w:after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065A9"/>
    <w:rPr>
      <w:rFonts w:ascii="Arial" w:hAnsi="Arial"/>
      <w:sz w:val="19"/>
    </w:rPr>
  </w:style>
  <w:style w:type="character" w:customStyle="1" w:styleId="OdrazkyhlavniChar">
    <w:name w:val="Odrazky hlavni Char"/>
    <w:basedOn w:val="OdstavecseseznamemChar"/>
    <w:link w:val="Odrazkyhlavni"/>
    <w:rsid w:val="007065A9"/>
    <w:rPr>
      <w:rFonts w:ascii="Arial" w:hAnsi="Arial"/>
      <w:sz w:val="19"/>
    </w:rPr>
  </w:style>
  <w:style w:type="paragraph" w:customStyle="1" w:styleId="odrazkatext">
    <w:name w:val="odrazka text"/>
    <w:basedOn w:val="Odrazkyhlavni"/>
    <w:link w:val="odrazkatextChar"/>
    <w:qFormat/>
    <w:rsid w:val="00281AFA"/>
  </w:style>
  <w:style w:type="paragraph" w:customStyle="1" w:styleId="cislovanitext">
    <w:name w:val="cislovani text"/>
    <w:basedOn w:val="Odstavecseseznamem"/>
    <w:link w:val="cislovanitextChar"/>
    <w:rsid w:val="00281AFA"/>
    <w:pPr>
      <w:numPr>
        <w:numId w:val="10"/>
      </w:numPr>
    </w:pPr>
  </w:style>
  <w:style w:type="character" w:customStyle="1" w:styleId="odrazkatextChar">
    <w:name w:val="odrazka text Char"/>
    <w:basedOn w:val="OdrazkyhlavniChar"/>
    <w:link w:val="odrazkatext"/>
    <w:rsid w:val="00281AFA"/>
    <w:rPr>
      <w:rFonts w:ascii="Arial" w:hAnsi="Arial"/>
      <w:sz w:val="19"/>
    </w:rPr>
  </w:style>
  <w:style w:type="character" w:customStyle="1" w:styleId="cislovanitextChar">
    <w:name w:val="cislovani text Char"/>
    <w:basedOn w:val="OdstavecseseznamemChar"/>
    <w:link w:val="cislovanitext"/>
    <w:rsid w:val="00281AFA"/>
    <w:rPr>
      <w:rFonts w:ascii="Arial" w:hAnsi="Arial"/>
      <w:sz w:val="19"/>
    </w:rPr>
  </w:style>
  <w:style w:type="paragraph" w:customStyle="1" w:styleId="CISLOVANITEXT2">
    <w:name w:val="CISLOVANI TEXT2"/>
    <w:basedOn w:val="cislovanitext"/>
    <w:link w:val="CISLOVANITEXT2Char"/>
    <w:qFormat/>
    <w:rsid w:val="00DF5D06"/>
    <w:pPr>
      <w:numPr>
        <w:numId w:val="11"/>
      </w:numPr>
      <w:spacing w:after="0"/>
    </w:pPr>
  </w:style>
  <w:style w:type="character" w:customStyle="1" w:styleId="CISLOVANITEXT2Char">
    <w:name w:val="CISLOVANI TEXT2 Char"/>
    <w:basedOn w:val="cislovanitextChar"/>
    <w:link w:val="CISLOVANITEXT2"/>
    <w:rsid w:val="00DF5D06"/>
    <w:rPr>
      <w:rFonts w:ascii="Arial" w:hAnsi="Arial"/>
      <w:sz w:val="21"/>
    </w:rPr>
  </w:style>
  <w:style w:type="character" w:styleId="Hypertextovodkaz">
    <w:name w:val="Hyperlink"/>
    <w:basedOn w:val="Standardnpsmoodstavce"/>
    <w:uiPriority w:val="99"/>
    <w:unhideWhenUsed/>
    <w:rsid w:val="005917EF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A53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53D4"/>
    <w:rPr>
      <w:rFonts w:ascii="Arial" w:hAnsi="Arial"/>
      <w:sz w:val="21"/>
    </w:rPr>
  </w:style>
  <w:style w:type="paragraph" w:customStyle="1" w:styleId="Mil-head1">
    <w:name w:val="Mil-head1"/>
    <w:basedOn w:val="Normln"/>
    <w:rsid w:val="00DA53D4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GB" w:eastAsia="cs-CZ"/>
    </w:rPr>
  </w:style>
  <w:style w:type="paragraph" w:customStyle="1" w:styleId="Monitoringtext">
    <w:name w:val="Monitoring text"/>
    <w:basedOn w:val="Normln"/>
    <w:rsid w:val="00DA53D4"/>
    <w:pPr>
      <w:widowControl w:val="0"/>
      <w:spacing w:after="60" w:line="240" w:lineRule="atLeast"/>
    </w:pPr>
    <w:rPr>
      <w:rFonts w:eastAsia="Times New Roman" w:cs="Arial"/>
      <w:sz w:val="20"/>
      <w:szCs w:val="20"/>
    </w:rPr>
  </w:style>
  <w:style w:type="paragraph" w:customStyle="1" w:styleId="Zkladntext21">
    <w:name w:val="Základní text 21"/>
    <w:basedOn w:val="Normln"/>
    <w:rsid w:val="004D13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%20NOV&#201;\NAVRH_orange.dotx" TargetMode="External"/></Relationships>
</file>

<file path=word/theme/theme1.xml><?xml version="1.0" encoding="utf-8"?>
<a:theme xmlns:a="http://schemas.openxmlformats.org/drawingml/2006/main" name="Motiv systému Office">
  <a:themeElements>
    <a:clrScheme name="Vlastní 3">
      <a:dk1>
        <a:srgbClr val="E36C0A"/>
      </a:dk1>
      <a:lt1>
        <a:sysClr val="window" lastClr="FFFFFF"/>
      </a:lt1>
      <a:dk2>
        <a:srgbClr val="0970B8"/>
      </a:dk2>
      <a:lt2>
        <a:srgbClr val="F2F2F2"/>
      </a:lt2>
      <a:accent1>
        <a:srgbClr val="E36C0A"/>
      </a:accent1>
      <a:accent2>
        <a:srgbClr val="0970B8"/>
      </a:accent2>
      <a:accent3>
        <a:srgbClr val="00B0F0"/>
      </a:accent3>
      <a:accent4>
        <a:srgbClr val="FFC000"/>
      </a:accent4>
      <a:accent5>
        <a:srgbClr val="E36C0A"/>
      </a:accent5>
      <a:accent6>
        <a:srgbClr val="A5A5A5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A3BC-6294-47F7-B746-5B2559F6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NAVRH_orange.dotx</Template>
  <TotalTime>459</TotalTime>
  <Pages>5</Pages>
  <Words>1518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Bosanac Andrej</dc:creator>
  <cp:lastModifiedBy>mikula-pavel-1</cp:lastModifiedBy>
  <cp:revision>9</cp:revision>
  <cp:lastPrinted>2019-03-05T10:17:00Z</cp:lastPrinted>
  <dcterms:created xsi:type="dcterms:W3CDTF">2019-03-20T21:36:00Z</dcterms:created>
  <dcterms:modified xsi:type="dcterms:W3CDTF">2019-04-26T13:38:00Z</dcterms:modified>
</cp:coreProperties>
</file>