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DB" w:rsidRDefault="003F67DB" w:rsidP="003F67D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Příloha č. 1 Smlouvy</w:t>
      </w:r>
      <w:r w:rsidR="000F3A2F">
        <w:rPr>
          <w:rFonts w:ascii="Georgia" w:hAnsi="Georgia" w:cs="Arial"/>
        </w:rPr>
        <w:t xml:space="preserve"> č.j. 279529/2019-ČRA</w:t>
      </w:r>
      <w:bookmarkStart w:id="0" w:name="_GoBack"/>
      <w:bookmarkEnd w:id="0"/>
    </w:p>
    <w:p w:rsidR="003F67DB" w:rsidRDefault="003F67DB" w:rsidP="003F67DB">
      <w:pPr>
        <w:jc w:val="both"/>
        <w:rPr>
          <w:rFonts w:ascii="Georgia" w:hAnsi="Georgia" w:cs="Arial"/>
        </w:rPr>
      </w:pPr>
    </w:p>
    <w:p w:rsidR="003F67DB" w:rsidRDefault="003F67DB" w:rsidP="003F67DB">
      <w:pPr>
        <w:jc w:val="center"/>
        <w:rPr>
          <w:rFonts w:ascii="Georgia" w:hAnsi="Georgia" w:cs="Arial"/>
          <w:b/>
          <w:sz w:val="32"/>
        </w:rPr>
      </w:pPr>
      <w:r w:rsidRPr="003F67DB">
        <w:rPr>
          <w:rFonts w:ascii="Georgia" w:hAnsi="Georgia" w:cs="Arial"/>
          <w:b/>
          <w:sz w:val="32"/>
        </w:rPr>
        <w:t>Postup realizace služeb</w:t>
      </w:r>
    </w:p>
    <w:p w:rsidR="005D6CA9" w:rsidRDefault="005D6CA9" w:rsidP="005D6CA9">
      <w:pPr>
        <w:spacing w:before="240" w:line="276" w:lineRule="auto"/>
        <w:jc w:val="both"/>
        <w:rPr>
          <w:rFonts w:ascii="Georgia" w:hAnsi="Georgia"/>
        </w:rPr>
      </w:pPr>
      <w:r w:rsidRPr="005D6CA9">
        <w:rPr>
          <w:rFonts w:ascii="Georgia" w:hAnsi="Georgia"/>
        </w:rPr>
        <w:t xml:space="preserve">Předmětem plnění této </w:t>
      </w:r>
      <w:r w:rsidR="00294562">
        <w:rPr>
          <w:rFonts w:ascii="Georgia" w:hAnsi="Georgia"/>
        </w:rPr>
        <w:t>smlouvy</w:t>
      </w:r>
      <w:r w:rsidRPr="005D6CA9">
        <w:rPr>
          <w:rFonts w:ascii="Georgia" w:hAnsi="Georgia"/>
        </w:rPr>
        <w:t xml:space="preserve"> je poskytnutí služeb interního auditu a poradenství v souladu se Střednědobým plánem interního auditu na roky 2019-2021, v souladu s Ročním plánem auditu na příslušný rok a v souladu s Mezinárodními standardy pro profesní praxi interního auditu vydanými Institutem interních auditorů. Roční plán auditu na příslušný rok bude vypracován Objednatele</w:t>
      </w:r>
      <w:r>
        <w:rPr>
          <w:rFonts w:ascii="Georgia" w:hAnsi="Georgia"/>
        </w:rPr>
        <w:t>m</w:t>
      </w:r>
      <w:r w:rsidRPr="005D6CA9">
        <w:rPr>
          <w:rFonts w:ascii="Georgia" w:hAnsi="Georgia"/>
        </w:rPr>
        <w:t xml:space="preserve">, vždy koncem předchozího roku, na základě aktualizované mapy rizik. Hlavním cílem interního auditu je dosažení efektivní změny, která napomůže </w:t>
      </w:r>
      <w:r>
        <w:rPr>
          <w:rFonts w:ascii="Georgia" w:hAnsi="Georgia"/>
        </w:rPr>
        <w:t>Objednateli</w:t>
      </w:r>
      <w:r w:rsidRPr="005D6CA9">
        <w:rPr>
          <w:rFonts w:ascii="Georgia" w:hAnsi="Georgia"/>
        </w:rPr>
        <w:t xml:space="preserve"> k dosažení je</w:t>
      </w:r>
      <w:r>
        <w:rPr>
          <w:rFonts w:ascii="Georgia" w:hAnsi="Georgia"/>
        </w:rPr>
        <w:t>ho</w:t>
      </w:r>
      <w:r w:rsidRPr="005D6CA9">
        <w:rPr>
          <w:rFonts w:ascii="Georgia" w:hAnsi="Georgia"/>
        </w:rPr>
        <w:t xml:space="preserve"> cílů.</w:t>
      </w:r>
    </w:p>
    <w:p w:rsidR="005D6CA9" w:rsidRPr="005D6CA9" w:rsidRDefault="005D6CA9" w:rsidP="005D6CA9">
      <w:pPr>
        <w:pStyle w:val="Zkladntext"/>
        <w:spacing w:before="240" w:line="276" w:lineRule="auto"/>
        <w:jc w:val="both"/>
        <w:rPr>
          <w:rFonts w:ascii="Georgia" w:hAnsi="Georgia"/>
          <w:szCs w:val="22"/>
        </w:rPr>
      </w:pPr>
      <w:r w:rsidRPr="005D6CA9">
        <w:rPr>
          <w:rFonts w:ascii="Georgia" w:hAnsi="Georgia"/>
          <w:szCs w:val="22"/>
        </w:rPr>
        <w:t xml:space="preserve">V souladu se Střednědobým plánem interního auditu na roky 2019-2021 Objednatele se předpokládá realizace až 11 auditů. Tento počet nemůže být navýšen, může ale být snížen v souladu s ročními plány interního auditu Objednatele, či na základě rozhodnutí Objednatele. </w:t>
      </w:r>
    </w:p>
    <w:p w:rsidR="005D6CA9" w:rsidRPr="005D6CA9" w:rsidRDefault="005D6CA9" w:rsidP="005D6CA9">
      <w:pPr>
        <w:spacing w:before="240" w:line="276" w:lineRule="auto"/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Realizace každého interního auditu proběhne podle níže uvedeného postupu:</w:t>
      </w:r>
    </w:p>
    <w:p w:rsidR="003F67DB" w:rsidRPr="000C3860" w:rsidRDefault="003F67DB" w:rsidP="003F67DB">
      <w:pPr>
        <w:jc w:val="both"/>
        <w:rPr>
          <w:rFonts w:ascii="Georgia" w:hAnsi="Georgia" w:cs="Arial"/>
        </w:rPr>
      </w:pPr>
    </w:p>
    <w:p w:rsidR="003F67DB" w:rsidRPr="003F67DB" w:rsidRDefault="003F67DB" w:rsidP="003F67DB">
      <w:pPr>
        <w:pStyle w:val="Zkladntext3"/>
        <w:numPr>
          <w:ilvl w:val="0"/>
          <w:numId w:val="2"/>
        </w:num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3F67DB">
        <w:rPr>
          <w:rFonts w:ascii="Georgia" w:hAnsi="Georgia"/>
          <w:b/>
          <w:bCs/>
          <w:sz w:val="24"/>
          <w:szCs w:val="24"/>
        </w:rPr>
        <w:t>Plánování interního auditu</w:t>
      </w:r>
    </w:p>
    <w:p w:rsidR="003F67DB" w:rsidRPr="00102527" w:rsidRDefault="003F67DB" w:rsidP="003F67DB">
      <w:pPr>
        <w:pStyle w:val="Zkladntext3"/>
        <w:spacing w:line="276" w:lineRule="auto"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 xml:space="preserve">Na základě ročního plánu </w:t>
      </w:r>
      <w:r w:rsidR="005D6CA9">
        <w:rPr>
          <w:rFonts w:ascii="Georgia" w:hAnsi="Georgia"/>
          <w:bCs/>
          <w:sz w:val="24"/>
          <w:szCs w:val="24"/>
        </w:rPr>
        <w:t xml:space="preserve">auditu </w:t>
      </w:r>
      <w:r w:rsidRPr="00102527">
        <w:rPr>
          <w:rFonts w:ascii="Georgia" w:hAnsi="Georgia"/>
          <w:bCs/>
          <w:sz w:val="24"/>
          <w:szCs w:val="24"/>
        </w:rPr>
        <w:t xml:space="preserve">připraví </w:t>
      </w:r>
      <w:r>
        <w:rPr>
          <w:rFonts w:ascii="Georgia" w:hAnsi="Georgia"/>
          <w:bCs/>
          <w:sz w:val="24"/>
          <w:szCs w:val="24"/>
        </w:rPr>
        <w:t>Poskytovatel</w:t>
      </w:r>
      <w:r w:rsidRPr="00102527">
        <w:rPr>
          <w:rFonts w:ascii="Georgia" w:hAnsi="Georgia"/>
          <w:bCs/>
          <w:sz w:val="24"/>
          <w:szCs w:val="24"/>
        </w:rPr>
        <w:t xml:space="preserve"> ve spolupráci s</w:t>
      </w:r>
      <w:r>
        <w:rPr>
          <w:rFonts w:ascii="Georgia" w:hAnsi="Georgia"/>
          <w:bCs/>
          <w:sz w:val="24"/>
          <w:szCs w:val="24"/>
        </w:rPr>
        <w:t> pověřeným zástupcem</w:t>
      </w:r>
      <w:r w:rsidRPr="00102527">
        <w:rPr>
          <w:rFonts w:ascii="Georgia" w:hAnsi="Georgia"/>
          <w:bCs/>
          <w:sz w:val="24"/>
          <w:szCs w:val="24"/>
        </w:rPr>
        <w:t xml:space="preserve"> </w:t>
      </w:r>
      <w:r>
        <w:rPr>
          <w:rFonts w:ascii="Georgia" w:hAnsi="Georgia"/>
          <w:bCs/>
          <w:sz w:val="24"/>
          <w:szCs w:val="24"/>
        </w:rPr>
        <w:t>Objednatele</w:t>
      </w:r>
      <w:r w:rsidRPr="00102527">
        <w:rPr>
          <w:rFonts w:ascii="Georgia" w:hAnsi="Georgia"/>
          <w:bCs/>
          <w:sz w:val="24"/>
          <w:szCs w:val="24"/>
        </w:rPr>
        <w:t xml:space="preserve"> plán příslušného auditu a předloží ho </w:t>
      </w:r>
      <w:r>
        <w:rPr>
          <w:rFonts w:ascii="Georgia" w:hAnsi="Georgia"/>
          <w:bCs/>
          <w:sz w:val="24"/>
          <w:szCs w:val="24"/>
        </w:rPr>
        <w:t>Objednateli</w:t>
      </w:r>
      <w:r w:rsidRPr="00102527">
        <w:rPr>
          <w:rFonts w:ascii="Georgia" w:hAnsi="Georgia"/>
          <w:bCs/>
          <w:sz w:val="24"/>
          <w:szCs w:val="24"/>
        </w:rPr>
        <w:t xml:space="preserve"> ke schválení. Plán jednotlivého interního auditu musí minimálně obsahovat následující: 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identifikaci auditovaného subjektu,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cíle interního auditu,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identifikaci interního auditu (včetně zaměření interního auditu),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identifikaci auditované oblasti,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rozsah činnosti, na kterou bude interní audit zaměřen, včetně vymezení rizik spojených s auditovanou činností,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složení auditorského týmu,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postup přípravné fáze na audit,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metody a techniky, které budou použity při výkonu interního auditu,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postupy pro identifikaci, analýzu, hodnocení a zaznamenávání informací v průběhu auditu,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využití softwarové podpory v průběhu interního auditu,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auditované období,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harmonogram jednotlivých kroků při výkonu interního auditu,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předpokládaný datum zahájení a ukončení.</w:t>
      </w:r>
    </w:p>
    <w:p w:rsidR="003F67DB" w:rsidRPr="00102527" w:rsidRDefault="003F67DB" w:rsidP="003F67DB">
      <w:pPr>
        <w:pStyle w:val="Zkladntext3"/>
        <w:spacing w:line="276" w:lineRule="auto"/>
        <w:jc w:val="both"/>
        <w:rPr>
          <w:rFonts w:ascii="Georgia" w:hAnsi="Georgia"/>
          <w:bCs/>
          <w:sz w:val="24"/>
          <w:szCs w:val="24"/>
        </w:rPr>
      </w:pPr>
    </w:p>
    <w:p w:rsidR="003F67DB" w:rsidRPr="003F67DB" w:rsidRDefault="003F67DB" w:rsidP="003F67DB">
      <w:pPr>
        <w:pStyle w:val="Zkladntext3"/>
        <w:keepNext/>
        <w:numPr>
          <w:ilvl w:val="0"/>
          <w:numId w:val="2"/>
        </w:num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3F67DB">
        <w:rPr>
          <w:rFonts w:ascii="Georgia" w:hAnsi="Georgia"/>
          <w:b/>
          <w:bCs/>
          <w:sz w:val="24"/>
          <w:szCs w:val="24"/>
        </w:rPr>
        <w:lastRenderedPageBreak/>
        <w:t>Provedení interního auditu</w:t>
      </w:r>
    </w:p>
    <w:p w:rsidR="003F67DB" w:rsidRPr="00102527" w:rsidRDefault="003F67DB" w:rsidP="003F67DB">
      <w:pPr>
        <w:pStyle w:val="Zkladntext3"/>
        <w:keepNext/>
        <w:spacing w:line="276" w:lineRule="auto"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 xml:space="preserve">Interní audit bude vykonán vždy na základě písemného pověření </w:t>
      </w:r>
      <w:r>
        <w:rPr>
          <w:rFonts w:ascii="Georgia" w:hAnsi="Georgia"/>
          <w:bCs/>
          <w:sz w:val="24"/>
          <w:szCs w:val="24"/>
        </w:rPr>
        <w:t>Objednatele</w:t>
      </w:r>
      <w:r w:rsidRPr="00102527">
        <w:rPr>
          <w:rFonts w:ascii="Georgia" w:hAnsi="Georgia"/>
          <w:bCs/>
          <w:sz w:val="24"/>
          <w:szCs w:val="24"/>
        </w:rPr>
        <w:t xml:space="preserve"> a zahájen schůzkou audi</w:t>
      </w:r>
      <w:r>
        <w:rPr>
          <w:rFonts w:ascii="Georgia" w:hAnsi="Georgia"/>
          <w:bCs/>
          <w:sz w:val="24"/>
          <w:szCs w:val="24"/>
        </w:rPr>
        <w:t>torské</w:t>
      </w:r>
      <w:r w:rsidRPr="00102527">
        <w:rPr>
          <w:rFonts w:ascii="Georgia" w:hAnsi="Georgia"/>
          <w:bCs/>
          <w:sz w:val="24"/>
          <w:szCs w:val="24"/>
        </w:rPr>
        <w:t>ho týmu s </w:t>
      </w:r>
      <w:r>
        <w:rPr>
          <w:rFonts w:ascii="Georgia" w:hAnsi="Georgia"/>
          <w:bCs/>
          <w:sz w:val="24"/>
          <w:szCs w:val="24"/>
        </w:rPr>
        <w:t>Objednatelem</w:t>
      </w:r>
      <w:r w:rsidRPr="00102527">
        <w:rPr>
          <w:rFonts w:ascii="Georgia" w:hAnsi="Georgia"/>
          <w:bCs/>
          <w:sz w:val="24"/>
          <w:szCs w:val="24"/>
        </w:rPr>
        <w:t>.</w:t>
      </w:r>
    </w:p>
    <w:p w:rsidR="003F67DB" w:rsidRPr="00102527" w:rsidRDefault="003F67DB" w:rsidP="003F67DB">
      <w:pPr>
        <w:pStyle w:val="Zkladntext3"/>
        <w:spacing w:line="276" w:lineRule="auto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Pověřený zástupce Objednatele</w:t>
      </w:r>
      <w:r w:rsidRPr="00102527">
        <w:rPr>
          <w:rFonts w:ascii="Georgia" w:hAnsi="Georgia"/>
          <w:bCs/>
          <w:sz w:val="24"/>
          <w:szCs w:val="24"/>
        </w:rPr>
        <w:t xml:space="preserve"> bude </w:t>
      </w:r>
      <w:r>
        <w:rPr>
          <w:rFonts w:ascii="Georgia" w:hAnsi="Georgia"/>
          <w:bCs/>
          <w:sz w:val="24"/>
          <w:szCs w:val="24"/>
        </w:rPr>
        <w:t>P</w:t>
      </w:r>
      <w:r w:rsidRPr="00102527">
        <w:rPr>
          <w:rFonts w:ascii="Georgia" w:hAnsi="Georgia"/>
          <w:bCs/>
          <w:sz w:val="24"/>
          <w:szCs w:val="24"/>
        </w:rPr>
        <w:t xml:space="preserve">oskytovateli poskytovat při realizaci </w:t>
      </w:r>
      <w:r>
        <w:rPr>
          <w:rFonts w:ascii="Georgia" w:hAnsi="Georgia"/>
          <w:bCs/>
          <w:sz w:val="24"/>
          <w:szCs w:val="24"/>
        </w:rPr>
        <w:t xml:space="preserve">interního </w:t>
      </w:r>
      <w:r w:rsidRPr="00102527">
        <w:rPr>
          <w:rFonts w:ascii="Georgia" w:hAnsi="Georgia"/>
          <w:bCs/>
          <w:sz w:val="24"/>
          <w:szCs w:val="24"/>
        </w:rPr>
        <w:t xml:space="preserve">auditu částečnou podporu, např. ve formě získávání a předávání podkladů, kterými disponuje </w:t>
      </w:r>
      <w:r>
        <w:rPr>
          <w:rFonts w:ascii="Georgia" w:hAnsi="Georgia"/>
          <w:bCs/>
          <w:sz w:val="24"/>
          <w:szCs w:val="24"/>
        </w:rPr>
        <w:t>Objednatel</w:t>
      </w:r>
      <w:r w:rsidRPr="00102527">
        <w:rPr>
          <w:rFonts w:ascii="Georgia" w:hAnsi="Georgia"/>
          <w:bCs/>
          <w:sz w:val="24"/>
          <w:szCs w:val="24"/>
        </w:rPr>
        <w:t xml:space="preserve"> (směrnice, dokumentace k projektům, vnitřní předpisy apod.), či předáním kontaktů na zaměstnance, realizátory, partnery a další relevantní subjekty.</w:t>
      </w:r>
    </w:p>
    <w:p w:rsidR="003F67DB" w:rsidRPr="00102527" w:rsidRDefault="003F67DB" w:rsidP="003F67DB">
      <w:pPr>
        <w:pStyle w:val="Zkladntext3"/>
        <w:spacing w:line="276" w:lineRule="auto"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 xml:space="preserve">Během auditu </w:t>
      </w:r>
      <w:r>
        <w:rPr>
          <w:rFonts w:ascii="Georgia" w:hAnsi="Georgia"/>
          <w:bCs/>
          <w:sz w:val="24"/>
          <w:szCs w:val="24"/>
        </w:rPr>
        <w:t>P</w:t>
      </w:r>
      <w:r w:rsidRPr="00102527">
        <w:rPr>
          <w:rFonts w:ascii="Georgia" w:hAnsi="Georgia"/>
          <w:bCs/>
          <w:sz w:val="24"/>
          <w:szCs w:val="24"/>
        </w:rPr>
        <w:t>oskytovatel, mimo jiné, prověří případný soulad s relevantními zákony a vnitřními směrnicemi.</w:t>
      </w:r>
    </w:p>
    <w:p w:rsidR="003F67DB" w:rsidRPr="00102527" w:rsidRDefault="003F67DB" w:rsidP="003F67DB">
      <w:pPr>
        <w:pStyle w:val="Zkladntext3"/>
        <w:spacing w:line="276" w:lineRule="auto"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 xml:space="preserve">Pro každý jednotlivý audit povede </w:t>
      </w:r>
      <w:r>
        <w:rPr>
          <w:rFonts w:ascii="Georgia" w:hAnsi="Georgia"/>
          <w:bCs/>
          <w:sz w:val="24"/>
          <w:szCs w:val="24"/>
        </w:rPr>
        <w:t>P</w:t>
      </w:r>
      <w:r w:rsidRPr="00102527">
        <w:rPr>
          <w:rFonts w:ascii="Georgia" w:hAnsi="Georgia"/>
          <w:bCs/>
          <w:sz w:val="24"/>
          <w:szCs w:val="24"/>
        </w:rPr>
        <w:t>oskytovatel auditorský spis, a to tak</w:t>
      </w:r>
      <w:r>
        <w:rPr>
          <w:rFonts w:ascii="Georgia" w:hAnsi="Georgia"/>
          <w:bCs/>
          <w:sz w:val="24"/>
          <w:szCs w:val="24"/>
        </w:rPr>
        <w:t>,</w:t>
      </w:r>
      <w:r w:rsidRPr="00102527">
        <w:rPr>
          <w:rFonts w:ascii="Georgia" w:hAnsi="Georgia"/>
          <w:bCs/>
          <w:sz w:val="24"/>
          <w:szCs w:val="24"/>
        </w:rPr>
        <w:t xml:space="preserve"> aby byl postup provedení auditu kompletně přezkoumatelný a shromažďoval informace, které jsou dostatečné pro závěry dokumentovaných zjištění. Auditorské spisy budou po skončení jednotlivého interního auditu předány </w:t>
      </w:r>
      <w:r>
        <w:rPr>
          <w:rFonts w:ascii="Georgia" w:hAnsi="Georgia"/>
          <w:bCs/>
          <w:sz w:val="24"/>
          <w:szCs w:val="24"/>
        </w:rPr>
        <w:t>Objednateli způsobem uvedeným ve Smlouvě.</w:t>
      </w:r>
    </w:p>
    <w:p w:rsidR="003F67DB" w:rsidRPr="00102527" w:rsidRDefault="003F67DB" w:rsidP="003F67DB">
      <w:pPr>
        <w:pStyle w:val="Zkladntext3"/>
        <w:spacing w:line="276" w:lineRule="auto"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 xml:space="preserve">Z každého jednotlivého auditu vypracuje </w:t>
      </w:r>
      <w:r>
        <w:rPr>
          <w:rFonts w:ascii="Georgia" w:hAnsi="Georgia"/>
          <w:bCs/>
          <w:sz w:val="24"/>
          <w:szCs w:val="24"/>
        </w:rPr>
        <w:t>P</w:t>
      </w:r>
      <w:r w:rsidRPr="00102527">
        <w:rPr>
          <w:rFonts w:ascii="Georgia" w:hAnsi="Georgia"/>
          <w:bCs/>
          <w:sz w:val="24"/>
          <w:szCs w:val="24"/>
        </w:rPr>
        <w:t>oskytovatel Zprávu o zjištěních z vykonaného auditu. Tato zpráva musí obsahovat minimálně následující: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označení auditovaného subjektu,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složení auditorského týmu,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označení předmětu interního auditu, jeho cíle a rozsahu,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datum zahájení interního auditu,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auditní zjištění, obsahující popis zjištěného stavu věci s uvedením nedostatků, označení právních nebo vnitřních předpisů, které byly porušeny, včetně dokladů, z kterých tato auditní zjištění vycházejí,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příčiny vzniku zjištěných nedostatků,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doporučení k nápravě zjištěných nedostatků, ke zlepšení vnitřního kontrolního systému, nebo k předcházení nebo zmírnění rizik,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datum vyhotovení,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závěrečné zhodnocení,</w:t>
      </w:r>
    </w:p>
    <w:p w:rsidR="003F67DB" w:rsidRPr="00102527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přílohy, pokud to povaha auditu vyžaduje,</w:t>
      </w:r>
    </w:p>
    <w:p w:rsidR="003F67DB" w:rsidRDefault="003F67DB" w:rsidP="003F67DB">
      <w:pPr>
        <w:pStyle w:val="Zkladntext3"/>
        <w:numPr>
          <w:ilvl w:val="0"/>
          <w:numId w:val="1"/>
        </w:numPr>
        <w:spacing w:after="160" w:line="276" w:lineRule="auto"/>
        <w:ind w:left="714" w:hanging="357"/>
        <w:contextualSpacing/>
        <w:jc w:val="both"/>
        <w:rPr>
          <w:rFonts w:ascii="Georgia" w:hAnsi="Georgia"/>
          <w:bCs/>
          <w:sz w:val="24"/>
          <w:szCs w:val="24"/>
        </w:rPr>
      </w:pPr>
      <w:r w:rsidRPr="00102527">
        <w:rPr>
          <w:rFonts w:ascii="Georgia" w:hAnsi="Georgia"/>
          <w:bCs/>
          <w:sz w:val="24"/>
          <w:szCs w:val="24"/>
        </w:rPr>
        <w:t>podpisy všech členů auditorského týmu.</w:t>
      </w:r>
    </w:p>
    <w:p w:rsidR="003F67DB" w:rsidRDefault="003F67DB" w:rsidP="003F67DB">
      <w:pPr>
        <w:pStyle w:val="Zkladntext3"/>
        <w:spacing w:after="160" w:line="276" w:lineRule="auto"/>
        <w:contextualSpacing/>
        <w:jc w:val="both"/>
        <w:rPr>
          <w:rFonts w:ascii="Georgia" w:hAnsi="Georgia"/>
          <w:bCs/>
          <w:sz w:val="24"/>
          <w:szCs w:val="24"/>
        </w:rPr>
      </w:pPr>
    </w:p>
    <w:p w:rsidR="003F67DB" w:rsidRPr="00102527" w:rsidRDefault="003F67DB" w:rsidP="003F67DB">
      <w:pPr>
        <w:pStyle w:val="Zkladntext3"/>
        <w:spacing w:after="160" w:line="276" w:lineRule="auto"/>
        <w:contextualSpacing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Zprávy o zjištění z vykonaného auditu budou po skončení jednotlivého interního auditu předány Objednateli způsobem uvedeným ve Smlouvě.</w:t>
      </w:r>
    </w:p>
    <w:p w:rsidR="003F67DB" w:rsidRPr="00102527" w:rsidRDefault="003F67DB" w:rsidP="003F67DB">
      <w:pPr>
        <w:pStyle w:val="Zkladntext3"/>
        <w:spacing w:line="276" w:lineRule="auto"/>
        <w:jc w:val="both"/>
        <w:rPr>
          <w:rFonts w:ascii="Georgia" w:hAnsi="Georgia"/>
          <w:bCs/>
          <w:sz w:val="24"/>
          <w:szCs w:val="24"/>
        </w:rPr>
      </w:pPr>
    </w:p>
    <w:p w:rsidR="003F67DB" w:rsidRPr="003F67DB" w:rsidRDefault="003F67DB" w:rsidP="00D06894">
      <w:pPr>
        <w:pStyle w:val="Zkladntext3"/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05246D" w:rsidRDefault="000F3A2F"/>
    <w:sectPr w:rsidR="0005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A6A"/>
    <w:multiLevelType w:val="hybridMultilevel"/>
    <w:tmpl w:val="FCCA6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11F35"/>
    <w:multiLevelType w:val="hybridMultilevel"/>
    <w:tmpl w:val="B7666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B"/>
    <w:rsid w:val="000F3A2F"/>
    <w:rsid w:val="0025427A"/>
    <w:rsid w:val="00263F6F"/>
    <w:rsid w:val="00294562"/>
    <w:rsid w:val="003F67DB"/>
    <w:rsid w:val="005D6CA9"/>
    <w:rsid w:val="00BF1DC1"/>
    <w:rsid w:val="00D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3EA0E-A5E4-4EF6-AFD7-6A622D37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7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3F67D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F67DB"/>
    <w:rPr>
      <w:rFonts w:ascii="Cambria" w:eastAsia="MS Mincho" w:hAnsi="Cambria" w:cs="Times New Roman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D6C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6CA9"/>
    <w:rPr>
      <w:rFonts w:ascii="Cambria" w:eastAsia="MS Mincho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Hajciarova Daniela</dc:creator>
  <cp:keywords/>
  <dc:description/>
  <cp:lastModifiedBy>Hajciarova Daniela</cp:lastModifiedBy>
  <cp:revision>4</cp:revision>
  <dcterms:created xsi:type="dcterms:W3CDTF">2019-01-28T10:08:00Z</dcterms:created>
  <dcterms:modified xsi:type="dcterms:W3CDTF">2019-03-12T09:30:00Z</dcterms:modified>
</cp:coreProperties>
</file>