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486A7D82" w:rsidR="00226595" w:rsidRPr="00DE2BC9" w:rsidRDefault="00504935">
            <w:pPr>
              <w:tabs>
                <w:tab w:val="left" w:pos="6804"/>
              </w:tabs>
              <w:spacing w:line="480" w:lineRule="auto"/>
              <w:rPr>
                <w:snapToGrid w:val="0"/>
                <w:sz w:val="24"/>
              </w:rPr>
            </w:pPr>
            <w:r>
              <w:rPr>
                <w:snapToGrid w:val="0"/>
                <w:sz w:val="24"/>
              </w:rPr>
              <w:t>9</w:t>
            </w:r>
          </w:p>
        </w:tc>
        <w:tc>
          <w:tcPr>
            <w:tcW w:w="397" w:type="dxa"/>
          </w:tcPr>
          <w:p w14:paraId="0502788E" w14:textId="2F32D373" w:rsidR="00226595" w:rsidRPr="00DE2BC9" w:rsidRDefault="00504935">
            <w:pPr>
              <w:tabs>
                <w:tab w:val="left" w:pos="6804"/>
              </w:tabs>
              <w:spacing w:line="480" w:lineRule="auto"/>
              <w:rPr>
                <w:snapToGrid w:val="0"/>
                <w:sz w:val="24"/>
              </w:rPr>
            </w:pPr>
            <w:r>
              <w:rPr>
                <w:snapToGrid w:val="0"/>
                <w:sz w:val="24"/>
              </w:rPr>
              <w:t>0</w:t>
            </w:r>
          </w:p>
        </w:tc>
        <w:tc>
          <w:tcPr>
            <w:tcW w:w="397" w:type="dxa"/>
          </w:tcPr>
          <w:p w14:paraId="4AD7A259" w14:textId="1F085B5C" w:rsidR="00226595" w:rsidRPr="00DE2BC9" w:rsidRDefault="00504935">
            <w:pPr>
              <w:tabs>
                <w:tab w:val="left" w:pos="6804"/>
              </w:tabs>
              <w:spacing w:line="480" w:lineRule="auto"/>
              <w:rPr>
                <w:snapToGrid w:val="0"/>
                <w:sz w:val="24"/>
              </w:rPr>
            </w:pPr>
            <w:r>
              <w:rPr>
                <w:snapToGrid w:val="0"/>
                <w:sz w:val="24"/>
              </w:rPr>
              <w:t>7</w:t>
            </w:r>
          </w:p>
        </w:tc>
        <w:tc>
          <w:tcPr>
            <w:tcW w:w="397" w:type="dxa"/>
          </w:tcPr>
          <w:p w14:paraId="4D7C041A" w14:textId="18C00343" w:rsidR="00226595" w:rsidRPr="00DE2BC9" w:rsidRDefault="00504935">
            <w:pPr>
              <w:tabs>
                <w:tab w:val="left" w:pos="6804"/>
              </w:tabs>
              <w:spacing w:line="480" w:lineRule="auto"/>
              <w:rPr>
                <w:snapToGrid w:val="0"/>
                <w:sz w:val="24"/>
              </w:rPr>
            </w:pPr>
            <w:r>
              <w:rPr>
                <w:snapToGrid w:val="0"/>
                <w:sz w:val="24"/>
              </w:rPr>
              <w:t>1</w:t>
            </w:r>
          </w:p>
        </w:tc>
        <w:tc>
          <w:tcPr>
            <w:tcW w:w="397" w:type="dxa"/>
          </w:tcPr>
          <w:p w14:paraId="29B63622" w14:textId="3E3F6934" w:rsidR="00226595" w:rsidRPr="00DE2BC9" w:rsidRDefault="00504935">
            <w:pPr>
              <w:tabs>
                <w:tab w:val="left" w:pos="6804"/>
              </w:tabs>
              <w:spacing w:line="480" w:lineRule="auto"/>
              <w:rPr>
                <w:snapToGrid w:val="0"/>
                <w:sz w:val="24"/>
              </w:rPr>
            </w:pPr>
            <w:r>
              <w:rPr>
                <w:snapToGrid w:val="0"/>
                <w:sz w:val="24"/>
              </w:rPr>
              <w:t>6</w:t>
            </w:r>
          </w:p>
        </w:tc>
        <w:tc>
          <w:tcPr>
            <w:tcW w:w="425" w:type="dxa"/>
          </w:tcPr>
          <w:p w14:paraId="4E478447" w14:textId="7EB2E3E0" w:rsidR="00226595" w:rsidRPr="00DE2BC9" w:rsidRDefault="00504935">
            <w:pPr>
              <w:tabs>
                <w:tab w:val="left" w:pos="6804"/>
              </w:tabs>
              <w:spacing w:line="480" w:lineRule="auto"/>
              <w:ind w:right="-239"/>
              <w:rPr>
                <w:snapToGrid w:val="0"/>
                <w:sz w:val="24"/>
              </w:rPr>
            </w:pPr>
            <w:r>
              <w:rPr>
                <w:snapToGrid w:val="0"/>
                <w:sz w:val="24"/>
              </w:rPr>
              <w:t>0</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5289B907"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504935">
        <w:rPr>
          <w:b/>
          <w:snapToGrid w:val="0"/>
          <w:sz w:val="28"/>
          <w:szCs w:val="28"/>
        </w:rPr>
        <w:t>09 – 1/2019</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255E4F4" w14:textId="7777777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xml:space="preserve">, </w:t>
      </w:r>
      <w:r w:rsidR="00087C6B">
        <w:rPr>
          <w:rFonts w:ascii="Times New Roman" w:hAnsi="Times New Roman"/>
          <w:snapToGrid w:val="0"/>
          <w:sz w:val="24"/>
        </w:rPr>
        <w:t>vedoucí</w:t>
      </w:r>
      <w:r>
        <w:rPr>
          <w:rFonts w:ascii="Times New Roman" w:hAnsi="Times New Roman"/>
          <w:snapToGrid w:val="0"/>
          <w:sz w:val="24"/>
        </w:rPr>
        <w:t xml:space="preserve"> odboru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B97293D" w14:textId="77777777" w:rsidR="00226595" w:rsidRPr="00814721" w:rsidRDefault="00226595" w:rsidP="0094176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14:paraId="3115DF8E" w14:textId="0645DB33"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364DA955"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AC103A">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0AA209EA"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504935">
        <w:rPr>
          <w:rFonts w:ascii="Times New Roman" w:hAnsi="Times New Roman"/>
          <w:snapToGrid w:val="0"/>
          <w:sz w:val="24"/>
        </w:rPr>
        <w:t xml:space="preserve"> 36859007</w:t>
      </w:r>
    </w:p>
    <w:p w14:paraId="7DA2E503" w14:textId="77777777" w:rsidR="00504935" w:rsidRDefault="00504935" w:rsidP="00504935">
      <w:pPr>
        <w:tabs>
          <w:tab w:val="left" w:pos="284"/>
        </w:tabs>
        <w:spacing w:before="120"/>
        <w:ind w:left="284"/>
        <w:jc w:val="both"/>
        <w:rPr>
          <w:sz w:val="24"/>
        </w:rPr>
      </w:pPr>
      <w:proofErr w:type="spellStart"/>
      <w:r>
        <w:rPr>
          <w:b/>
          <w:bCs/>
          <w:sz w:val="24"/>
          <w:szCs w:val="24"/>
        </w:rPr>
        <w:t>Nationale-Nederlanden</w:t>
      </w:r>
      <w:proofErr w:type="spellEnd"/>
      <w:r>
        <w:rPr>
          <w:b/>
          <w:bCs/>
          <w:sz w:val="24"/>
          <w:szCs w:val="24"/>
        </w:rPr>
        <w:t xml:space="preserve"> </w:t>
      </w:r>
      <w:proofErr w:type="spellStart"/>
      <w:r>
        <w:rPr>
          <w:b/>
          <w:bCs/>
          <w:sz w:val="24"/>
          <w:szCs w:val="24"/>
        </w:rPr>
        <w:t>Levensverzekering</w:t>
      </w:r>
      <w:proofErr w:type="spellEnd"/>
      <w:r>
        <w:rPr>
          <w:b/>
          <w:bCs/>
          <w:sz w:val="24"/>
          <w:szCs w:val="24"/>
        </w:rPr>
        <w:t xml:space="preserve"> </w:t>
      </w:r>
      <w:proofErr w:type="spellStart"/>
      <w:r>
        <w:rPr>
          <w:b/>
          <w:bCs/>
          <w:sz w:val="24"/>
          <w:szCs w:val="24"/>
        </w:rPr>
        <w:t>Maatschappij</w:t>
      </w:r>
      <w:proofErr w:type="spellEnd"/>
      <w:r>
        <w:rPr>
          <w:b/>
          <w:bCs/>
          <w:sz w:val="24"/>
          <w:szCs w:val="24"/>
        </w:rPr>
        <w:t xml:space="preserve"> </w:t>
      </w:r>
      <w:proofErr w:type="gramStart"/>
      <w:r>
        <w:rPr>
          <w:b/>
          <w:bCs/>
          <w:sz w:val="24"/>
          <w:szCs w:val="24"/>
        </w:rPr>
        <w:t>N.V. (NN</w:t>
      </w:r>
      <w:proofErr w:type="gramEnd"/>
      <w:r>
        <w:rPr>
          <w:b/>
          <w:bCs/>
          <w:sz w:val="24"/>
          <w:szCs w:val="24"/>
        </w:rPr>
        <w:t xml:space="preserve"> Životní pojišťovna N.V.) </w:t>
      </w:r>
      <w:r w:rsidRPr="009165B6">
        <w:rPr>
          <w:sz w:val="24"/>
        </w:rPr>
        <w:t>se sídlem</w:t>
      </w:r>
      <w:r>
        <w:rPr>
          <w:sz w:val="24"/>
        </w:rPr>
        <w:t xml:space="preserve"> Rotterdam, </w:t>
      </w:r>
      <w:proofErr w:type="spellStart"/>
      <w:r>
        <w:rPr>
          <w:sz w:val="24"/>
        </w:rPr>
        <w:t>Weena</w:t>
      </w:r>
      <w:proofErr w:type="spellEnd"/>
      <w:r>
        <w:rPr>
          <w:sz w:val="24"/>
        </w:rPr>
        <w:t xml:space="preserve"> 505, Nizozemí</w:t>
      </w:r>
      <w:r>
        <w:rPr>
          <w:rFonts w:ascii="Arial" w:hAnsi="Arial" w:cs="Arial"/>
          <w:b/>
          <w:bCs/>
        </w:rPr>
        <w:t xml:space="preserve">, </w:t>
      </w:r>
      <w:r w:rsidRPr="009165B6">
        <w:rPr>
          <w:sz w:val="24"/>
        </w:rPr>
        <w:t>zapsan</w:t>
      </w:r>
      <w:r>
        <w:rPr>
          <w:sz w:val="24"/>
        </w:rPr>
        <w:t>á</w:t>
      </w:r>
      <w:r w:rsidRPr="009165B6">
        <w:rPr>
          <w:sz w:val="24"/>
        </w:rPr>
        <w:t xml:space="preserve"> v obchodním rejstříku vedeném Obchodní </w:t>
      </w:r>
      <w:r>
        <w:rPr>
          <w:sz w:val="24"/>
        </w:rPr>
        <w:t>komorou v Rotterdamu, Nizozemské království, číslo zápisu 24042211,</w:t>
      </w:r>
      <w:r w:rsidRPr="009165B6">
        <w:rPr>
          <w:sz w:val="24"/>
        </w:rPr>
        <w:t xml:space="preserve"> jednající prostřednictvím</w:t>
      </w:r>
    </w:p>
    <w:p w14:paraId="6D38B2AD" w14:textId="77777777" w:rsidR="00504935" w:rsidRPr="009165B6" w:rsidRDefault="00504935" w:rsidP="00504935">
      <w:pPr>
        <w:tabs>
          <w:tab w:val="left" w:pos="284"/>
        </w:tabs>
        <w:ind w:left="284"/>
        <w:jc w:val="both"/>
        <w:rPr>
          <w:sz w:val="24"/>
        </w:rPr>
      </w:pPr>
    </w:p>
    <w:p w14:paraId="332B8A2A" w14:textId="77777777" w:rsidR="00504935" w:rsidRPr="00DB6203" w:rsidRDefault="00504935" w:rsidP="00504935">
      <w:pPr>
        <w:tabs>
          <w:tab w:val="left" w:pos="360"/>
          <w:tab w:val="left" w:pos="426"/>
        </w:tabs>
        <w:ind w:left="284"/>
        <w:rPr>
          <w:b/>
          <w:sz w:val="24"/>
        </w:rPr>
      </w:pPr>
      <w:r>
        <w:rPr>
          <w:b/>
          <w:bCs/>
          <w:sz w:val="24"/>
        </w:rPr>
        <w:t>N</w:t>
      </w:r>
      <w:r w:rsidRPr="00DB6203">
        <w:rPr>
          <w:b/>
          <w:bCs/>
          <w:sz w:val="24"/>
        </w:rPr>
        <w:t xml:space="preserve">N Životní pojišťovna </w:t>
      </w:r>
      <w:proofErr w:type="gramStart"/>
      <w:r w:rsidRPr="00DB6203">
        <w:rPr>
          <w:b/>
          <w:bCs/>
          <w:sz w:val="24"/>
        </w:rPr>
        <w:t>N.V., pobočka</w:t>
      </w:r>
      <w:proofErr w:type="gramEnd"/>
      <w:r w:rsidRPr="00DB6203">
        <w:rPr>
          <w:b/>
          <w:bCs/>
          <w:sz w:val="24"/>
        </w:rPr>
        <w:t xml:space="preserve"> pro Českou republiku</w:t>
      </w:r>
      <w:r w:rsidRPr="00DB6203">
        <w:rPr>
          <w:b/>
          <w:sz w:val="24"/>
        </w:rPr>
        <w:t xml:space="preserve"> </w:t>
      </w:r>
    </w:p>
    <w:p w14:paraId="286035B7" w14:textId="2C926449" w:rsidR="00504935" w:rsidRDefault="00504935" w:rsidP="00504935">
      <w:pPr>
        <w:tabs>
          <w:tab w:val="left" w:pos="360"/>
          <w:tab w:val="left" w:pos="426"/>
        </w:tabs>
        <w:ind w:left="284"/>
        <w:rPr>
          <w:b/>
          <w:sz w:val="24"/>
        </w:rPr>
      </w:pPr>
      <w:r>
        <w:rPr>
          <w:b/>
          <w:sz w:val="24"/>
        </w:rPr>
        <w:t>se sídlem Nádražní 344/25, Smíchov, 150 00 Praha 5</w:t>
      </w:r>
    </w:p>
    <w:p w14:paraId="0DF979C3" w14:textId="3064217D" w:rsidR="00504935" w:rsidRPr="00FE217D" w:rsidRDefault="00504935" w:rsidP="00504935">
      <w:pPr>
        <w:pStyle w:val="Codstavec"/>
        <w:tabs>
          <w:tab w:val="left" w:pos="284"/>
          <w:tab w:val="left" w:pos="1276"/>
          <w:tab w:val="left" w:pos="1418"/>
          <w:tab w:val="left" w:pos="1560"/>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zastoupena:</w:t>
      </w:r>
      <w:r>
        <w:rPr>
          <w:rFonts w:ascii="Times New Roman" w:hAnsi="Times New Roman"/>
          <w:b/>
          <w:snapToGrid w:val="0"/>
          <w:sz w:val="24"/>
        </w:rPr>
        <w:tab/>
      </w:r>
      <w:proofErr w:type="spellStart"/>
      <w:r>
        <w:rPr>
          <w:rFonts w:ascii="Times New Roman" w:hAnsi="Times New Roman"/>
          <w:snapToGrid w:val="0"/>
          <w:sz w:val="24"/>
        </w:rPr>
        <w:t>MaurickWillem</w:t>
      </w:r>
      <w:proofErr w:type="spellEnd"/>
      <w:r>
        <w:rPr>
          <w:rFonts w:ascii="Times New Roman" w:hAnsi="Times New Roman"/>
          <w:snapToGrid w:val="0"/>
          <w:sz w:val="24"/>
        </w:rPr>
        <w:t xml:space="preserve"> </w:t>
      </w:r>
      <w:proofErr w:type="spellStart"/>
      <w:r>
        <w:rPr>
          <w:rFonts w:ascii="Times New Roman" w:hAnsi="Times New Roman"/>
          <w:snapToGrid w:val="0"/>
          <w:sz w:val="24"/>
        </w:rPr>
        <w:t>Schellekens</w:t>
      </w:r>
      <w:proofErr w:type="spellEnd"/>
      <w:r>
        <w:rPr>
          <w:rFonts w:ascii="Times New Roman" w:hAnsi="Times New Roman"/>
          <w:snapToGrid w:val="0"/>
          <w:sz w:val="24"/>
        </w:rPr>
        <w:t>, vedoucí odštěpného závodu</w:t>
      </w:r>
    </w:p>
    <w:p w14:paraId="36C0DDDF" w14:textId="77777777" w:rsidR="00504935" w:rsidRDefault="00504935" w:rsidP="00504935">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Pr>
          <w:rFonts w:ascii="Times New Roman" w:hAnsi="Times New Roman"/>
          <w:snapToGrid w:val="0"/>
          <w:sz w:val="24"/>
        </w:rPr>
        <w:tab/>
        <w:t>40763587</w:t>
      </w:r>
    </w:p>
    <w:p w14:paraId="1F74C100" w14:textId="652E7088" w:rsidR="00504935" w:rsidRDefault="00504935" w:rsidP="00504935">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A84104">
        <w:rPr>
          <w:rFonts w:ascii="Times New Roman" w:hAnsi="Times New Roman"/>
          <w:snapToGrid w:val="0"/>
          <w:sz w:val="24"/>
        </w:rPr>
        <w:t>699004730</w:t>
      </w:r>
    </w:p>
    <w:p w14:paraId="19663B81" w14:textId="252F3799" w:rsidR="00504935" w:rsidRPr="00504935" w:rsidRDefault="00504935" w:rsidP="00504935">
      <w:pPr>
        <w:pStyle w:val="Codstavec"/>
        <w:tabs>
          <w:tab w:val="left" w:pos="284"/>
        </w:tabs>
        <w:ind w:left="284" w:firstLine="0"/>
        <w:rPr>
          <w:rFonts w:ascii="Times New Roman" w:hAnsi="Times New Roman"/>
          <w:snapToGrid w:val="0"/>
          <w:sz w:val="24"/>
        </w:rPr>
      </w:pPr>
      <w:r w:rsidRPr="00504935">
        <w:rPr>
          <w:rFonts w:ascii="Times New Roman" w:hAnsi="Times New Roman"/>
          <w:snapToGrid w:val="0"/>
          <w:sz w:val="24"/>
        </w:rPr>
        <w:t>zapsaná v obchodním rejstříku vedeném Městským soudem v Praze, oddíl A, vložka 6305</w:t>
      </w:r>
    </w:p>
    <w:p w14:paraId="020580DC" w14:textId="19F74A97" w:rsidR="00504935" w:rsidRPr="003721EA" w:rsidRDefault="00504935" w:rsidP="00504935">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282D25DB" w14:textId="7323C7AD" w:rsidR="00504935" w:rsidRPr="00C62FB9" w:rsidRDefault="00504935" w:rsidP="00504935">
      <w:pPr>
        <w:pStyle w:val="Codstavec"/>
        <w:tabs>
          <w:tab w:val="left" w:pos="284"/>
          <w:tab w:val="left" w:pos="851"/>
        </w:tabs>
        <w:ind w:left="284" w:firstLine="0"/>
        <w:rPr>
          <w:rFonts w:ascii="Times New Roman" w:hAnsi="Times New Roman"/>
          <w:b/>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AC103A">
        <w:rPr>
          <w:rFonts w:ascii="Times New Roman" w:hAnsi="Times New Roman"/>
          <w:b/>
          <w:snapToGrid w:val="0"/>
          <w:sz w:val="24"/>
        </w:rPr>
        <w:t>xxx</w:t>
      </w:r>
      <w:proofErr w:type="spellEnd"/>
    </w:p>
    <w:p w14:paraId="6712034C" w14:textId="217A7D62" w:rsidR="00504935" w:rsidRDefault="00504935" w:rsidP="00504935">
      <w:pPr>
        <w:pStyle w:val="Codstavec"/>
        <w:tabs>
          <w:tab w:val="left" w:pos="284"/>
        </w:tabs>
        <w:ind w:left="284" w:firstLine="0"/>
        <w:rPr>
          <w:rFonts w:ascii="Times New Roman" w:hAnsi="Times New Roman"/>
          <w:snapToGrid w:val="0"/>
          <w:color w:val="3366FF"/>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proofErr w:type="spellStart"/>
      <w:r w:rsidR="00AC103A">
        <w:rPr>
          <w:rFonts w:ascii="Times New Roman" w:hAnsi="Times New Roman"/>
          <w:snapToGrid w:val="0"/>
          <w:sz w:val="24"/>
        </w:rPr>
        <w:t>xxx</w:t>
      </w:r>
      <w:proofErr w:type="spellEnd"/>
    </w:p>
    <w:p w14:paraId="4EAF9DB6" w14:textId="1F7B26CB" w:rsidR="00226595" w:rsidRPr="00DE2BC9" w:rsidRDefault="00504935" w:rsidP="00504935">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Pr>
          <w:rFonts w:ascii="Times New Roman" w:hAnsi="Times New Roman"/>
          <w:snapToGrid w:val="0"/>
          <w:sz w:val="24"/>
        </w:rPr>
        <w:t xml:space="preserve"> </w:t>
      </w:r>
      <w:proofErr w:type="spellStart"/>
      <w:r w:rsidR="00AC103A">
        <w:rPr>
          <w:rFonts w:ascii="Times New Roman" w:hAnsi="Times New Roman"/>
          <w:snapToGrid w:val="0"/>
          <w:sz w:val="24"/>
        </w:rPr>
        <w:t>xxx</w:t>
      </w:r>
      <w:proofErr w:type="spellEnd"/>
    </w:p>
    <w:p w14:paraId="4242297B" w14:textId="7E07AF69" w:rsidR="00226595"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07E1527F" w14:textId="45C17A17" w:rsidR="00504935" w:rsidRDefault="00504935">
      <w:pPr>
        <w:pStyle w:val="Codstavec"/>
        <w:tabs>
          <w:tab w:val="left" w:pos="284"/>
        </w:tabs>
        <w:ind w:firstLine="0"/>
        <w:rPr>
          <w:rFonts w:ascii="Times New Roman" w:hAnsi="Times New Roman"/>
          <w:snapToGrid w:val="0"/>
          <w:sz w:val="24"/>
        </w:rPr>
      </w:pPr>
    </w:p>
    <w:p w14:paraId="2A75B007" w14:textId="77777777" w:rsidR="00504935" w:rsidRPr="00DE2BC9" w:rsidRDefault="00504935">
      <w:pPr>
        <w:pStyle w:val="Codstavec"/>
        <w:tabs>
          <w:tab w:val="left" w:pos="284"/>
        </w:tabs>
        <w:ind w:firstLine="0"/>
        <w:rPr>
          <w:rFonts w:ascii="Times New Roman" w:hAnsi="Times New Roman"/>
          <w:snapToGrid w:val="0"/>
          <w:sz w:val="24"/>
        </w:rPr>
      </w:pPr>
    </w:p>
    <w:p w14:paraId="7F3E2FC4" w14:textId="77777777"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0020B89" w14:textId="751D7BB5" w:rsidR="00226595" w:rsidRPr="00504935" w:rsidRDefault="00226595" w:rsidP="00504935">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504935">
        <w:rPr>
          <w:rFonts w:ascii="Times New Roman" w:hAnsi="Times New Roman"/>
          <w:b/>
          <w:snapToGrid w:val="0"/>
          <w:color w:val="3366FF"/>
          <w:sz w:val="24"/>
        </w:rPr>
        <w:t xml:space="preserve"> </w:t>
      </w:r>
      <w:r w:rsidRPr="00504935">
        <w:rPr>
          <w:rFonts w:ascii="Times New Roman" w:hAnsi="Times New Roman"/>
          <w:b/>
          <w:snapToGrid w:val="0"/>
          <w:sz w:val="24"/>
        </w:rPr>
        <w:t>k nasazení poplatku všem plátcům v kmeni pro inkasní měsíc</w:t>
      </w:r>
      <w:r w:rsidRPr="00504935">
        <w:rPr>
          <w:rFonts w:ascii="Times New Roman" w:hAnsi="Times New Roman"/>
          <w:snapToGrid w:val="0"/>
          <w:sz w:val="24"/>
        </w:rPr>
        <w:t xml:space="preserve"> s průvodkou 1x měsíčně;</w:t>
      </w:r>
    </w:p>
    <w:p w14:paraId="1EE925F3" w14:textId="6AC8E95A" w:rsidR="00226595" w:rsidRPr="00504935" w:rsidRDefault="00226595" w:rsidP="00504935">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504935">
        <w:rPr>
          <w:rFonts w:ascii="Times New Roman" w:hAnsi="Times New Roman"/>
          <w:snapToGrid w:val="0"/>
          <w:sz w:val="24"/>
        </w:rPr>
        <w:t xml:space="preserve"> požaduje, aby se v případě výskytu chyb ve změnovém souboru </w:t>
      </w:r>
      <w:r w:rsidRPr="00504935">
        <w:rPr>
          <w:rFonts w:ascii="Times New Roman" w:hAnsi="Times New Roman"/>
          <w:b/>
          <w:snapToGrid w:val="0"/>
          <w:sz w:val="24"/>
        </w:rPr>
        <w:t>změnový soubor zpracoval;</w:t>
      </w:r>
    </w:p>
    <w:p w14:paraId="5DE66302" w14:textId="487E2922" w:rsidR="00226595" w:rsidRPr="00504935" w:rsidRDefault="00226595" w:rsidP="00504935">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504935">
        <w:rPr>
          <w:rFonts w:ascii="Times New Roman" w:hAnsi="Times New Roman"/>
          <w:sz w:val="24"/>
        </w:rPr>
        <w:t xml:space="preserve"> </w:t>
      </w:r>
      <w:r w:rsidRPr="00504935">
        <w:rPr>
          <w:rFonts w:ascii="Times New Roman" w:hAnsi="Times New Roman"/>
          <w:sz w:val="24"/>
        </w:rPr>
        <w:t>který bude obsahovat platby za veškeré využívané kódy poplatků za daný inkasní měsíc.</w:t>
      </w:r>
    </w:p>
    <w:p w14:paraId="136DB3FC" w14:textId="442350E2" w:rsidR="00226595" w:rsidRPr="00504935" w:rsidRDefault="00226595" w:rsidP="00504935">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1FF8FE7C" w14:textId="15F13E48" w:rsidR="00226595" w:rsidRPr="00642C9A" w:rsidRDefault="00226595" w:rsidP="00D36760">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38EB7D8D" w14:textId="2847C0A5" w:rsidR="00336984" w:rsidRPr="00147EEC" w:rsidRDefault="00226595" w:rsidP="00147EEC">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147EEC">
        <w:rPr>
          <w:rFonts w:ascii="Times New Roman" w:hAnsi="Times New Roman"/>
          <w:b/>
          <w:snapToGrid w:val="0"/>
          <w:sz w:val="24"/>
        </w:rPr>
        <w:t xml:space="preserve"> k nasazení poplatku všem</w:t>
      </w:r>
      <w:r w:rsidRPr="00147EEC">
        <w:rPr>
          <w:rFonts w:ascii="Times New Roman" w:hAnsi="Times New Roman"/>
          <w:snapToGrid w:val="0"/>
          <w:sz w:val="24"/>
        </w:rPr>
        <w:t xml:space="preserve"> plátcům v kmeni pro inkasní měsíc</w:t>
      </w:r>
      <w:r w:rsidR="005B03FA" w:rsidRPr="00147EEC">
        <w:rPr>
          <w:rFonts w:ascii="Times New Roman" w:hAnsi="Times New Roman"/>
          <w:snapToGrid w:val="0"/>
          <w:sz w:val="24"/>
        </w:rPr>
        <w:t>.</w:t>
      </w:r>
    </w:p>
    <w:p w14:paraId="4AA3610D" w14:textId="5C3BF028" w:rsidR="00226595"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02791B8E" w14:textId="666A5BD0" w:rsidR="00147EEC" w:rsidRDefault="00147EEC" w:rsidP="003247F3">
      <w:pPr>
        <w:pStyle w:val="Codstavec"/>
        <w:spacing w:before="120"/>
        <w:ind w:left="709" w:firstLine="0"/>
        <w:jc w:val="both"/>
        <w:rPr>
          <w:rFonts w:ascii="Times New Roman" w:hAnsi="Times New Roman"/>
          <w:snapToGrid w:val="0"/>
          <w:sz w:val="24"/>
        </w:rPr>
      </w:pPr>
    </w:p>
    <w:p w14:paraId="195128DC" w14:textId="77777777" w:rsidR="00147EEC" w:rsidRPr="003247F3" w:rsidRDefault="00147EEC" w:rsidP="003247F3">
      <w:pPr>
        <w:pStyle w:val="Codstavec"/>
        <w:spacing w:before="120"/>
        <w:ind w:left="709" w:firstLine="0"/>
        <w:jc w:val="both"/>
        <w:rPr>
          <w:rFonts w:ascii="Times New Roman" w:hAnsi="Times New Roman"/>
          <w:snapToGrid w:val="0"/>
          <w:sz w:val="24"/>
        </w:rPr>
      </w:pP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0B427D8" w14:textId="27F04A8D" w:rsidR="00226595" w:rsidRPr="00147EEC" w:rsidRDefault="00226595" w:rsidP="00147EEC">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147EEC">
        <w:rPr>
          <w:rFonts w:ascii="Times New Roman" w:hAnsi="Times New Roman"/>
          <w:snapToGrid w:val="0"/>
          <w:color w:val="3366FF"/>
          <w:sz w:val="24"/>
        </w:rPr>
        <w:t xml:space="preserve"> </w:t>
      </w:r>
      <w:r w:rsidRPr="00147EEC">
        <w:rPr>
          <w:rFonts w:ascii="Times New Roman" w:hAnsi="Times New Roman"/>
          <w:b/>
          <w:snapToGrid w:val="0"/>
          <w:sz w:val="24"/>
        </w:rPr>
        <w:t xml:space="preserve">souhrnným převodem </w:t>
      </w:r>
      <w:r w:rsidRPr="00147EEC">
        <w:rPr>
          <w:rFonts w:ascii="Times New Roman" w:hAnsi="Times New Roman"/>
          <w:snapToGrid w:val="0"/>
          <w:sz w:val="24"/>
        </w:rPr>
        <w:t xml:space="preserve">do 8. dne následujícího měsíce. </w:t>
      </w:r>
    </w:p>
    <w:p w14:paraId="7A697A15" w14:textId="1AE448E6"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proofErr w:type="spellStart"/>
      <w:r w:rsidR="00AC103A">
        <w:rPr>
          <w:rFonts w:ascii="Times New Roman" w:hAnsi="Times New Roman"/>
          <w:snapToGrid w:val="0"/>
          <w:sz w:val="24"/>
        </w:rPr>
        <w:t>xxx</w:t>
      </w:r>
      <w:proofErr w:type="spellEnd"/>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73548BC5"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147EEC">
        <w:rPr>
          <w:rFonts w:ascii="Times New Roman" w:hAnsi="Times New Roman"/>
          <w:snapToGrid w:val="0"/>
          <w:sz w:val="24"/>
        </w:rPr>
        <w:t xml:space="preserve"> </w:t>
      </w:r>
      <w:proofErr w:type="spellStart"/>
      <w:r w:rsidR="00AC103A">
        <w:rPr>
          <w:rFonts w:ascii="Times New Roman" w:hAnsi="Times New Roman"/>
          <w:snapToGrid w:val="0"/>
          <w:sz w:val="24"/>
        </w:rPr>
        <w:t>xxx</w:t>
      </w:r>
      <w:proofErr w:type="spellEnd"/>
    </w:p>
    <w:p w14:paraId="577397D0" w14:textId="38D8E9DF"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11C0E258" w:rsidR="00226595" w:rsidRPr="00147EEC" w:rsidRDefault="00226595" w:rsidP="00147EEC">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147EEC">
        <w:rPr>
          <w:rFonts w:ascii="Times New Roman" w:hAnsi="Times New Roman"/>
          <w:snapToGrid w:val="0"/>
          <w:sz w:val="24"/>
        </w:rPr>
        <w:t>souhrnně za všechny využívané kódy poplatků (pokud úhrnné platby budou</w:t>
      </w:r>
      <w:r w:rsidRPr="00147EEC">
        <w:rPr>
          <w:rFonts w:ascii="Times New Roman" w:hAnsi="Times New Roman"/>
          <w:sz w:val="24"/>
        </w:rPr>
        <w:t xml:space="preserve"> Příkazníkem převáděny v rámci jednoho termínu jedním převodem za všechny využívané kódy poplatků</w:t>
      </w:r>
      <w:r w:rsidRPr="00147EEC">
        <w:rPr>
          <w:rFonts w:ascii="Times New Roman" w:hAnsi="Times New Roman"/>
          <w:snapToGrid w:val="0"/>
          <w:sz w:val="24"/>
        </w:rPr>
        <w:t xml:space="preserve">) </w:t>
      </w:r>
      <w:r w:rsidRPr="00147EEC">
        <w:rPr>
          <w:rFonts w:ascii="Times New Roman" w:hAnsi="Times New Roman"/>
          <w:b/>
          <w:snapToGrid w:val="0"/>
          <w:sz w:val="24"/>
        </w:rPr>
        <w:t xml:space="preserve">na e-mailovou adresu Příkazce uvedenou v Příloze </w:t>
      </w:r>
      <w:proofErr w:type="gramStart"/>
      <w:r w:rsidRPr="00147EEC">
        <w:rPr>
          <w:rFonts w:ascii="Times New Roman" w:hAnsi="Times New Roman"/>
          <w:b/>
          <w:snapToGrid w:val="0"/>
          <w:sz w:val="24"/>
        </w:rPr>
        <w:t>č.1, bod</w:t>
      </w:r>
      <w:proofErr w:type="gramEnd"/>
      <w:r w:rsidRPr="00147EEC">
        <w:rPr>
          <w:rFonts w:ascii="Times New Roman" w:hAnsi="Times New Roman"/>
          <w:b/>
          <w:snapToGrid w:val="0"/>
          <w:sz w:val="24"/>
        </w:rPr>
        <w:t xml:space="preserve">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28C26373"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2A47EC9F" w14:textId="77777777" w:rsidR="00226595" w:rsidRDefault="00226595" w:rsidP="00C34C09">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34C09">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793905D" w14:textId="45D5E199" w:rsidR="009459E6" w:rsidRPr="00147EEC" w:rsidRDefault="00226595" w:rsidP="00147EEC">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Pr>
          <w:rFonts w:ascii="Times New Roman" w:hAnsi="Times New Roman"/>
          <w:snapToGrid w:val="0"/>
          <w:sz w:val="24"/>
        </w:rPr>
        <w:t xml:space="preserve"> </w:t>
      </w:r>
      <w:r w:rsidR="009459E6" w:rsidRPr="00147EEC">
        <w:rPr>
          <w:rFonts w:ascii="Times New Roman" w:hAnsi="Times New Roman"/>
          <w:b/>
          <w:sz w:val="24"/>
        </w:rPr>
        <w:t>na adresu</w:t>
      </w:r>
      <w:r w:rsidR="0062495C" w:rsidRPr="00147EEC">
        <w:rPr>
          <w:rFonts w:ascii="Times New Roman" w:hAnsi="Times New Roman"/>
          <w:b/>
          <w:sz w:val="24"/>
        </w:rPr>
        <w:t xml:space="preserve">: </w:t>
      </w:r>
      <w:r w:rsidR="00147EEC">
        <w:rPr>
          <w:rFonts w:ascii="Times New Roman" w:hAnsi="Times New Roman"/>
          <w:b/>
          <w:sz w:val="24"/>
        </w:rPr>
        <w:t xml:space="preserve">NN Životní pojišťovna </w:t>
      </w:r>
      <w:proofErr w:type="gramStart"/>
      <w:r w:rsidR="00147EEC">
        <w:rPr>
          <w:rFonts w:ascii="Times New Roman" w:hAnsi="Times New Roman"/>
          <w:b/>
          <w:sz w:val="24"/>
        </w:rPr>
        <w:t>N.V. pobočka</w:t>
      </w:r>
      <w:proofErr w:type="gramEnd"/>
      <w:r w:rsidR="00147EEC">
        <w:rPr>
          <w:rFonts w:ascii="Times New Roman" w:hAnsi="Times New Roman"/>
          <w:b/>
          <w:sz w:val="24"/>
        </w:rPr>
        <w:t xml:space="preserve"> pro Českou republiku, finanční odd. IN/OUT PAYMENTS, Nádražní 344/25, 150 00 Praha 5 - Smíchov</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5FEFBE44" w14:textId="59245B11" w:rsidR="00226595" w:rsidRPr="00147EEC" w:rsidRDefault="00226595" w:rsidP="00147EEC">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147EEC">
        <w:rPr>
          <w:rFonts w:ascii="Times New Roman" w:hAnsi="Times New Roman"/>
          <w:snapToGrid w:val="0"/>
          <w:color w:val="3366FF"/>
          <w:sz w:val="24"/>
        </w:rPr>
        <w:t xml:space="preserve"> </w:t>
      </w:r>
      <w:r w:rsidRPr="00147EEC">
        <w:rPr>
          <w:rFonts w:ascii="Times New Roman" w:hAnsi="Times New Roman"/>
          <w:b/>
          <w:snapToGrid w:val="0"/>
          <w:sz w:val="24"/>
        </w:rPr>
        <w:t xml:space="preserve">WINDOWS 1250 </w:t>
      </w:r>
      <w:r w:rsidRPr="00147EEC">
        <w:rPr>
          <w:rFonts w:ascii="Times New Roman" w:hAnsi="Times New Roman"/>
          <w:snapToGrid w:val="0"/>
          <w:sz w:val="24"/>
        </w:rPr>
        <w:t>(kódová stránka 1250).</w:t>
      </w:r>
    </w:p>
    <w:p w14:paraId="78BFBF9D" w14:textId="2C104123" w:rsidR="00FD75E8" w:rsidRPr="00147EEC"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069F9A49" w14:textId="476A31D2" w:rsidR="00147EEC" w:rsidRDefault="00147EEC" w:rsidP="00147EEC">
      <w:pPr>
        <w:pStyle w:val="Codstavec"/>
        <w:tabs>
          <w:tab w:val="left" w:pos="3544"/>
        </w:tabs>
        <w:spacing w:before="120"/>
        <w:ind w:left="709" w:firstLine="0"/>
        <w:jc w:val="both"/>
        <w:rPr>
          <w:rFonts w:ascii="Times New Roman" w:hAnsi="Times New Roman"/>
          <w:kern w:val="28"/>
          <w:sz w:val="24"/>
          <w:szCs w:val="24"/>
        </w:rPr>
      </w:pPr>
    </w:p>
    <w:p w14:paraId="50061C35" w14:textId="77777777" w:rsidR="00147EEC" w:rsidRPr="007E0297" w:rsidRDefault="00147EEC" w:rsidP="00147EEC">
      <w:pPr>
        <w:pStyle w:val="Codstavec"/>
        <w:tabs>
          <w:tab w:val="left" w:pos="3544"/>
        </w:tabs>
        <w:spacing w:before="120"/>
        <w:ind w:left="709" w:firstLine="0"/>
        <w:jc w:val="both"/>
        <w:rPr>
          <w:rFonts w:ascii="Times New Roman" w:hAnsi="Times New Roman"/>
          <w:b/>
          <w:snapToGrid w:val="0"/>
          <w:sz w:val="24"/>
          <w:szCs w:val="24"/>
        </w:rPr>
      </w:pPr>
    </w:p>
    <w:p w14:paraId="2BEFED46" w14:textId="57FFC02E"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lastRenderedPageBreak/>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FDC354C" w14:textId="77777777" w:rsidR="00147EEC"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Pokud to dovolují obecně závazné předpisy, je Příkazník oprávněn pověřit zpracováním dalšího zpracovatele, pouze však jen s předchozím písemným souhlasem Příkazce. </w:t>
      </w:r>
    </w:p>
    <w:p w14:paraId="5561D29D" w14:textId="77777777" w:rsidR="00147EEC" w:rsidRDefault="00147EEC" w:rsidP="00147EEC">
      <w:pPr>
        <w:pStyle w:val="cpodstavecslovan1"/>
        <w:numPr>
          <w:ilvl w:val="0"/>
          <w:numId w:val="0"/>
        </w:numPr>
        <w:spacing w:before="120" w:after="0" w:line="300" w:lineRule="exact"/>
        <w:ind w:left="709"/>
        <w:rPr>
          <w:sz w:val="24"/>
          <w:szCs w:val="24"/>
        </w:rPr>
      </w:pPr>
    </w:p>
    <w:p w14:paraId="0974983D" w14:textId="77777777" w:rsidR="00147EEC" w:rsidRDefault="00147EEC" w:rsidP="00147EEC">
      <w:pPr>
        <w:pStyle w:val="cpodstavecslovan1"/>
        <w:numPr>
          <w:ilvl w:val="0"/>
          <w:numId w:val="0"/>
        </w:numPr>
        <w:spacing w:before="120" w:after="0" w:line="300" w:lineRule="exact"/>
        <w:ind w:left="709"/>
        <w:rPr>
          <w:sz w:val="24"/>
          <w:szCs w:val="24"/>
        </w:rPr>
      </w:pPr>
    </w:p>
    <w:p w14:paraId="63276E01" w14:textId="26A45599" w:rsidR="005B658F" w:rsidRPr="00FA43A7" w:rsidRDefault="005B658F" w:rsidP="00147EEC">
      <w:pPr>
        <w:pStyle w:val="cpodstavecslovan1"/>
        <w:numPr>
          <w:ilvl w:val="0"/>
          <w:numId w:val="0"/>
        </w:numPr>
        <w:spacing w:before="120" w:after="0" w:line="300" w:lineRule="exact"/>
        <w:ind w:left="709"/>
        <w:rPr>
          <w:sz w:val="24"/>
          <w:szCs w:val="24"/>
        </w:rPr>
      </w:pPr>
      <w:r w:rsidRPr="00FA43A7">
        <w:rPr>
          <w:sz w:val="24"/>
          <w:szCs w:val="24"/>
        </w:rPr>
        <w:lastRenderedPageBreak/>
        <w:t xml:space="preserve">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221D88AA" w14:textId="3FBE87FD"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5560653D" w14:textId="77777777" w:rsidR="00147EEC" w:rsidRDefault="00E64543" w:rsidP="00FD7977">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w:t>
      </w:r>
    </w:p>
    <w:p w14:paraId="34590C84" w14:textId="6D00DE63" w:rsidR="005B658F" w:rsidRPr="00FA43A7" w:rsidRDefault="005B658F" w:rsidP="00147EEC">
      <w:pPr>
        <w:pStyle w:val="cpodstavecslovan1"/>
        <w:numPr>
          <w:ilvl w:val="0"/>
          <w:numId w:val="0"/>
        </w:numPr>
        <w:spacing w:before="120" w:after="0" w:line="300" w:lineRule="exact"/>
        <w:ind w:left="709"/>
        <w:rPr>
          <w:sz w:val="24"/>
          <w:szCs w:val="24"/>
        </w:rPr>
      </w:pPr>
      <w:r>
        <w:rPr>
          <w:sz w:val="24"/>
          <w:szCs w:val="24"/>
        </w:rPr>
        <w:lastRenderedPageBreak/>
        <w:t xml:space="preserve">Tímto odstavcem není dotčeno další zpracování osobních údajů plátců na základě </w:t>
      </w:r>
      <w:r w:rsidRPr="00FA43A7">
        <w:rPr>
          <w:sz w:val="24"/>
          <w:szCs w:val="24"/>
        </w:rPr>
        <w:t>s</w:t>
      </w:r>
      <w:r>
        <w:rPr>
          <w:sz w:val="24"/>
          <w:szCs w:val="24"/>
        </w:rPr>
        <w:t>lužby</w:t>
      </w:r>
      <w:r w:rsidRPr="00FA43A7">
        <w:rPr>
          <w:sz w:val="24"/>
          <w:szCs w:val="24"/>
        </w:rPr>
        <w:t xml:space="preserve"> SIPO, podle Obchodních podmínek SIPO pro plátce</w:t>
      </w:r>
      <w:r>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6B6EE93F" w14:textId="77777777" w:rsidR="00151CB3" w:rsidRPr="00081993" w:rsidRDefault="00151CB3" w:rsidP="00151CB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77777777" w:rsidR="00151CB3" w:rsidRPr="00081993" w:rsidRDefault="00151CB3" w:rsidP="00151CB3">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6146AEA4" w14:textId="5A76EE5A" w:rsidR="00C92B34" w:rsidRPr="00147EEC" w:rsidRDefault="00226595" w:rsidP="00A325FF">
      <w:pPr>
        <w:pStyle w:val="cpodstavecslovan1"/>
        <w:numPr>
          <w:ilvl w:val="0"/>
          <w:numId w:val="0"/>
        </w:numPr>
        <w:spacing w:before="120" w:after="0" w:line="300" w:lineRule="exact"/>
        <w:ind w:left="709"/>
        <w:rPr>
          <w:b/>
          <w:snapToGrid w:val="0"/>
          <w:sz w:val="24"/>
          <w:szCs w:val="24"/>
        </w:rPr>
      </w:pPr>
      <w:r w:rsidRPr="00147EEC">
        <w:rPr>
          <w:b/>
          <w:snapToGrid w:val="0"/>
          <w:sz w:val="24"/>
          <w:szCs w:val="24"/>
        </w:rPr>
        <w:t xml:space="preserve">Dnem nabytí účinnosti této Smlouvy se ukončuje účinnost </w:t>
      </w:r>
      <w:r w:rsidR="00260DC9" w:rsidRPr="00147EEC">
        <w:rPr>
          <w:b/>
          <w:snapToGrid w:val="0"/>
          <w:sz w:val="24"/>
          <w:szCs w:val="24"/>
        </w:rPr>
        <w:t>Mandátní</w:t>
      </w:r>
      <w:r w:rsidRPr="00147EEC">
        <w:rPr>
          <w:b/>
          <w:snapToGrid w:val="0"/>
          <w:sz w:val="24"/>
          <w:szCs w:val="24"/>
        </w:rPr>
        <w:t xml:space="preserve"> smlouvy č. </w:t>
      </w:r>
      <w:proofErr w:type="spellStart"/>
      <w:r w:rsidR="00147EEC" w:rsidRPr="00147EEC">
        <w:rPr>
          <w:b/>
          <w:snapToGrid w:val="0"/>
          <w:sz w:val="24"/>
          <w:szCs w:val="24"/>
        </w:rPr>
        <w:t>n</w:t>
      </w:r>
      <w:r w:rsidRPr="00147EEC">
        <w:rPr>
          <w:b/>
          <w:snapToGrid w:val="0"/>
          <w:sz w:val="24"/>
          <w:szCs w:val="24"/>
        </w:rPr>
        <w:t>SIPO</w:t>
      </w:r>
      <w:proofErr w:type="spellEnd"/>
      <w:r w:rsidR="00147EEC" w:rsidRPr="00147EEC">
        <w:rPr>
          <w:b/>
          <w:snapToGrid w:val="0"/>
          <w:sz w:val="24"/>
          <w:szCs w:val="24"/>
        </w:rPr>
        <w:t xml:space="preserve"> 09 – 14/2013</w:t>
      </w:r>
      <w:r w:rsidRPr="00147EEC">
        <w:rPr>
          <w:b/>
          <w:snapToGrid w:val="0"/>
          <w:sz w:val="24"/>
          <w:szCs w:val="24"/>
        </w:rPr>
        <w:t xml:space="preserve"> ze dne</w:t>
      </w:r>
      <w:r w:rsidR="00147EEC" w:rsidRPr="00147EEC">
        <w:rPr>
          <w:b/>
          <w:snapToGrid w:val="0"/>
          <w:sz w:val="24"/>
          <w:szCs w:val="24"/>
        </w:rPr>
        <w:t xml:space="preserve"> </w:t>
      </w:r>
      <w:proofErr w:type="gramStart"/>
      <w:r w:rsidR="00147EEC" w:rsidRPr="00147EEC">
        <w:rPr>
          <w:b/>
          <w:snapToGrid w:val="0"/>
          <w:sz w:val="24"/>
          <w:szCs w:val="24"/>
        </w:rPr>
        <w:t>26.5.2014</w:t>
      </w:r>
      <w:proofErr w:type="gramEnd"/>
      <w:r w:rsidR="0091125D" w:rsidRPr="00147EEC">
        <w:rPr>
          <w:b/>
          <w:snapToGrid w:val="0"/>
          <w:sz w:val="24"/>
          <w:szCs w:val="24"/>
        </w:rPr>
        <w:t xml:space="preserve"> včetně všech jejich dodatků</w:t>
      </w:r>
      <w:r w:rsidR="00C92B34" w:rsidRPr="00147EEC">
        <w:rPr>
          <w:snapToGrid w:val="0"/>
          <w:sz w:val="24"/>
        </w:rPr>
        <w:t xml:space="preserve"> (dále jen „Původní smlouva “), v jejímž plnění již </w:t>
      </w:r>
      <w:r w:rsidR="00752D1D" w:rsidRPr="00147EEC">
        <w:rPr>
          <w:snapToGrid w:val="0"/>
          <w:sz w:val="24"/>
        </w:rPr>
        <w:t>S</w:t>
      </w:r>
      <w:r w:rsidR="00C92B34" w:rsidRPr="00147EEC">
        <w:rPr>
          <w:snapToGrid w:val="0"/>
          <w:sz w:val="24"/>
        </w:rPr>
        <w:t xml:space="preserve">mluvní strany nechtějí pokračovat. Smluvní strany touto Smlouvou v plném rozsahu nahrazují Původní smlouvu. </w:t>
      </w:r>
    </w:p>
    <w:p w14:paraId="78DBF155" w14:textId="5FB0BEA7" w:rsidR="00226595" w:rsidRPr="00BD4755" w:rsidRDefault="00226595" w:rsidP="005D653A">
      <w:pPr>
        <w:pStyle w:val="P-NORM-BULL-I"/>
      </w:pPr>
      <w:r>
        <w:lastRenderedPageBreak/>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778C3F5" w14:textId="0B96ED77" w:rsidR="00226595" w:rsidRPr="00BD4755"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7AA8F2CE"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193A07F2" w14:textId="24DAF82B" w:rsidR="00226595" w:rsidRDefault="00226595" w:rsidP="005D653A">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7F6F4D0E" w14:textId="74DC2F78" w:rsidR="00147EEC" w:rsidRDefault="00147EEC" w:rsidP="005D653A">
      <w:pPr>
        <w:pStyle w:val="P-NORM-BULL-I"/>
      </w:pPr>
    </w:p>
    <w:p w14:paraId="3E160D86" w14:textId="77777777" w:rsidR="00147EEC" w:rsidRPr="00BD4755" w:rsidRDefault="00147EEC" w:rsidP="005D653A">
      <w:pPr>
        <w:pStyle w:val="P-NORM-BULL-I"/>
      </w:pP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1C8868FC"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147EEC">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884BDA5" w14:textId="31085DA8"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proofErr w:type="spellStart"/>
      <w:r w:rsidR="00147EEC">
        <w:rPr>
          <w:rFonts w:ascii="Times New Roman" w:hAnsi="Times New Roman"/>
          <w:snapToGrid w:val="0"/>
          <w:sz w:val="24"/>
        </w:rPr>
        <w:t>Maurick</w:t>
      </w:r>
      <w:proofErr w:type="spellEnd"/>
      <w:r w:rsidR="00147EEC">
        <w:rPr>
          <w:rFonts w:ascii="Times New Roman" w:hAnsi="Times New Roman"/>
          <w:snapToGrid w:val="0"/>
          <w:sz w:val="24"/>
        </w:rPr>
        <w:t xml:space="preserve"> </w:t>
      </w:r>
      <w:proofErr w:type="spellStart"/>
      <w:r w:rsidR="00147EEC">
        <w:rPr>
          <w:rFonts w:ascii="Times New Roman" w:hAnsi="Times New Roman"/>
          <w:snapToGrid w:val="0"/>
          <w:sz w:val="24"/>
        </w:rPr>
        <w:t>Willem</w:t>
      </w:r>
      <w:proofErr w:type="spellEnd"/>
      <w:r w:rsidR="00147EEC">
        <w:rPr>
          <w:rFonts w:ascii="Times New Roman" w:hAnsi="Times New Roman"/>
          <w:snapToGrid w:val="0"/>
          <w:sz w:val="24"/>
        </w:rPr>
        <w:t xml:space="preserve"> </w:t>
      </w:r>
      <w:proofErr w:type="spellStart"/>
      <w:r w:rsidR="00147EEC">
        <w:rPr>
          <w:rFonts w:ascii="Times New Roman" w:hAnsi="Times New Roman"/>
          <w:snapToGrid w:val="0"/>
          <w:sz w:val="24"/>
        </w:rPr>
        <w:t>Schellekens</w:t>
      </w:r>
      <w:proofErr w:type="spellEnd"/>
    </w:p>
    <w:p w14:paraId="276C3570" w14:textId="1C2D26C2"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147EEC">
        <w:rPr>
          <w:rFonts w:ascii="Times New Roman" w:hAnsi="Times New Roman"/>
          <w:snapToGrid w:val="0"/>
          <w:sz w:val="24"/>
        </w:rPr>
        <w:tab/>
        <w:t>vedoucí odštěpného závodu</w:t>
      </w:r>
    </w:p>
    <w:p w14:paraId="7D4AE300" w14:textId="77777777" w:rsidR="00226595" w:rsidRDefault="00226595" w:rsidP="00842456">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centrálních úloh</w:t>
      </w:r>
    </w:p>
    <w:p w14:paraId="3CF3649F" w14:textId="568369D2" w:rsidR="0022659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0A7F72B6" w14:textId="71AF4102" w:rsidR="00AC103A" w:rsidRDefault="00AC103A" w:rsidP="00842456">
      <w:pPr>
        <w:pStyle w:val="Codstavec"/>
        <w:tabs>
          <w:tab w:val="left" w:pos="1418"/>
          <w:tab w:val="left" w:pos="5387"/>
        </w:tabs>
        <w:ind w:firstLine="0"/>
        <w:jc w:val="both"/>
        <w:rPr>
          <w:rFonts w:ascii="Times New Roman" w:hAnsi="Times New Roman"/>
          <w:b/>
          <w:snapToGrid w:val="0"/>
          <w:sz w:val="24"/>
        </w:rPr>
      </w:pPr>
    </w:p>
    <w:p w14:paraId="6B5DE608" w14:textId="64A931A5" w:rsidR="00AC103A" w:rsidRDefault="00AC103A" w:rsidP="00842456">
      <w:pPr>
        <w:pStyle w:val="Codstavec"/>
        <w:tabs>
          <w:tab w:val="left" w:pos="1418"/>
          <w:tab w:val="left" w:pos="5387"/>
        </w:tabs>
        <w:ind w:firstLine="0"/>
        <w:jc w:val="both"/>
        <w:rPr>
          <w:rFonts w:ascii="Times New Roman" w:hAnsi="Times New Roman"/>
          <w:b/>
          <w:snapToGrid w:val="0"/>
          <w:sz w:val="24"/>
        </w:rPr>
      </w:pPr>
    </w:p>
    <w:p w14:paraId="49E27F80" w14:textId="02CD3F37" w:rsidR="00AC103A" w:rsidRPr="008C2A45" w:rsidRDefault="00AC103A"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t>xxx</w:t>
      </w:r>
      <w:bookmarkStart w:id="0" w:name="_GoBack"/>
      <w:bookmarkEnd w:id="0"/>
    </w:p>
    <w:sectPr w:rsidR="00AC103A" w:rsidRPr="008C2A45"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445F6843"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504935">
      <w:rPr>
        <w:sz w:val="16"/>
      </w:rPr>
      <w:t>09 – 1/2019</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AC103A">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7C4C"/>
    <w:rsid w:val="0002076E"/>
    <w:rsid w:val="00027D3A"/>
    <w:rsid w:val="00033172"/>
    <w:rsid w:val="000338D8"/>
    <w:rsid w:val="0004210E"/>
    <w:rsid w:val="00045208"/>
    <w:rsid w:val="000473BB"/>
    <w:rsid w:val="00047E30"/>
    <w:rsid w:val="000500B3"/>
    <w:rsid w:val="00051D76"/>
    <w:rsid w:val="00054B74"/>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47EEC"/>
    <w:rsid w:val="00151CB3"/>
    <w:rsid w:val="00153FCC"/>
    <w:rsid w:val="00156C19"/>
    <w:rsid w:val="001637A9"/>
    <w:rsid w:val="0016409C"/>
    <w:rsid w:val="00171330"/>
    <w:rsid w:val="00171F4D"/>
    <w:rsid w:val="00177C42"/>
    <w:rsid w:val="00180C68"/>
    <w:rsid w:val="001833D0"/>
    <w:rsid w:val="00187019"/>
    <w:rsid w:val="001874EC"/>
    <w:rsid w:val="001A460F"/>
    <w:rsid w:val="001A6D65"/>
    <w:rsid w:val="001A7C7C"/>
    <w:rsid w:val="001B1FFB"/>
    <w:rsid w:val="001B2211"/>
    <w:rsid w:val="001B69C8"/>
    <w:rsid w:val="001B7060"/>
    <w:rsid w:val="001C3DFE"/>
    <w:rsid w:val="001C3F15"/>
    <w:rsid w:val="001E00F5"/>
    <w:rsid w:val="001E30FC"/>
    <w:rsid w:val="001E3C2A"/>
    <w:rsid w:val="001E6614"/>
    <w:rsid w:val="001F1F02"/>
    <w:rsid w:val="00201F23"/>
    <w:rsid w:val="00206D3F"/>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966BD"/>
    <w:rsid w:val="002A6C60"/>
    <w:rsid w:val="002B798B"/>
    <w:rsid w:val="002C3656"/>
    <w:rsid w:val="002C454B"/>
    <w:rsid w:val="002C6259"/>
    <w:rsid w:val="002D4071"/>
    <w:rsid w:val="002E6B37"/>
    <w:rsid w:val="002E7B11"/>
    <w:rsid w:val="002F0BAF"/>
    <w:rsid w:val="002F7A34"/>
    <w:rsid w:val="00301E34"/>
    <w:rsid w:val="0030522A"/>
    <w:rsid w:val="00305481"/>
    <w:rsid w:val="00305CEB"/>
    <w:rsid w:val="003120F9"/>
    <w:rsid w:val="003139C6"/>
    <w:rsid w:val="0031724A"/>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1A9C"/>
    <w:rsid w:val="003A383F"/>
    <w:rsid w:val="003A39AC"/>
    <w:rsid w:val="003B019A"/>
    <w:rsid w:val="003B2886"/>
    <w:rsid w:val="003B424F"/>
    <w:rsid w:val="003C12A9"/>
    <w:rsid w:val="003C2D9F"/>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23BC7"/>
    <w:rsid w:val="004262DD"/>
    <w:rsid w:val="00431F2E"/>
    <w:rsid w:val="00443544"/>
    <w:rsid w:val="004551F8"/>
    <w:rsid w:val="00462FD2"/>
    <w:rsid w:val="0046433A"/>
    <w:rsid w:val="00465CAC"/>
    <w:rsid w:val="00474BE7"/>
    <w:rsid w:val="004873E6"/>
    <w:rsid w:val="004873EB"/>
    <w:rsid w:val="00492AB1"/>
    <w:rsid w:val="004A0405"/>
    <w:rsid w:val="004A0BEE"/>
    <w:rsid w:val="004A3F68"/>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4935"/>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D653A"/>
    <w:rsid w:val="005D7A58"/>
    <w:rsid w:val="005E35EF"/>
    <w:rsid w:val="005E6CD6"/>
    <w:rsid w:val="005F1AF4"/>
    <w:rsid w:val="005F22DE"/>
    <w:rsid w:val="005F28CD"/>
    <w:rsid w:val="0060110D"/>
    <w:rsid w:val="00601446"/>
    <w:rsid w:val="00601FF5"/>
    <w:rsid w:val="0060314F"/>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931EB"/>
    <w:rsid w:val="00693235"/>
    <w:rsid w:val="0069424D"/>
    <w:rsid w:val="006A1271"/>
    <w:rsid w:val="006A2917"/>
    <w:rsid w:val="006A557D"/>
    <w:rsid w:val="006A72A5"/>
    <w:rsid w:val="006B5B0C"/>
    <w:rsid w:val="006C60E8"/>
    <w:rsid w:val="006D153B"/>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52190"/>
    <w:rsid w:val="00752D1D"/>
    <w:rsid w:val="00762379"/>
    <w:rsid w:val="00762F4B"/>
    <w:rsid w:val="00763508"/>
    <w:rsid w:val="00764A27"/>
    <w:rsid w:val="00770C55"/>
    <w:rsid w:val="00773D0A"/>
    <w:rsid w:val="00774E41"/>
    <w:rsid w:val="007767EF"/>
    <w:rsid w:val="0077729A"/>
    <w:rsid w:val="00777B0D"/>
    <w:rsid w:val="00785558"/>
    <w:rsid w:val="00787AD1"/>
    <w:rsid w:val="0079243A"/>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405CD"/>
    <w:rsid w:val="00841733"/>
    <w:rsid w:val="00842269"/>
    <w:rsid w:val="00842456"/>
    <w:rsid w:val="008440D0"/>
    <w:rsid w:val="00844177"/>
    <w:rsid w:val="008458BF"/>
    <w:rsid w:val="00851D56"/>
    <w:rsid w:val="0085752E"/>
    <w:rsid w:val="008633F7"/>
    <w:rsid w:val="00866B3A"/>
    <w:rsid w:val="00873A50"/>
    <w:rsid w:val="00874FFA"/>
    <w:rsid w:val="008827E9"/>
    <w:rsid w:val="0089134D"/>
    <w:rsid w:val="00892520"/>
    <w:rsid w:val="008A42B1"/>
    <w:rsid w:val="008A5236"/>
    <w:rsid w:val="008B0A56"/>
    <w:rsid w:val="008B4B03"/>
    <w:rsid w:val="008B5E9B"/>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05D5C"/>
    <w:rsid w:val="0091125D"/>
    <w:rsid w:val="00917BDF"/>
    <w:rsid w:val="00937E6A"/>
    <w:rsid w:val="0094176B"/>
    <w:rsid w:val="009459E6"/>
    <w:rsid w:val="0095046D"/>
    <w:rsid w:val="00953FAA"/>
    <w:rsid w:val="00955DC9"/>
    <w:rsid w:val="0098044D"/>
    <w:rsid w:val="009854EA"/>
    <w:rsid w:val="009857A8"/>
    <w:rsid w:val="0098633F"/>
    <w:rsid w:val="009A1795"/>
    <w:rsid w:val="009A25BF"/>
    <w:rsid w:val="009B2029"/>
    <w:rsid w:val="009B3C6A"/>
    <w:rsid w:val="009C0E46"/>
    <w:rsid w:val="009C3C18"/>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281A"/>
    <w:rsid w:val="00A50F5E"/>
    <w:rsid w:val="00A527ED"/>
    <w:rsid w:val="00A60E13"/>
    <w:rsid w:val="00A6390D"/>
    <w:rsid w:val="00A64DEC"/>
    <w:rsid w:val="00A65AAA"/>
    <w:rsid w:val="00A6687A"/>
    <w:rsid w:val="00A746EE"/>
    <w:rsid w:val="00A80C2E"/>
    <w:rsid w:val="00A83483"/>
    <w:rsid w:val="00A84104"/>
    <w:rsid w:val="00A9328E"/>
    <w:rsid w:val="00A93CFE"/>
    <w:rsid w:val="00AA1A7F"/>
    <w:rsid w:val="00AA3216"/>
    <w:rsid w:val="00AB50AD"/>
    <w:rsid w:val="00AB72BC"/>
    <w:rsid w:val="00AB7536"/>
    <w:rsid w:val="00AC099A"/>
    <w:rsid w:val="00AC103A"/>
    <w:rsid w:val="00AC2E25"/>
    <w:rsid w:val="00AC539D"/>
    <w:rsid w:val="00AD1280"/>
    <w:rsid w:val="00AD30C9"/>
    <w:rsid w:val="00AD3F6A"/>
    <w:rsid w:val="00AD6FDA"/>
    <w:rsid w:val="00AE3610"/>
    <w:rsid w:val="00AE45FF"/>
    <w:rsid w:val="00AE7C39"/>
    <w:rsid w:val="00AF36C6"/>
    <w:rsid w:val="00AF4F8D"/>
    <w:rsid w:val="00AF60F8"/>
    <w:rsid w:val="00B01D01"/>
    <w:rsid w:val="00B151B5"/>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C4D"/>
    <w:rsid w:val="00BA0F9D"/>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1020F"/>
    <w:rsid w:val="00C10542"/>
    <w:rsid w:val="00C13B9B"/>
    <w:rsid w:val="00C22461"/>
    <w:rsid w:val="00C30875"/>
    <w:rsid w:val="00C318C4"/>
    <w:rsid w:val="00C34C09"/>
    <w:rsid w:val="00C35435"/>
    <w:rsid w:val="00C42A0B"/>
    <w:rsid w:val="00C55720"/>
    <w:rsid w:val="00C62FB9"/>
    <w:rsid w:val="00C64651"/>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31D7"/>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E17340"/>
    <w:rsid w:val="00E372E0"/>
    <w:rsid w:val="00E37970"/>
    <w:rsid w:val="00E4159E"/>
    <w:rsid w:val="00E43756"/>
    <w:rsid w:val="00E4379A"/>
    <w:rsid w:val="00E46CAE"/>
    <w:rsid w:val="00E603A2"/>
    <w:rsid w:val="00E63205"/>
    <w:rsid w:val="00E64543"/>
    <w:rsid w:val="00E65E9C"/>
    <w:rsid w:val="00E70CC8"/>
    <w:rsid w:val="00E71010"/>
    <w:rsid w:val="00E72114"/>
    <w:rsid w:val="00E739B6"/>
    <w:rsid w:val="00E74B5C"/>
    <w:rsid w:val="00E81447"/>
    <w:rsid w:val="00E814BE"/>
    <w:rsid w:val="00E92115"/>
    <w:rsid w:val="00E92AB8"/>
    <w:rsid w:val="00E9333E"/>
    <w:rsid w:val="00E94E9A"/>
    <w:rsid w:val="00EA619B"/>
    <w:rsid w:val="00EB25E9"/>
    <w:rsid w:val="00EB72B0"/>
    <w:rsid w:val="00EC228B"/>
    <w:rsid w:val="00EC3EB7"/>
    <w:rsid w:val="00ED1928"/>
    <w:rsid w:val="00ED5BD3"/>
    <w:rsid w:val="00EE36A5"/>
    <w:rsid w:val="00EE5F1B"/>
    <w:rsid w:val="00EF24F1"/>
    <w:rsid w:val="00EF5758"/>
    <w:rsid w:val="00EF5ECF"/>
    <w:rsid w:val="00F02067"/>
    <w:rsid w:val="00F07D15"/>
    <w:rsid w:val="00F21FC2"/>
    <w:rsid w:val="00F22453"/>
    <w:rsid w:val="00F240AC"/>
    <w:rsid w:val="00F2467C"/>
    <w:rsid w:val="00F24CBD"/>
    <w:rsid w:val="00F27312"/>
    <w:rsid w:val="00F32633"/>
    <w:rsid w:val="00F35793"/>
    <w:rsid w:val="00F43248"/>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97C831F-C0EA-4505-8581-5620E0FF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EFC1E-B3BA-4459-BFC0-D1678E4A8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3103</Words>
  <Characters>18182</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2019-02-14T13:15:00Z</cp:lastPrinted>
  <dcterms:created xsi:type="dcterms:W3CDTF">2019-04-25T12:11:00Z</dcterms:created>
  <dcterms:modified xsi:type="dcterms:W3CDTF">2019-04-25T12:13:00Z</dcterms:modified>
</cp:coreProperties>
</file>