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2BC09333" w:rsidR="00923483" w:rsidRDefault="00D37D5F"/>
    <w:p w14:paraId="166B1127" w14:textId="490B04EA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4C6F4B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  <w:r w:rsidR="004C6F4B">
        <w:rPr>
          <w:b/>
          <w:sz w:val="40"/>
          <w:szCs w:val="40"/>
        </w:rPr>
        <w:t xml:space="preserve"> </w:t>
      </w:r>
      <w:r w:rsidR="001A2FBE">
        <w:rPr>
          <w:b/>
          <w:sz w:val="40"/>
          <w:szCs w:val="40"/>
        </w:rPr>
        <w:t xml:space="preserve"> (</w:t>
      </w:r>
      <w:r w:rsidR="004C6F4B">
        <w:rPr>
          <w:b/>
          <w:sz w:val="40"/>
          <w:szCs w:val="40"/>
        </w:rPr>
        <w:t>S M L O U V</w:t>
      </w:r>
      <w:r w:rsidR="001A2FBE">
        <w:rPr>
          <w:b/>
          <w:sz w:val="40"/>
          <w:szCs w:val="40"/>
        </w:rPr>
        <w:t> </w:t>
      </w:r>
      <w:r w:rsidR="004C6F4B">
        <w:rPr>
          <w:b/>
          <w:sz w:val="40"/>
          <w:szCs w:val="40"/>
        </w:rPr>
        <w:t>A</w:t>
      </w:r>
      <w:r w:rsidR="001A2FBE">
        <w:rPr>
          <w:b/>
          <w:sz w:val="40"/>
          <w:szCs w:val="40"/>
        </w:rPr>
        <w:t>)</w:t>
      </w:r>
    </w:p>
    <w:p w14:paraId="4F6DC967" w14:textId="4838F324" w:rsidR="00EF028F" w:rsidRPr="00EB5A69" w:rsidRDefault="00A75721" w:rsidP="00CB3AB0">
      <w:pPr>
        <w:tabs>
          <w:tab w:val="left" w:pos="2268"/>
        </w:tabs>
        <w:spacing w:after="0"/>
        <w:jc w:val="center"/>
        <w:rPr>
          <w:bCs/>
          <w:sz w:val="20"/>
          <w:szCs w:val="20"/>
        </w:rPr>
      </w:pPr>
      <w:r w:rsidRPr="00200665">
        <w:rPr>
          <w:sz w:val="24"/>
          <w:szCs w:val="24"/>
        </w:rPr>
        <w:t xml:space="preserve">Číslo </w:t>
      </w:r>
      <w:r w:rsidR="004C6F4B">
        <w:rPr>
          <w:sz w:val="24"/>
          <w:szCs w:val="24"/>
        </w:rPr>
        <w:t>objednatele:</w:t>
      </w:r>
      <w:r w:rsidR="00CB0E4D">
        <w:rPr>
          <w:sz w:val="24"/>
          <w:szCs w:val="24"/>
        </w:rPr>
        <w:t xml:space="preserve"> </w:t>
      </w:r>
      <w:r w:rsidR="00650E0B" w:rsidRPr="00650E0B">
        <w:rPr>
          <w:b/>
          <w:sz w:val="24"/>
          <w:szCs w:val="24"/>
        </w:rPr>
        <w:t>06EU-004243</w:t>
      </w:r>
      <w:r w:rsidR="00524F18">
        <w:rPr>
          <w:b/>
          <w:sz w:val="24"/>
          <w:szCs w:val="24"/>
        </w:rPr>
        <w:t xml:space="preserve"> </w:t>
      </w:r>
      <w:r w:rsidR="00EB5A69" w:rsidRPr="00EB5A69">
        <w:rPr>
          <w:sz w:val="20"/>
          <w:szCs w:val="20"/>
        </w:rPr>
        <w:t>(uvádějte při fakturaci)</w:t>
      </w:r>
    </w:p>
    <w:p w14:paraId="64D4853D" w14:textId="4CF8AD15" w:rsidR="004C6F4B" w:rsidRDefault="004C6F4B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1F6034">
        <w:rPr>
          <w:bCs/>
          <w:sz w:val="24"/>
          <w:szCs w:val="24"/>
        </w:rPr>
        <w:t xml:space="preserve">Číslo </w:t>
      </w:r>
      <w:r w:rsidR="00B075D5" w:rsidRPr="001F6034">
        <w:rPr>
          <w:bCs/>
          <w:sz w:val="24"/>
          <w:szCs w:val="24"/>
        </w:rPr>
        <w:t>dodavatele</w:t>
      </w:r>
      <w:r w:rsidRPr="001F603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23A07B0C" w14:textId="58583B53" w:rsidR="00171F33" w:rsidRPr="00EB5A69" w:rsidRDefault="00F80779" w:rsidP="00171F33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171F33" w:rsidRPr="00EB5A69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  <w:sz w:val="24"/>
          <w:szCs w:val="24"/>
        </w:rPr>
        <w:t>ISPROFOND</w:t>
      </w:r>
      <w:r w:rsidRPr="00524F18">
        <w:rPr>
          <w:bCs/>
          <w:sz w:val="24"/>
          <w:szCs w:val="24"/>
        </w:rPr>
        <w:t xml:space="preserve">: </w:t>
      </w:r>
      <w:r w:rsidR="00650E0B" w:rsidRPr="00A10A7E">
        <w:rPr>
          <w:sz w:val="24"/>
          <w:szCs w:val="24"/>
          <w:highlight w:val="black"/>
        </w:rPr>
        <w:t>5001110007.31970</w:t>
      </w:r>
      <w:r w:rsidR="00650E0B" w:rsidRPr="00650E0B">
        <w:rPr>
          <w:sz w:val="24"/>
          <w:szCs w:val="24"/>
        </w:rPr>
        <w:t xml:space="preserve"> </w:t>
      </w:r>
      <w:r w:rsidR="00EB5A69" w:rsidRPr="00EB5A69">
        <w:rPr>
          <w:sz w:val="20"/>
          <w:szCs w:val="20"/>
        </w:rPr>
        <w:t>(uvádějte při fakturaci)</w:t>
      </w:r>
    </w:p>
    <w:p w14:paraId="046B9896" w14:textId="24EE8C20" w:rsidR="008C4A45" w:rsidRDefault="008C4A45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</w:p>
    <w:p w14:paraId="06040776" w14:textId="77777777" w:rsidR="00650E0B" w:rsidRPr="002D270A" w:rsidRDefault="00650E0B" w:rsidP="00650E0B">
      <w:pPr>
        <w:pStyle w:val="Nadpis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70A">
        <w:rPr>
          <w:rFonts w:ascii="Times New Roman" w:hAnsi="Times New Roman" w:cs="Times New Roman"/>
          <w:sz w:val="28"/>
          <w:szCs w:val="28"/>
        </w:rPr>
        <w:t>„</w:t>
      </w:r>
      <w:r w:rsidRPr="002D270A">
        <w:rPr>
          <w:rFonts w:ascii="Times New Roman" w:hAnsi="Times New Roman" w:cs="Times New Roman"/>
          <w:sz w:val="28"/>
          <w:szCs w:val="28"/>
          <w:u w:val="single"/>
        </w:rPr>
        <w:t>I/22 Horažďovice – připojení prodejny stavebnin PRO DOMA - TDS“</w:t>
      </w:r>
    </w:p>
    <w:p w14:paraId="22432C37" w14:textId="77777777" w:rsidR="00650E0B" w:rsidRDefault="00650E0B" w:rsidP="00650E0B">
      <w:pPr>
        <w:tabs>
          <w:tab w:val="left" w:pos="2268"/>
        </w:tabs>
        <w:spacing w:after="0"/>
        <w:jc w:val="center"/>
        <w:rPr>
          <w:b/>
        </w:rPr>
      </w:pP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21FBD" w14:textId="0EA2E630" w:rsidR="008C4A45" w:rsidRPr="008C4A45" w:rsidRDefault="008C4A45" w:rsidP="008C4A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</w:p>
    <w:p w14:paraId="2D91457E" w14:textId="77777777" w:rsidR="00604890" w:rsidRPr="00200665" w:rsidRDefault="00604890" w:rsidP="008C4A45">
      <w:pPr>
        <w:spacing w:after="0" w:line="240" w:lineRule="auto"/>
        <w:rPr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</w:p>
    <w:p w14:paraId="3923C51F" w14:textId="2D1063B3" w:rsidR="002B7ABB" w:rsidRPr="00200665" w:rsidRDefault="00B075D5" w:rsidP="00153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>
        <w:rPr>
          <w:sz w:val="24"/>
          <w:szCs w:val="24"/>
        </w:rPr>
        <w:t>Plzeň</w:t>
      </w:r>
    </w:p>
    <w:p w14:paraId="2C4E01A4" w14:textId="77777777" w:rsidR="00604890" w:rsidRPr="00524F18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Bankovní spojení: </w:t>
      </w:r>
      <w:r w:rsidRPr="00D37D5F">
        <w:rPr>
          <w:sz w:val="24"/>
          <w:szCs w:val="24"/>
          <w:highlight w:val="black"/>
        </w:rPr>
        <w:t>ČNB</w:t>
      </w:r>
    </w:p>
    <w:p w14:paraId="47A1C01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524F18">
        <w:rPr>
          <w:sz w:val="24"/>
          <w:szCs w:val="24"/>
        </w:rPr>
        <w:t xml:space="preserve">Číslo účtu: </w:t>
      </w:r>
      <w:r w:rsidRPr="00D37D5F">
        <w:rPr>
          <w:sz w:val="24"/>
          <w:szCs w:val="24"/>
          <w:highlight w:val="black"/>
        </w:rPr>
        <w:t>20001-15937031/0710</w:t>
      </w:r>
      <w:bookmarkStart w:id="0" w:name="_GoBack"/>
      <w:bookmarkEnd w:id="0"/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764DCFA" w14:textId="41C7F61A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ab/>
      </w:r>
    </w:p>
    <w:p w14:paraId="4634236F" w14:textId="77777777" w:rsidR="008C4A45" w:rsidRDefault="008C4A45" w:rsidP="008C4A45">
      <w:pPr>
        <w:tabs>
          <w:tab w:val="left" w:pos="2268"/>
        </w:tabs>
        <w:spacing w:after="0"/>
        <w:rPr>
          <w:sz w:val="24"/>
          <w:szCs w:val="24"/>
        </w:rPr>
      </w:pPr>
    </w:p>
    <w:p w14:paraId="5940418C" w14:textId="77777777" w:rsidR="008C4A45" w:rsidRPr="008C4A45" w:rsidRDefault="008C4A45" w:rsidP="008C4A45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792F8EC6" w14:textId="254ACBFB" w:rsidR="008C4A45" w:rsidRDefault="008C4A45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19D768F9" w14:textId="549F0B82" w:rsidR="00171F33" w:rsidRDefault="00171F33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14:paraId="77E2D8AB" w14:textId="66461C32" w:rsidR="00171F33" w:rsidRPr="001F6034" w:rsidRDefault="00171F33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71F33">
        <w:rPr>
          <w:sz w:val="24"/>
          <w:szCs w:val="24"/>
        </w:rPr>
        <w:t>Obchodní jméno:</w:t>
      </w:r>
      <w:r>
        <w:rPr>
          <w:sz w:val="24"/>
          <w:szCs w:val="24"/>
        </w:rPr>
        <w:t xml:space="preserve"> </w:t>
      </w:r>
      <w:r w:rsidR="00A10A7E">
        <w:rPr>
          <w:sz w:val="24"/>
          <w:szCs w:val="24"/>
        </w:rPr>
        <w:t>IBR Consulting, s.r.o.</w:t>
      </w:r>
    </w:p>
    <w:p w14:paraId="5FDD2F41" w14:textId="5DA363E5" w:rsidR="001F6034" w:rsidRDefault="00A75721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F6034">
        <w:rPr>
          <w:sz w:val="24"/>
          <w:szCs w:val="24"/>
        </w:rPr>
        <w:t>Adresa:</w:t>
      </w:r>
      <w:r w:rsidR="00453955" w:rsidRPr="001F6034">
        <w:rPr>
          <w:sz w:val="24"/>
          <w:szCs w:val="24"/>
        </w:rPr>
        <w:t xml:space="preserve"> </w:t>
      </w:r>
    </w:p>
    <w:p w14:paraId="603C42FF" w14:textId="058B27D5" w:rsidR="00A10A7E" w:rsidRPr="00524F18" w:rsidRDefault="00A10A7E" w:rsidP="008C4A45">
      <w:pPr>
        <w:tabs>
          <w:tab w:val="left" w:pos="2268"/>
        </w:tabs>
        <w:spacing w:after="0"/>
        <w:contextualSpacing/>
        <w:rPr>
          <w:sz w:val="24"/>
          <w:szCs w:val="24"/>
          <w:highlight w:val="cyan"/>
        </w:rPr>
      </w:pPr>
      <w:r>
        <w:rPr>
          <w:sz w:val="24"/>
          <w:szCs w:val="24"/>
        </w:rPr>
        <w:t>Sokolovská 352/215, 190 00  Praha 9</w:t>
      </w:r>
    </w:p>
    <w:p w14:paraId="4F4445D0" w14:textId="1F4F92BD" w:rsidR="008647CD" w:rsidRPr="00524F18" w:rsidRDefault="008C4A45" w:rsidP="001F6034">
      <w:pPr>
        <w:tabs>
          <w:tab w:val="left" w:pos="2268"/>
        </w:tabs>
        <w:spacing w:after="0"/>
        <w:ind w:right="-213"/>
        <w:rPr>
          <w:sz w:val="24"/>
          <w:szCs w:val="24"/>
          <w:highlight w:val="cyan"/>
        </w:rPr>
      </w:pPr>
      <w:r w:rsidRPr="001F6034">
        <w:rPr>
          <w:sz w:val="24"/>
          <w:szCs w:val="24"/>
        </w:rPr>
        <w:t>Bankovní spojení:</w:t>
      </w:r>
      <w:r w:rsidR="00B96155" w:rsidRPr="001F6034">
        <w:rPr>
          <w:sz w:val="24"/>
          <w:szCs w:val="24"/>
        </w:rPr>
        <w:t xml:space="preserve"> </w:t>
      </w:r>
      <w:proofErr w:type="spellStart"/>
      <w:r w:rsidR="00A10A7E" w:rsidRPr="00A10A7E">
        <w:rPr>
          <w:sz w:val="24"/>
          <w:szCs w:val="24"/>
          <w:highlight w:val="black"/>
        </w:rPr>
        <w:t>xxxxxxxxxxxxxxxx</w:t>
      </w:r>
      <w:proofErr w:type="spellEnd"/>
    </w:p>
    <w:p w14:paraId="7EE8E65E" w14:textId="7914ABC4" w:rsidR="008C4A45" w:rsidRPr="00A10A7E" w:rsidRDefault="008C4A45" w:rsidP="00A75721">
      <w:pPr>
        <w:tabs>
          <w:tab w:val="left" w:pos="2268"/>
        </w:tabs>
        <w:spacing w:after="0"/>
        <w:rPr>
          <w:sz w:val="24"/>
          <w:szCs w:val="24"/>
          <w:highlight w:val="black"/>
        </w:rPr>
      </w:pPr>
      <w:r w:rsidRPr="001F6034">
        <w:rPr>
          <w:sz w:val="24"/>
          <w:szCs w:val="24"/>
        </w:rPr>
        <w:t>Číslo účtu:</w:t>
      </w:r>
      <w:r w:rsidR="00B96155" w:rsidRPr="001F6034">
        <w:rPr>
          <w:sz w:val="24"/>
          <w:szCs w:val="24"/>
        </w:rPr>
        <w:t xml:space="preserve"> </w:t>
      </w:r>
      <w:proofErr w:type="spellStart"/>
      <w:r w:rsidR="00A10A7E" w:rsidRPr="00A10A7E">
        <w:rPr>
          <w:sz w:val="24"/>
          <w:szCs w:val="24"/>
          <w:highlight w:val="black"/>
        </w:rPr>
        <w:t>xxxxxxxxxxxxxxxx</w:t>
      </w:r>
      <w:proofErr w:type="spellEnd"/>
    </w:p>
    <w:p w14:paraId="09B995CC" w14:textId="17383C4F" w:rsidR="00A75721" w:rsidRPr="00A10A7E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1F6034">
        <w:rPr>
          <w:sz w:val="24"/>
          <w:szCs w:val="24"/>
        </w:rPr>
        <w:t>IČO:</w:t>
      </w:r>
      <w:r w:rsidR="00453955" w:rsidRPr="001F6034">
        <w:rPr>
          <w:sz w:val="24"/>
          <w:szCs w:val="24"/>
        </w:rPr>
        <w:t xml:space="preserve"> </w:t>
      </w:r>
      <w:r w:rsidR="00A10A7E">
        <w:rPr>
          <w:sz w:val="24"/>
          <w:szCs w:val="24"/>
        </w:rPr>
        <w:t>25023446</w:t>
      </w:r>
    </w:p>
    <w:p w14:paraId="2FB4799E" w14:textId="2D523059" w:rsidR="00A75721" w:rsidRPr="00524F18" w:rsidRDefault="00A75721" w:rsidP="00A75721">
      <w:pPr>
        <w:tabs>
          <w:tab w:val="left" w:pos="2268"/>
        </w:tabs>
        <w:spacing w:after="0"/>
        <w:rPr>
          <w:sz w:val="24"/>
          <w:szCs w:val="24"/>
          <w:highlight w:val="cyan"/>
        </w:rPr>
      </w:pPr>
      <w:r w:rsidRPr="001F6034">
        <w:rPr>
          <w:sz w:val="24"/>
          <w:szCs w:val="24"/>
        </w:rPr>
        <w:t>DIČ:</w:t>
      </w:r>
      <w:r w:rsidR="00453955" w:rsidRPr="001F6034">
        <w:rPr>
          <w:sz w:val="24"/>
          <w:szCs w:val="24"/>
        </w:rPr>
        <w:t xml:space="preserve"> </w:t>
      </w:r>
      <w:r w:rsidR="00A10A7E">
        <w:rPr>
          <w:sz w:val="24"/>
          <w:szCs w:val="24"/>
        </w:rPr>
        <w:t>CZ25023446</w:t>
      </w:r>
    </w:p>
    <w:p w14:paraId="39AA7951" w14:textId="18900372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 w:rsidRPr="001F6034">
        <w:rPr>
          <w:sz w:val="24"/>
          <w:szCs w:val="24"/>
        </w:rPr>
        <w:t xml:space="preserve">Kontaktní osoba: </w:t>
      </w:r>
      <w:proofErr w:type="spellStart"/>
      <w:r w:rsidR="00A10A7E" w:rsidRPr="00A10A7E">
        <w:rPr>
          <w:sz w:val="24"/>
          <w:szCs w:val="24"/>
          <w:highlight w:val="black"/>
        </w:rPr>
        <w:t>xxxxxxxxxx</w:t>
      </w:r>
      <w:proofErr w:type="spellEnd"/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DE15145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>Tato objednávka</w:t>
      </w:r>
      <w:r w:rsidR="00B075D5">
        <w:rPr>
          <w:rFonts w:cs="Times New Roman"/>
          <w:sz w:val="24"/>
          <w:szCs w:val="24"/>
        </w:rPr>
        <w:t xml:space="preserve"> - smlouva</w:t>
      </w:r>
      <w:r w:rsidRPr="006D696C">
        <w:rPr>
          <w:rFonts w:cs="Times New Roman"/>
          <w:sz w:val="24"/>
          <w:szCs w:val="24"/>
        </w:rPr>
        <w:t xml:space="preserve">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</w:t>
      </w:r>
      <w:r w:rsidRPr="001A2FBE">
        <w:rPr>
          <w:rFonts w:cs="Times New Roman"/>
          <w:sz w:val="24"/>
          <w:szCs w:val="24"/>
        </w:rPr>
        <w:t xml:space="preserve">nahrazuje smlouvu. </w:t>
      </w:r>
      <w:r w:rsidR="00DE7F99" w:rsidRPr="001A2FBE">
        <w:rPr>
          <w:rFonts w:cs="Times New Roman"/>
          <w:sz w:val="24"/>
          <w:szCs w:val="24"/>
        </w:rPr>
        <w:t xml:space="preserve">Dodavatel </w:t>
      </w:r>
      <w:r w:rsidRPr="001A2FBE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1A2FBE">
        <w:rPr>
          <w:rFonts w:cs="Times New Roman"/>
          <w:sz w:val="24"/>
          <w:szCs w:val="24"/>
        </w:rPr>
        <w:t>O</w:t>
      </w:r>
      <w:r w:rsidRPr="001A2FBE">
        <w:rPr>
          <w:rFonts w:cs="Times New Roman"/>
          <w:sz w:val="24"/>
          <w:szCs w:val="24"/>
        </w:rPr>
        <w:t>bjednatele</w:t>
      </w:r>
      <w:r w:rsidR="001A2FBE" w:rsidRPr="001A2FBE">
        <w:rPr>
          <w:rFonts w:cs="Times New Roman"/>
          <w:sz w:val="24"/>
          <w:szCs w:val="24"/>
        </w:rPr>
        <w:t xml:space="preserve"> s</w:t>
      </w:r>
      <w:r w:rsidRPr="001A2FBE">
        <w:rPr>
          <w:rFonts w:cs="Times New Roman"/>
          <w:sz w:val="24"/>
          <w:szCs w:val="24"/>
        </w:rPr>
        <w:t>lužby specifikované níže. Objednatel se zavazuje zaplatit za služby poskytnuté v souladu</w:t>
      </w:r>
      <w:r w:rsidRPr="006D696C">
        <w:rPr>
          <w:rFonts w:cs="Times New Roman"/>
          <w:sz w:val="24"/>
          <w:szCs w:val="24"/>
        </w:rPr>
        <w:t xml:space="preserve"> s touto </w:t>
      </w:r>
      <w:r w:rsidR="00FD1FB4">
        <w:rPr>
          <w:rFonts w:cs="Times New Roman"/>
          <w:sz w:val="24"/>
          <w:szCs w:val="24"/>
        </w:rPr>
        <w:t>objednávkou</w:t>
      </w:r>
      <w:r w:rsidRPr="006D696C">
        <w:rPr>
          <w:rFonts w:cs="Times New Roman"/>
          <w:sz w:val="24"/>
          <w:szCs w:val="24"/>
        </w:rPr>
        <w:t xml:space="preserve"> cenu uvedenou níže.</w:t>
      </w:r>
    </w:p>
    <w:p w14:paraId="5A4F9420" w14:textId="6A6B411F" w:rsidR="00604890" w:rsidRDefault="00650E0B" w:rsidP="005A7536">
      <w:pPr>
        <w:spacing w:after="0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Místo plnění</w:t>
      </w:r>
      <w:r w:rsidR="00604890"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  <w:r w:rsidRPr="00650E0B">
        <w:rPr>
          <w:sz w:val="24"/>
          <w:szCs w:val="24"/>
        </w:rPr>
        <w:t>sil I/22</w:t>
      </w:r>
      <w:r>
        <w:rPr>
          <w:sz w:val="24"/>
          <w:szCs w:val="24"/>
        </w:rPr>
        <w:t xml:space="preserve"> Horažďovice v km 68,012 – 68,247</w:t>
      </w:r>
    </w:p>
    <w:p w14:paraId="6DDA1705" w14:textId="77777777" w:rsidR="00F80779" w:rsidRPr="00F80779" w:rsidRDefault="00F80779" w:rsidP="00F80779">
      <w:pPr>
        <w:spacing w:after="0"/>
        <w:rPr>
          <w:rFonts w:cs="Times New Roman"/>
          <w:sz w:val="24"/>
          <w:szCs w:val="24"/>
        </w:rPr>
      </w:pPr>
    </w:p>
    <w:p w14:paraId="39F2742E" w14:textId="751D6D7D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r w:rsidR="00F54766" w:rsidRPr="00A10A7E">
        <w:rPr>
          <w:b/>
          <w:sz w:val="24"/>
          <w:szCs w:val="24"/>
          <w:highlight w:val="black"/>
        </w:rPr>
        <w:t>Ladislava Martínková, tel. 377 333 761</w:t>
      </w:r>
    </w:p>
    <w:p w14:paraId="255FD969" w14:textId="431778CD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F54766"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 w:rsidR="00F54766">
        <w:rPr>
          <w:sz w:val="24"/>
          <w:szCs w:val="24"/>
        </w:rPr>
        <w:t>Plzeň</w:t>
      </w:r>
    </w:p>
    <w:p w14:paraId="42C0E761" w14:textId="3D98F83F" w:rsidR="004D5C72" w:rsidRPr="00FF13FF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</w:t>
      </w:r>
      <w:r w:rsidR="00153D94" w:rsidRPr="001A2FBE">
        <w:rPr>
          <w:sz w:val="24"/>
          <w:szCs w:val="24"/>
        </w:rPr>
        <w:t xml:space="preserve">bankovním převodem na účet </w:t>
      </w:r>
      <w:r w:rsidR="00DB2E94" w:rsidRPr="001A2FBE">
        <w:rPr>
          <w:sz w:val="24"/>
          <w:szCs w:val="24"/>
        </w:rPr>
        <w:t>D</w:t>
      </w:r>
      <w:r w:rsidR="00153D94" w:rsidRPr="001A2FBE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1A2FBE">
        <w:rPr>
          <w:sz w:val="24"/>
          <w:szCs w:val="24"/>
        </w:rPr>
        <w:t>O</w:t>
      </w:r>
      <w:r w:rsidR="00153D94" w:rsidRPr="001A2FBE">
        <w:rPr>
          <w:sz w:val="24"/>
          <w:szCs w:val="24"/>
        </w:rPr>
        <w:t>bjednateli. Fakturu lze předložit nejdříve po protokolárním převzetí služeb</w:t>
      </w:r>
      <w:r w:rsidR="00FD1FB4" w:rsidRPr="001A2FBE">
        <w:rPr>
          <w:sz w:val="24"/>
          <w:szCs w:val="24"/>
        </w:rPr>
        <w:t xml:space="preserve"> O</w:t>
      </w:r>
      <w:r w:rsidR="00153D94" w:rsidRPr="001A2FBE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</w:t>
      </w:r>
      <w:r w:rsidR="00153D94" w:rsidRPr="00FF13FF">
        <w:rPr>
          <w:sz w:val="24"/>
          <w:szCs w:val="24"/>
        </w:rPr>
        <w:t xml:space="preserve">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>ako „zákon o registru smluv“), O</w:t>
      </w:r>
      <w:r w:rsidR="00F42E23" w:rsidRPr="000C7C8D">
        <w:rPr>
          <w:sz w:val="24"/>
          <w:szCs w:val="24"/>
        </w:rPr>
        <w:t>bjednatelem.</w:t>
      </w:r>
      <w:r w:rsidR="000C7C8D">
        <w:rPr>
          <w:sz w:val="24"/>
          <w:szCs w:val="24"/>
        </w:rPr>
        <w:t xml:space="preserve"> Objednávka je účinná okamžik</w:t>
      </w:r>
      <w:r w:rsidR="00B6178D">
        <w:rPr>
          <w:sz w:val="24"/>
          <w:szCs w:val="24"/>
        </w:rPr>
        <w:t xml:space="preserve">em zveřejnění v registru smluv, přičemž </w:t>
      </w:r>
      <w:r w:rsidR="000C7C8D">
        <w:rPr>
          <w:sz w:val="24"/>
          <w:szCs w:val="24"/>
        </w:rPr>
        <w:t>Objednatel</w:t>
      </w:r>
      <w:r w:rsidR="00FD1FB4">
        <w:rPr>
          <w:sz w:val="24"/>
          <w:szCs w:val="24"/>
        </w:rPr>
        <w:t xml:space="preserve"> o této skutečnosti D</w:t>
      </w:r>
      <w:r w:rsidR="003A609B">
        <w:rPr>
          <w:sz w:val="24"/>
          <w:szCs w:val="24"/>
        </w:rPr>
        <w:t>odavatele</w:t>
      </w:r>
      <w:r w:rsidR="000D69FD">
        <w:rPr>
          <w:sz w:val="24"/>
          <w:szCs w:val="24"/>
        </w:rPr>
        <w:t xml:space="preserve"> informuje</w:t>
      </w:r>
      <w:r w:rsidR="003A609B">
        <w:rPr>
          <w:sz w:val="24"/>
          <w:szCs w:val="24"/>
        </w:rPr>
        <w:t>.</w:t>
      </w:r>
      <w:r w:rsidR="00105E6A">
        <w:rPr>
          <w:sz w:val="24"/>
          <w:szCs w:val="24"/>
        </w:rPr>
        <w:t xml:space="preserve"> Objednatel je oprávněn kdykoliv po uzavření objednávky </w:t>
      </w:r>
      <w:r w:rsidR="00105E6A">
        <w:rPr>
          <w:sz w:val="24"/>
          <w:szCs w:val="24"/>
        </w:rPr>
        <w:lastRenderedPageBreak/>
        <w:t>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3525D9F" w14:textId="4BA8BBDC" w:rsidR="001A2FBE" w:rsidRDefault="001A2FBE" w:rsidP="00153D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Záruční lhůta:</w:t>
      </w:r>
      <w:r w:rsidR="00F54766">
        <w:rPr>
          <w:b/>
          <w:sz w:val="24"/>
          <w:szCs w:val="24"/>
        </w:rPr>
        <w:t xml:space="preserve"> </w:t>
      </w:r>
      <w:r w:rsidR="00650E0B" w:rsidRPr="00650E0B">
        <w:rPr>
          <w:sz w:val="24"/>
          <w:szCs w:val="24"/>
        </w:rPr>
        <w:t>dle Občanského zákoníku</w:t>
      </w:r>
    </w:p>
    <w:p w14:paraId="3DE3979E" w14:textId="05D47BE5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  <w:r w:rsidR="00650E0B" w:rsidRPr="00650E0B">
        <w:rPr>
          <w:sz w:val="24"/>
          <w:szCs w:val="24"/>
        </w:rPr>
        <w:t>technický dozor stavby (TDS) pro připojení prodejny stavebnin PRO DOMA v Horažďovicích</w:t>
      </w:r>
    </w:p>
    <w:p w14:paraId="299A5AF5" w14:textId="285E57E9" w:rsidR="00A75721" w:rsidRDefault="00604890" w:rsidP="00D8296D">
      <w:pPr>
        <w:jc w:val="both"/>
        <w:rPr>
          <w:b/>
          <w:sz w:val="24"/>
          <w:szCs w:val="24"/>
        </w:rPr>
      </w:pPr>
      <w:r w:rsidRPr="002D270A">
        <w:rPr>
          <w:b/>
          <w:sz w:val="24"/>
          <w:szCs w:val="24"/>
          <w:u w:val="single"/>
        </w:rPr>
        <w:t>Lhůta pro dodání či termín dodání</w:t>
      </w:r>
      <w:r w:rsidRPr="00200665">
        <w:rPr>
          <w:b/>
          <w:sz w:val="24"/>
          <w:szCs w:val="24"/>
        </w:rPr>
        <w:t>:</w:t>
      </w:r>
      <w:r w:rsidR="00F73CB7" w:rsidRPr="00200665">
        <w:rPr>
          <w:b/>
          <w:sz w:val="24"/>
          <w:szCs w:val="24"/>
        </w:rPr>
        <w:t xml:space="preserve"> </w:t>
      </w:r>
      <w:r w:rsidR="00650E0B">
        <w:rPr>
          <w:b/>
          <w:sz w:val="24"/>
          <w:szCs w:val="24"/>
        </w:rPr>
        <w:t xml:space="preserve"> po dobu realizace stavby – předpok</w:t>
      </w:r>
      <w:r w:rsidR="00AD49B9">
        <w:rPr>
          <w:b/>
          <w:sz w:val="24"/>
          <w:szCs w:val="24"/>
        </w:rPr>
        <w:t xml:space="preserve">lad květen 2019 – červenec 2019, </w:t>
      </w:r>
      <w:r w:rsidR="002D270A">
        <w:rPr>
          <w:b/>
          <w:sz w:val="24"/>
          <w:szCs w:val="24"/>
        </w:rPr>
        <w:t xml:space="preserve">(předpoklad do </w:t>
      </w:r>
      <w:proofErr w:type="gramStart"/>
      <w:r w:rsidR="002D270A">
        <w:rPr>
          <w:b/>
          <w:sz w:val="24"/>
          <w:szCs w:val="24"/>
        </w:rPr>
        <w:t>31.07.2019</w:t>
      </w:r>
      <w:proofErr w:type="gramEnd"/>
      <w:r w:rsidR="002D270A">
        <w:rPr>
          <w:b/>
          <w:sz w:val="24"/>
          <w:szCs w:val="24"/>
        </w:rPr>
        <w:t>).</w:t>
      </w:r>
    </w:p>
    <w:p w14:paraId="752D9DA9" w14:textId="1A07CC19" w:rsidR="00650E0B" w:rsidRPr="00200665" w:rsidRDefault="00650E0B" w:rsidP="00D829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Fakturace:</w:t>
      </w:r>
      <w:r w:rsidR="00AD49B9">
        <w:rPr>
          <w:b/>
          <w:sz w:val="24"/>
          <w:szCs w:val="24"/>
        </w:rPr>
        <w:t xml:space="preserve"> </w:t>
      </w:r>
      <w:r w:rsidR="00AD49B9" w:rsidRPr="00AD49B9">
        <w:rPr>
          <w:sz w:val="24"/>
          <w:szCs w:val="24"/>
        </w:rPr>
        <w:t>bude</w:t>
      </w:r>
      <w:r>
        <w:rPr>
          <w:b/>
          <w:sz w:val="24"/>
          <w:szCs w:val="24"/>
        </w:rPr>
        <w:t xml:space="preserve"> </w:t>
      </w:r>
      <w:r w:rsidRPr="00650E0B">
        <w:rPr>
          <w:sz w:val="24"/>
          <w:szCs w:val="24"/>
        </w:rPr>
        <w:t xml:space="preserve">jednorázová po skončení stavby na základě </w:t>
      </w:r>
      <w:r w:rsidR="00AD49B9">
        <w:rPr>
          <w:sz w:val="24"/>
          <w:szCs w:val="24"/>
        </w:rPr>
        <w:t xml:space="preserve">přiloženého odsouhlaseného </w:t>
      </w:r>
      <w:r w:rsidRPr="00650E0B">
        <w:rPr>
          <w:sz w:val="24"/>
          <w:szCs w:val="24"/>
        </w:rPr>
        <w:t>skutečného výkazu hodin.</w:t>
      </w:r>
    </w:p>
    <w:p w14:paraId="43B09CE6" w14:textId="77777777" w:rsidR="00D8296D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 w:rsidR="0033757F">
        <w:rPr>
          <w:b/>
          <w:sz w:val="24"/>
          <w:szCs w:val="24"/>
        </w:rPr>
        <w:t>á hodnota objednávky v</w:t>
      </w:r>
      <w:r w:rsidR="00D8296D">
        <w:rPr>
          <w:b/>
          <w:sz w:val="24"/>
          <w:szCs w:val="24"/>
        </w:rPr>
        <w:t> </w:t>
      </w:r>
      <w:r w:rsidR="0033757F">
        <w:rPr>
          <w:b/>
          <w:sz w:val="24"/>
          <w:szCs w:val="24"/>
        </w:rPr>
        <w:t>Kč</w:t>
      </w:r>
      <w:r w:rsidR="00D8296D">
        <w:rPr>
          <w:b/>
          <w:sz w:val="24"/>
          <w:szCs w:val="24"/>
        </w:rPr>
        <w:t>:</w:t>
      </w:r>
    </w:p>
    <w:p w14:paraId="6543C88B" w14:textId="772C5C4F" w:rsidR="00524F18" w:rsidRPr="00A10A7E" w:rsidRDefault="006C39DB" w:rsidP="00524F18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33757F">
        <w:rPr>
          <w:b/>
          <w:sz w:val="24"/>
          <w:szCs w:val="24"/>
        </w:rPr>
        <w:t>bez</w:t>
      </w:r>
      <w:r w:rsidR="00604890" w:rsidRPr="00200665">
        <w:rPr>
          <w:b/>
          <w:sz w:val="24"/>
          <w:szCs w:val="24"/>
        </w:rPr>
        <w:t xml:space="preserve"> DPH</w:t>
      </w:r>
      <w:r w:rsidR="00D8296D" w:rsidRPr="001F6034">
        <w:rPr>
          <w:b/>
          <w:sz w:val="24"/>
          <w:szCs w:val="24"/>
        </w:rPr>
        <w:t>:</w:t>
      </w:r>
      <w:r w:rsidRPr="001F6034">
        <w:rPr>
          <w:b/>
          <w:sz w:val="24"/>
          <w:szCs w:val="24"/>
        </w:rPr>
        <w:t xml:space="preserve">    </w:t>
      </w:r>
      <w:r w:rsidR="00AA7F78" w:rsidRPr="001F6034">
        <w:rPr>
          <w:b/>
          <w:sz w:val="24"/>
          <w:szCs w:val="24"/>
        </w:rPr>
        <w:t xml:space="preserve"> </w:t>
      </w:r>
      <w:r w:rsidR="00A10A7E">
        <w:rPr>
          <w:b/>
          <w:sz w:val="24"/>
          <w:szCs w:val="24"/>
        </w:rPr>
        <w:t xml:space="preserve">      </w:t>
      </w:r>
      <w:r w:rsidR="00AA7F78" w:rsidRPr="001F6034">
        <w:rPr>
          <w:b/>
          <w:sz w:val="24"/>
          <w:szCs w:val="24"/>
        </w:rPr>
        <w:t xml:space="preserve"> </w:t>
      </w:r>
      <w:r w:rsidR="00A10A7E" w:rsidRPr="00A10A7E">
        <w:rPr>
          <w:sz w:val="24"/>
          <w:szCs w:val="24"/>
        </w:rPr>
        <w:t>119.000,-</w:t>
      </w:r>
    </w:p>
    <w:p w14:paraId="6EFAB3EB" w14:textId="431C224B" w:rsidR="00D8296D" w:rsidRPr="00A10A7E" w:rsidRDefault="00AA7F78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A10A7E">
        <w:rPr>
          <w:sz w:val="24"/>
          <w:szCs w:val="24"/>
        </w:rPr>
        <w:t xml:space="preserve">    </w:t>
      </w:r>
      <w:r w:rsidR="001F6034" w:rsidRPr="00A10A7E">
        <w:rPr>
          <w:sz w:val="24"/>
          <w:szCs w:val="24"/>
        </w:rPr>
        <w:t xml:space="preserve"> </w:t>
      </w:r>
    </w:p>
    <w:p w14:paraId="529784F8" w14:textId="77777777" w:rsidR="006C39DB" w:rsidRPr="00A10A7E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911A133" w14:textId="48125E4F" w:rsidR="00524F18" w:rsidRPr="00A10A7E" w:rsidRDefault="00D8296D" w:rsidP="00524F18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F6034">
        <w:rPr>
          <w:b/>
          <w:sz w:val="24"/>
          <w:szCs w:val="24"/>
        </w:rPr>
        <w:t>DPH 21%:</w:t>
      </w:r>
      <w:r w:rsidR="006C39DB" w:rsidRPr="001F6034">
        <w:rPr>
          <w:b/>
          <w:sz w:val="24"/>
          <w:szCs w:val="24"/>
        </w:rPr>
        <w:t xml:space="preserve">  </w:t>
      </w:r>
      <w:r w:rsidR="00AA7F78" w:rsidRPr="001F6034">
        <w:rPr>
          <w:b/>
          <w:sz w:val="24"/>
          <w:szCs w:val="24"/>
        </w:rPr>
        <w:t xml:space="preserve">       </w:t>
      </w:r>
      <w:r w:rsidR="00A10A7E">
        <w:rPr>
          <w:b/>
          <w:sz w:val="24"/>
          <w:szCs w:val="24"/>
        </w:rPr>
        <w:t xml:space="preserve">    </w:t>
      </w:r>
      <w:r w:rsidR="00AA7F78" w:rsidRPr="001F6034">
        <w:rPr>
          <w:b/>
          <w:sz w:val="24"/>
          <w:szCs w:val="24"/>
        </w:rPr>
        <w:t xml:space="preserve">  </w:t>
      </w:r>
      <w:r w:rsidR="00A10A7E">
        <w:rPr>
          <w:b/>
          <w:sz w:val="24"/>
          <w:szCs w:val="24"/>
        </w:rPr>
        <w:t xml:space="preserve">      </w:t>
      </w:r>
      <w:r w:rsidR="00A10A7E" w:rsidRPr="00A10A7E">
        <w:rPr>
          <w:sz w:val="24"/>
          <w:szCs w:val="24"/>
        </w:rPr>
        <w:t>24.990,-</w:t>
      </w:r>
    </w:p>
    <w:p w14:paraId="684B9F75" w14:textId="17E0FA86" w:rsidR="00D8296D" w:rsidRPr="001F6034" w:rsidRDefault="00AA7F78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F6034">
        <w:rPr>
          <w:b/>
          <w:sz w:val="24"/>
          <w:szCs w:val="24"/>
        </w:rPr>
        <w:t xml:space="preserve">        </w:t>
      </w:r>
      <w:r w:rsidR="001F6034">
        <w:rPr>
          <w:b/>
          <w:sz w:val="24"/>
          <w:szCs w:val="24"/>
        </w:rPr>
        <w:t xml:space="preserve">  </w:t>
      </w:r>
    </w:p>
    <w:p w14:paraId="14ECE052" w14:textId="77777777" w:rsidR="006C39DB" w:rsidRPr="001F6034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82D439A" w14:textId="744B2E54" w:rsidR="00524F18" w:rsidRPr="001F6034" w:rsidRDefault="00D8296D" w:rsidP="00524F18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F6034">
        <w:rPr>
          <w:b/>
          <w:sz w:val="24"/>
          <w:szCs w:val="24"/>
        </w:rPr>
        <w:t>Cena celkem</w:t>
      </w:r>
      <w:r w:rsidR="003854F7" w:rsidRPr="001F6034">
        <w:rPr>
          <w:b/>
          <w:sz w:val="24"/>
          <w:szCs w:val="24"/>
        </w:rPr>
        <w:t xml:space="preserve"> s DPH</w:t>
      </w:r>
      <w:r w:rsidR="00604890" w:rsidRPr="001F6034">
        <w:rPr>
          <w:b/>
          <w:sz w:val="24"/>
          <w:szCs w:val="24"/>
        </w:rPr>
        <w:t>:</w:t>
      </w:r>
      <w:r w:rsidR="00453955" w:rsidRPr="001F6034">
        <w:rPr>
          <w:b/>
          <w:sz w:val="24"/>
          <w:szCs w:val="24"/>
        </w:rPr>
        <w:t xml:space="preserve"> </w:t>
      </w:r>
      <w:r w:rsidR="00AA7F78" w:rsidRPr="001F6034">
        <w:rPr>
          <w:b/>
          <w:sz w:val="24"/>
          <w:szCs w:val="24"/>
        </w:rPr>
        <w:t xml:space="preserve"> </w:t>
      </w:r>
      <w:r w:rsidR="00A10A7E">
        <w:rPr>
          <w:b/>
          <w:sz w:val="24"/>
          <w:szCs w:val="24"/>
        </w:rPr>
        <w:t>143.990,-</w:t>
      </w:r>
    </w:p>
    <w:p w14:paraId="5E6673E4" w14:textId="1CFD1ACD" w:rsidR="006C39DB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21A0252C" w14:textId="681258B2" w:rsidR="00604890" w:rsidRPr="00200665" w:rsidRDefault="00604890" w:rsidP="00153D94">
      <w:pPr>
        <w:jc w:val="both"/>
        <w:rPr>
          <w:b/>
          <w:sz w:val="24"/>
          <w:szCs w:val="24"/>
        </w:rPr>
      </w:pPr>
    </w:p>
    <w:p w14:paraId="3832F879" w14:textId="3A7182A8" w:rsidR="0069013D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1" w:history="1">
        <w:r w:rsidR="00D8296D" w:rsidRPr="00A10A7E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D8296D" w:rsidRPr="00A10A7E">
        <w:rPr>
          <w:rFonts w:cs="Times New Roman"/>
          <w:sz w:val="24"/>
          <w:szCs w:val="24"/>
          <w:highlight w:val="black"/>
        </w:rPr>
        <w:t xml:space="preserve"> </w:t>
      </w:r>
      <w:r w:rsidRPr="00A10A7E">
        <w:rPr>
          <w:rFonts w:cs="Times New Roman"/>
          <w:sz w:val="24"/>
          <w:szCs w:val="24"/>
          <w:highlight w:val="black"/>
        </w:rPr>
        <w:t>.</w:t>
      </w:r>
      <w:r w:rsidR="006024F2">
        <w:rPr>
          <w:rFonts w:cs="Times New Roman"/>
          <w:sz w:val="24"/>
          <w:szCs w:val="24"/>
        </w:rPr>
        <w:t xml:space="preserve"> </w:t>
      </w:r>
      <w:r w:rsidR="006024F2" w:rsidRPr="000C7C8D">
        <w:rPr>
          <w:rFonts w:cs="Times New Roman"/>
          <w:sz w:val="24"/>
          <w:szCs w:val="24"/>
        </w:rPr>
        <w:t>V případě nepotvrzení akceptace objednávky Objednatele Dodavatelem platí, že Dodavatel objednávku neakceptoval</w:t>
      </w:r>
      <w:r w:rsidR="000F3C5A" w:rsidRPr="000C7C8D">
        <w:rPr>
          <w:rFonts w:cs="Times New Roman"/>
          <w:sz w:val="24"/>
          <w:szCs w:val="24"/>
        </w:rPr>
        <w:t xml:space="preserve"> a </w:t>
      </w:r>
      <w:r w:rsidR="00DB2E94">
        <w:rPr>
          <w:rFonts w:cs="Times New Roman"/>
          <w:sz w:val="24"/>
          <w:szCs w:val="24"/>
        </w:rPr>
        <w:t>o</w:t>
      </w:r>
      <w:r w:rsidR="000F3C5A" w:rsidRPr="000C7C8D">
        <w:rPr>
          <w:rFonts w:cs="Times New Roman"/>
          <w:sz w:val="24"/>
          <w:szCs w:val="24"/>
        </w:rPr>
        <w:t>bjednávka je bez dalšího zneplatněna</w:t>
      </w:r>
      <w:r w:rsidR="006024F2" w:rsidRPr="000C7C8D">
        <w:rPr>
          <w:rFonts w:cs="Times New Roman"/>
          <w:sz w:val="24"/>
          <w:szCs w:val="24"/>
        </w:rPr>
        <w:t>.</w:t>
      </w:r>
    </w:p>
    <w:p w14:paraId="416FFFC6" w14:textId="40417865" w:rsidR="00B96155" w:rsidRPr="00A87460" w:rsidRDefault="00B96155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370F5D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 xml:space="preserve">Nedílnou součástí této </w:t>
      </w:r>
      <w:r w:rsidR="00765848" w:rsidRPr="00D8296D">
        <w:rPr>
          <w:rFonts w:cs="Times New Roman"/>
          <w:sz w:val="24"/>
          <w:szCs w:val="24"/>
        </w:rPr>
        <w:t>objednávky</w:t>
      </w:r>
      <w:r w:rsidRPr="00D8296D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5F356D31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1 – Specifikace služeb</w:t>
      </w:r>
    </w:p>
    <w:p w14:paraId="222292B1" w14:textId="225A879F" w:rsidR="00F54766" w:rsidRDefault="00282421" w:rsidP="00AD49B9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2 – Položkový rozpis ceny</w:t>
      </w:r>
      <w:r w:rsidRPr="00282421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F54766" w:rsidRPr="00782411" w14:paraId="4B270AAA" w14:textId="77777777" w:rsidTr="00685C18">
        <w:tc>
          <w:tcPr>
            <w:tcW w:w="4605" w:type="dxa"/>
          </w:tcPr>
          <w:p w14:paraId="22BE6E70" w14:textId="4B30B1A7" w:rsidR="00F54766" w:rsidRPr="00782411" w:rsidRDefault="00F54766" w:rsidP="00AD49B9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V </w:t>
            </w:r>
            <w:r>
              <w:rPr>
                <w:rFonts w:cs="Times New Roman"/>
                <w:sz w:val="24"/>
                <w:szCs w:val="24"/>
              </w:rPr>
              <w:t>Plzni</w:t>
            </w:r>
            <w:r w:rsidRPr="00782411">
              <w:rPr>
                <w:rFonts w:cs="Times New Roman"/>
                <w:sz w:val="24"/>
                <w:szCs w:val="24"/>
              </w:rPr>
              <w:t xml:space="preserve"> dne </w:t>
            </w:r>
            <w:r w:rsidR="001F6034">
              <w:rPr>
                <w:rFonts w:cs="Times New Roman"/>
                <w:sz w:val="24"/>
                <w:szCs w:val="24"/>
              </w:rPr>
              <w:t>24-04-2019</w:t>
            </w:r>
          </w:p>
        </w:tc>
        <w:tc>
          <w:tcPr>
            <w:tcW w:w="4605" w:type="dxa"/>
          </w:tcPr>
          <w:p w14:paraId="7E9F9514" w14:textId="18FA6622" w:rsidR="00F54766" w:rsidRPr="00524F18" w:rsidRDefault="00F54766" w:rsidP="00A10A7E">
            <w:pPr>
              <w:tabs>
                <w:tab w:val="left" w:pos="2268"/>
              </w:tabs>
              <w:contextualSpacing/>
              <w:rPr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>V</w:t>
            </w:r>
            <w:r w:rsidR="00A10A7E">
              <w:rPr>
                <w:rFonts w:cs="Times New Roman"/>
                <w:sz w:val="24"/>
                <w:szCs w:val="24"/>
              </w:rPr>
              <w:t xml:space="preserve"> Liberci </w:t>
            </w:r>
            <w:r w:rsidRPr="00782411">
              <w:rPr>
                <w:rFonts w:cs="Times New Roman"/>
                <w:sz w:val="24"/>
                <w:szCs w:val="24"/>
              </w:rPr>
              <w:t xml:space="preserve">dne </w:t>
            </w:r>
            <w:proofErr w:type="gramStart"/>
            <w:r w:rsidR="00A10A7E">
              <w:rPr>
                <w:rFonts w:cs="Times New Roman"/>
                <w:sz w:val="24"/>
                <w:szCs w:val="24"/>
              </w:rPr>
              <w:t>23.04.2019</w:t>
            </w:r>
            <w:proofErr w:type="gramEnd"/>
          </w:p>
        </w:tc>
      </w:tr>
      <w:tr w:rsidR="00F54766" w:rsidRPr="00782411" w14:paraId="027772F1" w14:textId="77777777" w:rsidTr="00685C18">
        <w:tc>
          <w:tcPr>
            <w:tcW w:w="4605" w:type="dxa"/>
          </w:tcPr>
          <w:p w14:paraId="6F3770E2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>Za Objednatele:</w:t>
            </w:r>
          </w:p>
          <w:p w14:paraId="3CF28E14" w14:textId="77777777" w:rsidR="00AD49B9" w:rsidRDefault="00AD49B9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3D0F2E7" w14:textId="2AB4A072" w:rsidR="00AD49B9" w:rsidRPr="00782411" w:rsidRDefault="00AD49B9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605" w:type="dxa"/>
          </w:tcPr>
          <w:p w14:paraId="6E7C0283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Za </w:t>
            </w:r>
            <w:r w:rsidR="008A699E">
              <w:rPr>
                <w:rFonts w:cs="Times New Roman"/>
                <w:sz w:val="24"/>
                <w:szCs w:val="24"/>
              </w:rPr>
              <w:t>Dodavatele</w:t>
            </w:r>
            <w:r w:rsidRPr="00782411">
              <w:rPr>
                <w:rFonts w:cs="Times New Roman"/>
                <w:sz w:val="24"/>
                <w:szCs w:val="24"/>
              </w:rPr>
              <w:t>:</w:t>
            </w:r>
          </w:p>
          <w:p w14:paraId="26795846" w14:textId="77777777" w:rsidR="00AD49B9" w:rsidRDefault="00AD49B9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20344E8" w14:textId="183C3280" w:rsidR="00AD49B9" w:rsidRPr="00782411" w:rsidRDefault="00AD49B9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</w:t>
            </w:r>
          </w:p>
        </w:tc>
      </w:tr>
      <w:tr w:rsidR="00F54766" w:rsidRPr="00782411" w14:paraId="3F181720" w14:textId="77777777" w:rsidTr="00685C18">
        <w:tc>
          <w:tcPr>
            <w:tcW w:w="4605" w:type="dxa"/>
          </w:tcPr>
          <w:p w14:paraId="69C1F632" w14:textId="2EF09EE6" w:rsidR="001F6034" w:rsidRPr="00782411" w:rsidRDefault="001F6034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10EC7E9" w14:textId="474FF6B2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4766" w:rsidRPr="00782411" w14:paraId="75EF9CBB" w14:textId="77777777" w:rsidTr="00685C18">
        <w:tc>
          <w:tcPr>
            <w:tcW w:w="4605" w:type="dxa"/>
          </w:tcPr>
          <w:p w14:paraId="415A5DB4" w14:textId="48ADF550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771DB1C" w14:textId="51551907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9475E87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13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533"/>
      </w:tblGrid>
      <w:tr w:rsidR="006808EE" w:rsidRPr="00023AFB" w14:paraId="625848A6" w14:textId="77777777" w:rsidTr="00AF3F52">
        <w:tc>
          <w:tcPr>
            <w:tcW w:w="9072" w:type="dxa"/>
          </w:tcPr>
          <w:p w14:paraId="31A33F06" w14:textId="50C1F0A2" w:rsidR="00AF3F52" w:rsidRPr="00AF3F52" w:rsidRDefault="006808EE" w:rsidP="00381755">
            <w:pPr>
              <w:spacing w:before="120" w:after="120" w:line="276" w:lineRule="auto"/>
              <w:rPr>
                <w:b/>
                <w:sz w:val="32"/>
                <w:szCs w:val="32"/>
              </w:rPr>
            </w:pPr>
            <w:r w:rsidRPr="00AF3F52">
              <w:rPr>
                <w:b/>
                <w:sz w:val="32"/>
                <w:szCs w:val="32"/>
              </w:rPr>
              <w:lastRenderedPageBreak/>
              <w:t>Příloha č. 1 - Specifikace služeb</w:t>
            </w:r>
          </w:p>
          <w:p w14:paraId="448EA0D5" w14:textId="77777777" w:rsidR="00AF3F52" w:rsidRPr="00AF3F52" w:rsidRDefault="00AF3F52" w:rsidP="00AF3F52">
            <w:pPr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 xml:space="preserve">Popis předmětu poptávky:  </w:t>
            </w:r>
          </w:p>
          <w:p w14:paraId="2EBCEF56" w14:textId="77777777" w:rsidR="00AF3F52" w:rsidRPr="00AF3F52" w:rsidRDefault="00AF3F52" w:rsidP="00AF3F52">
            <w:pPr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 xml:space="preserve">Předmětem zakázky je výkon činnosti technického </w:t>
            </w:r>
            <w:proofErr w:type="spellStart"/>
            <w:r w:rsidRPr="00AF3F52">
              <w:rPr>
                <w:sz w:val="24"/>
                <w:szCs w:val="24"/>
              </w:rPr>
              <w:t>dozora</w:t>
            </w:r>
            <w:proofErr w:type="spellEnd"/>
            <w:r w:rsidRPr="00AF3F52">
              <w:rPr>
                <w:sz w:val="24"/>
                <w:szCs w:val="24"/>
              </w:rPr>
              <w:t xml:space="preserve"> stavby v průběhu úpravy silnice I/22, která zahrnuje realizaci připojovacího pruhu a křižovatky na silnici I/22 z důvodu stavby a následného připojení prodejny stavebnin PRO DOMA k silnici I/22. Stavební úprava (rozšíření a křižovatka) silnice I/22 bude financována investorem prodejny stavebnin.</w:t>
            </w:r>
          </w:p>
          <w:p w14:paraId="2136758F" w14:textId="77777777" w:rsidR="00AF3F52" w:rsidRPr="00AF3F52" w:rsidRDefault="00AF3F52" w:rsidP="00AF3F52">
            <w:pPr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Uchazeč doloží jméno osoby, která bude vykonávat činnost TDS.</w:t>
            </w:r>
          </w:p>
          <w:p w14:paraId="4148B515" w14:textId="77777777" w:rsidR="00AF3F52" w:rsidRPr="00AF3F52" w:rsidRDefault="00AF3F52" w:rsidP="00AF3F52">
            <w:pPr>
              <w:jc w:val="both"/>
              <w:rPr>
                <w:sz w:val="24"/>
                <w:szCs w:val="24"/>
              </w:rPr>
            </w:pPr>
          </w:p>
          <w:p w14:paraId="1D57C112" w14:textId="77777777" w:rsidR="00AF3F52" w:rsidRPr="00AF3F52" w:rsidRDefault="00AF3F52" w:rsidP="00AF3F52">
            <w:pPr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Rozsah činnosti TDS:</w:t>
            </w:r>
          </w:p>
          <w:p w14:paraId="4A968C3B" w14:textId="77777777" w:rsidR="00AF3F52" w:rsidRPr="00AF3F52" w:rsidRDefault="00AF3F52" w:rsidP="00AF3F52">
            <w:pPr>
              <w:ind w:firstLine="284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a) v průběhu stavby:</w:t>
            </w:r>
          </w:p>
          <w:p w14:paraId="0C8E9239" w14:textId="6E432A7C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provádět činnost dozorce stavby dle metodického pokynu „Výkon stavebního dozoru na stavbách pozemních komunikací“, schváleného MD – OPK čj. 254/06-120-RS/2 ze dne 26. 4. 2006, včetně Dodatku č.</w:t>
            </w:r>
            <w:r w:rsidR="001F6034">
              <w:rPr>
                <w:sz w:val="24"/>
                <w:szCs w:val="24"/>
              </w:rPr>
              <w:t xml:space="preserve"> </w:t>
            </w:r>
            <w:r w:rsidRPr="00AF3F52">
              <w:rPr>
                <w:sz w:val="24"/>
                <w:szCs w:val="24"/>
              </w:rPr>
              <w:t xml:space="preserve">1 ze dne </w:t>
            </w:r>
            <w:proofErr w:type="gramStart"/>
            <w:r w:rsidRPr="00AF3F52">
              <w:rPr>
                <w:sz w:val="24"/>
                <w:szCs w:val="24"/>
              </w:rPr>
              <w:t>17.12.2009</w:t>
            </w:r>
            <w:proofErr w:type="gramEnd"/>
            <w:r w:rsidRPr="00AF3F52">
              <w:rPr>
                <w:sz w:val="24"/>
                <w:szCs w:val="24"/>
              </w:rPr>
              <w:t xml:space="preserve">. </w:t>
            </w:r>
          </w:p>
          <w:p w14:paraId="548C3F91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 xml:space="preserve">- připravovat podklady pro odevzdání a převzetí jednotlivých objektů </w:t>
            </w:r>
          </w:p>
          <w:p w14:paraId="236F739F" w14:textId="68E9326D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zajistit včasné projednání eventu</w:t>
            </w:r>
            <w:r w:rsidR="001F6034">
              <w:rPr>
                <w:sz w:val="24"/>
                <w:szCs w:val="24"/>
              </w:rPr>
              <w:t>á</w:t>
            </w:r>
            <w:r w:rsidRPr="00AF3F52">
              <w:rPr>
                <w:sz w:val="24"/>
                <w:szCs w:val="24"/>
              </w:rPr>
              <w:t>lních změn stavby včetně všech potřebných stanovisek odborníků jednotlivých činností a pracovníků určených k vyjádření dle platné směrnice příkazce</w:t>
            </w:r>
          </w:p>
          <w:p w14:paraId="05B35B5B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účastnit se odevzdávání a přebírání prací od podzhotovitelů</w:t>
            </w:r>
          </w:p>
          <w:p w14:paraId="4CC45533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sledovat řádné vedení stavebního příp. montážního deníku</w:t>
            </w:r>
          </w:p>
          <w:p w14:paraId="230566A3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 xml:space="preserve">- účastnit se podle pokynu příkazce informačních schůzek o průběhu stavby příkazcem zajišťovaných </w:t>
            </w:r>
          </w:p>
          <w:p w14:paraId="213F3E47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dbát na systematické doplňování dokumentace, podle které se stavba realizuje, evidovat dokumentace dokončených částí stavby</w:t>
            </w:r>
          </w:p>
          <w:p w14:paraId="1244F313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spolupracovat s projektantem stavby i s jeho pracovníky provádějícími autorský dozor</w:t>
            </w:r>
          </w:p>
          <w:p w14:paraId="7A2DEC1A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sledovat předepsané zkoušky materiálů, konstrukcí a prací, provádět kontrolu jejich výsledků a vyžadovat doklady o kvalitě prací a dodávek</w:t>
            </w:r>
          </w:p>
          <w:p w14:paraId="4EC7973B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spolupracovat se zhotovitelem stavebních prací na odvrácení nebo omezení škod při ohrožení stavby živelnými událostmi</w:t>
            </w:r>
          </w:p>
          <w:p w14:paraId="5A01A0F4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 připravit zprávu pro před-přejímací pochůzku (změny, vady, nedodělky)</w:t>
            </w:r>
          </w:p>
          <w:p w14:paraId="0B888769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připravit zápis přejímky stavby (nebo objektu) včetně všech dokladů</w:t>
            </w:r>
          </w:p>
          <w:p w14:paraId="0FBF87A9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účastnit se kontrolních prohlídek v souladu s § 133 Zákona č. 183/2006 Sb. – stavební zákon, v platném znění</w:t>
            </w:r>
          </w:p>
          <w:p w14:paraId="41C420EE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</w:p>
          <w:p w14:paraId="1C302FB1" w14:textId="77777777" w:rsidR="00AF3F52" w:rsidRPr="00AF3F52" w:rsidRDefault="00AF3F52" w:rsidP="00AF3F52">
            <w:pPr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 xml:space="preserve">     b) po skončení stavby:</w:t>
            </w:r>
          </w:p>
          <w:p w14:paraId="7FA25BFC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zajistit odevzdání stavby mezi zhotovitelem stavebních prací a majetkovým správcem</w:t>
            </w:r>
          </w:p>
          <w:p w14:paraId="12AFC5B7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kontrolovat odstraňování vad a nedodělků zjištěných při převzetí v dohodnutých termínech</w:t>
            </w:r>
          </w:p>
          <w:p w14:paraId="7C40B7FF" w14:textId="77777777" w:rsidR="00AF3F52" w:rsidRPr="00AF3F52" w:rsidRDefault="00AF3F52" w:rsidP="00AF3F52">
            <w:pPr>
              <w:ind w:left="567" w:hanging="141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>- provést kontrolu vyklizení staveniště zhotovitelem</w:t>
            </w:r>
          </w:p>
          <w:p w14:paraId="59DFAC85" w14:textId="77777777" w:rsidR="00AF3F52" w:rsidRPr="00AF3F52" w:rsidRDefault="00AF3F52" w:rsidP="00AF3F52">
            <w:pPr>
              <w:ind w:firstLine="426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 xml:space="preserve">  Rozsah činností může být dále podle potřeby upraven instrukcemi zástupce příkazce odpovědného    </w:t>
            </w:r>
          </w:p>
          <w:p w14:paraId="74EA3FF5" w14:textId="77777777" w:rsidR="00AF3F52" w:rsidRPr="00AF3F52" w:rsidRDefault="00AF3F52" w:rsidP="00AF3F52">
            <w:pPr>
              <w:ind w:firstLine="426"/>
              <w:jc w:val="both"/>
              <w:rPr>
                <w:sz w:val="24"/>
                <w:szCs w:val="24"/>
              </w:rPr>
            </w:pPr>
            <w:r w:rsidRPr="00AF3F52">
              <w:rPr>
                <w:sz w:val="24"/>
                <w:szCs w:val="24"/>
              </w:rPr>
              <w:t xml:space="preserve">  jednat ve věcech technických.</w:t>
            </w:r>
            <w:r w:rsidRPr="00AF3F52">
              <w:rPr>
                <w:sz w:val="24"/>
                <w:szCs w:val="24"/>
              </w:rPr>
              <w:tab/>
            </w:r>
          </w:p>
          <w:p w14:paraId="59A48B72" w14:textId="77777777" w:rsidR="00AF3F52" w:rsidRPr="00AF3F52" w:rsidRDefault="00AF3F52" w:rsidP="00AF3F52">
            <w:pPr>
              <w:jc w:val="both"/>
              <w:rPr>
                <w:sz w:val="24"/>
                <w:szCs w:val="24"/>
              </w:rPr>
            </w:pPr>
          </w:p>
          <w:p w14:paraId="18866E8E" w14:textId="77777777" w:rsidR="00AF3F52" w:rsidRPr="00AF3F52" w:rsidRDefault="00AF3F52" w:rsidP="00AF3F52">
            <w:pPr>
              <w:rPr>
                <w:sz w:val="24"/>
                <w:szCs w:val="24"/>
              </w:rPr>
            </w:pPr>
          </w:p>
          <w:p w14:paraId="784C04C4" w14:textId="77777777" w:rsidR="00AF3F52" w:rsidRDefault="00AF3F52" w:rsidP="00AF3F52">
            <w:pPr>
              <w:jc w:val="both"/>
              <w:rPr>
                <w:sz w:val="24"/>
                <w:szCs w:val="24"/>
              </w:rPr>
            </w:pPr>
          </w:p>
          <w:p w14:paraId="3FCDB8C4" w14:textId="77777777" w:rsidR="00AF3F52" w:rsidRDefault="00AF3F52" w:rsidP="00AF3F52">
            <w:pPr>
              <w:jc w:val="both"/>
              <w:rPr>
                <w:sz w:val="24"/>
                <w:szCs w:val="24"/>
              </w:rPr>
            </w:pPr>
          </w:p>
          <w:p w14:paraId="5236135D" w14:textId="749A32FB" w:rsidR="00AF3F52" w:rsidRDefault="00AF3F52" w:rsidP="00AF3F52">
            <w:pPr>
              <w:jc w:val="both"/>
              <w:rPr>
                <w:sz w:val="24"/>
                <w:szCs w:val="24"/>
              </w:rPr>
            </w:pPr>
          </w:p>
          <w:p w14:paraId="5AA2C7AF" w14:textId="77777777" w:rsidR="001F6034" w:rsidRPr="00AF3F52" w:rsidRDefault="001F6034" w:rsidP="00AF3F52">
            <w:pPr>
              <w:jc w:val="both"/>
              <w:rPr>
                <w:sz w:val="24"/>
                <w:szCs w:val="24"/>
              </w:rPr>
            </w:pPr>
          </w:p>
          <w:p w14:paraId="3B39582F" w14:textId="77777777" w:rsidR="006808EE" w:rsidRPr="00AF3F52" w:rsidRDefault="006808EE" w:rsidP="00AF3F52">
            <w:pPr>
              <w:rPr>
                <w:sz w:val="24"/>
                <w:szCs w:val="24"/>
              </w:rPr>
            </w:pPr>
          </w:p>
        </w:tc>
        <w:tc>
          <w:tcPr>
            <w:tcW w:w="4533" w:type="dxa"/>
          </w:tcPr>
          <w:p w14:paraId="5EB5A304" w14:textId="77777777" w:rsidR="006808EE" w:rsidRPr="00AF3F52" w:rsidRDefault="006808EE" w:rsidP="00381755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793BC87C" w14:textId="77777777" w:rsidR="006808EE" w:rsidRPr="00AF3F52" w:rsidRDefault="006808EE" w:rsidP="00381755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05873CCE" w14:textId="77777777" w:rsidR="006808EE" w:rsidRPr="00AF3F52" w:rsidRDefault="006808EE" w:rsidP="00381755">
            <w:pPr>
              <w:spacing w:before="120" w:after="120" w:line="276" w:lineRule="auto"/>
              <w:rPr>
                <w:sz w:val="24"/>
                <w:szCs w:val="24"/>
              </w:rPr>
            </w:pPr>
          </w:p>
          <w:p w14:paraId="303452C6" w14:textId="77777777" w:rsidR="006808EE" w:rsidRPr="00AF3F52" w:rsidRDefault="006808EE" w:rsidP="00381755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</w:tbl>
    <w:p w14:paraId="4E814B3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12F7EFB" w14:textId="7F91C0A8" w:rsidR="006808EE" w:rsidRDefault="00AF3F52" w:rsidP="006808EE">
      <w:pPr>
        <w:spacing w:before="120" w:after="12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Soupis prací: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566"/>
        <w:gridCol w:w="851"/>
        <w:gridCol w:w="960"/>
        <w:gridCol w:w="1308"/>
        <w:gridCol w:w="1700"/>
      </w:tblGrid>
      <w:tr w:rsidR="00AF3F52" w:rsidRPr="00AF3F52" w14:paraId="6921D931" w14:textId="77777777" w:rsidTr="00AF3F52">
        <w:trPr>
          <w:trHeight w:val="1275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EA196" w14:textId="77777777" w:rsidR="00AF3F52" w:rsidRPr="00AF3F52" w:rsidRDefault="00AF3F52" w:rsidP="00AF3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Soupis činností stavebního dozoru během přípravy realizace a vlastní výstavby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9D8D2" w14:textId="7777777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FEEB1" w14:textId="36B8BD30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poč.</w:t>
            </w:r>
            <w:r w:rsidR="001F6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4E68D" w14:textId="77777777" w:rsidR="00AF3F52" w:rsidRPr="00AF3F52" w:rsidRDefault="00AF3F52" w:rsidP="00AF3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mj.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786E" w14:textId="7777777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AF3F52" w:rsidRPr="00AF3F52" w14:paraId="0BC4305F" w14:textId="77777777" w:rsidTr="001F6034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6B5" w14:textId="7777777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DBE6" w14:textId="77777777" w:rsidR="00AF3F52" w:rsidRPr="00AF3F52" w:rsidRDefault="00AF3F52" w:rsidP="00AF3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Předání staveniště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E0D7" w14:textId="20F1AF1A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9396" w14:textId="71388921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C886" w14:textId="6CE390D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66CA" w14:textId="5502F0FA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F3F52" w:rsidRPr="00AF3F52" w14:paraId="61AAC7E0" w14:textId="77777777" w:rsidTr="001F6034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6FF4" w14:textId="7777777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8309" w14:textId="77777777" w:rsidR="00AF3F52" w:rsidRPr="00AF3F52" w:rsidRDefault="00AF3F52" w:rsidP="00AF3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Odsouhlasení TP a KZP stavby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CE3B" w14:textId="1476C8CC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8A32" w14:textId="257BABB3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750E" w14:textId="44B9C30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9292" w14:textId="72D73283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F3F52" w:rsidRPr="00AF3F52" w14:paraId="4A479F28" w14:textId="77777777" w:rsidTr="001F6034">
        <w:trPr>
          <w:trHeight w:val="7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B83C" w14:textId="7777777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CA2A" w14:textId="26DCBF7B" w:rsidR="00AF3F52" w:rsidRPr="00AF3F52" w:rsidRDefault="00AF3F52" w:rsidP="00AF3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Kontrola provádění prací na  staveništi a zjišťování zda jsou dodržovány TP, TKP. PDPS. Organizace Kontrolních dnů apod</w:t>
            </w:r>
            <w:r w:rsidR="001F6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642D" w14:textId="4C5492D0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1805" w14:textId="7485CE9F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5374" w14:textId="62F88EA9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66899" w14:textId="2C01FAA0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F3F52" w:rsidRPr="00AF3F52" w14:paraId="1BED1F32" w14:textId="77777777" w:rsidTr="001F6034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8C0" w14:textId="7777777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C1B7" w14:textId="77777777" w:rsidR="00AF3F52" w:rsidRPr="00AF3F52" w:rsidRDefault="00AF3F52" w:rsidP="00AF3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Provedení vyhodnocení stavby a kontrola závěrečné zprávy zhotovitele a převzetí stavby zpět k užívání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D334B" w14:textId="6AAA1DBC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5855C" w14:textId="04A28A8E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EE57" w14:textId="4D1A4A55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796A3B" w14:textId="63910283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F3F52" w:rsidRPr="00AF3F52" w14:paraId="2C6833C6" w14:textId="77777777" w:rsidTr="00AF3F52">
        <w:trPr>
          <w:trHeight w:val="315"/>
        </w:trPr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278C2" w14:textId="77777777" w:rsidR="00AF3F52" w:rsidRPr="00AF3F52" w:rsidRDefault="00AF3F52" w:rsidP="00AF3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za výkon TDS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FA224" w14:textId="4D06D8ED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BF5B3" w14:textId="7777777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FDBDD4" w14:textId="77777777" w:rsidR="00AF3F52" w:rsidRPr="00AF3F52" w:rsidRDefault="00AF3F52" w:rsidP="00AF3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14:paraId="4B347727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CBEA6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7EB9BED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4C9A346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89758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26F296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D94B22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C82880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6A9984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34317C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FF34A0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6B3B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D43CB0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028EF3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D6E3BE4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8FC801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9CB6366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AB126DC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92C817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9277A54" w14:textId="77777777" w:rsidR="006808EE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highlight w:val="cyan"/>
          <w:u w:val="single"/>
        </w:rPr>
      </w:pPr>
    </w:p>
    <w:p w14:paraId="1598E020" w14:textId="77777777" w:rsidR="00AF3F52" w:rsidRDefault="00AF3F52" w:rsidP="006808EE">
      <w:pPr>
        <w:spacing w:before="120" w:after="120" w:line="276" w:lineRule="auto"/>
        <w:rPr>
          <w:rFonts w:cs="Times New Roman"/>
          <w:b/>
          <w:sz w:val="36"/>
          <w:szCs w:val="36"/>
          <w:highlight w:val="cyan"/>
          <w:u w:val="single"/>
        </w:rPr>
      </w:pPr>
    </w:p>
    <w:p w14:paraId="24DADF1A" w14:textId="77777777" w:rsidR="00AF3F52" w:rsidRDefault="00AF3F52" w:rsidP="006808EE">
      <w:pPr>
        <w:spacing w:before="120" w:after="120" w:line="276" w:lineRule="auto"/>
        <w:rPr>
          <w:rFonts w:cs="Times New Roman"/>
          <w:b/>
          <w:sz w:val="36"/>
          <w:szCs w:val="36"/>
          <w:highlight w:val="cyan"/>
          <w:u w:val="single"/>
        </w:rPr>
      </w:pPr>
    </w:p>
    <w:p w14:paraId="0A8CD3E4" w14:textId="0E2AB0F5" w:rsidR="006808EE" w:rsidRPr="001F6034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u w:val="single"/>
        </w:rPr>
      </w:pPr>
      <w:r w:rsidRPr="001F6034">
        <w:rPr>
          <w:rFonts w:cs="Times New Roman"/>
          <w:b/>
          <w:sz w:val="36"/>
          <w:szCs w:val="36"/>
          <w:u w:val="single"/>
        </w:rPr>
        <w:lastRenderedPageBreak/>
        <w:t xml:space="preserve">Příloha č. 2 </w:t>
      </w:r>
      <w:r w:rsidR="00F3641E" w:rsidRPr="001F6034">
        <w:rPr>
          <w:rFonts w:cs="Times New Roman"/>
          <w:b/>
          <w:sz w:val="36"/>
          <w:szCs w:val="36"/>
          <w:u w:val="single"/>
        </w:rPr>
        <w:t>–</w:t>
      </w:r>
      <w:r w:rsidRPr="001F6034">
        <w:rPr>
          <w:rFonts w:cs="Times New Roman"/>
          <w:b/>
          <w:sz w:val="36"/>
          <w:szCs w:val="36"/>
          <w:u w:val="single"/>
        </w:rPr>
        <w:t xml:space="preserve"> </w:t>
      </w:r>
      <w:r w:rsidR="00F3641E" w:rsidRPr="001F6034">
        <w:rPr>
          <w:rFonts w:cs="Times New Roman"/>
          <w:b/>
          <w:sz w:val="36"/>
          <w:szCs w:val="36"/>
          <w:u w:val="single"/>
        </w:rPr>
        <w:t>Položkový rozpis ceny</w:t>
      </w:r>
    </w:p>
    <w:p w14:paraId="57A9907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233"/>
        <w:tblW w:w="8611" w:type="dxa"/>
        <w:tblInd w:w="0" w:type="dxa"/>
        <w:tblCellMar>
          <w:top w:w="24" w:type="dxa"/>
          <w:left w:w="69" w:type="dxa"/>
          <w:right w:w="135" w:type="dxa"/>
        </w:tblCellMar>
        <w:tblLook w:val="04A0" w:firstRow="1" w:lastRow="0" w:firstColumn="1" w:lastColumn="0" w:noHBand="0" w:noVBand="1"/>
      </w:tblPr>
      <w:tblGrid>
        <w:gridCol w:w="4056"/>
        <w:gridCol w:w="808"/>
        <w:gridCol w:w="926"/>
        <w:gridCol w:w="1226"/>
        <w:gridCol w:w="1595"/>
      </w:tblGrid>
      <w:tr w:rsidR="00871A7F" w:rsidRPr="00871A7F" w14:paraId="3C5FC7F4" w14:textId="77777777" w:rsidTr="00871A7F">
        <w:trPr>
          <w:trHeight w:val="1229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118A6" w14:textId="77777777" w:rsidR="00871A7F" w:rsidRPr="00871A7F" w:rsidRDefault="00871A7F" w:rsidP="00871A7F">
            <w:pPr>
              <w:spacing w:line="259" w:lineRule="auto"/>
              <w:ind w:left="10" w:firstLine="5"/>
              <w:rPr>
                <w:rFonts w:eastAsia="Times New Roman" w:cs="Times New Roman"/>
                <w:color w:val="000000"/>
                <w:sz w:val="22"/>
              </w:rPr>
            </w:pPr>
            <w:r w:rsidRPr="00871A7F">
              <w:rPr>
                <w:rFonts w:eastAsia="Times New Roman" w:cs="Times New Roman"/>
                <w:color w:val="000000"/>
                <w:sz w:val="24"/>
              </w:rPr>
              <w:t>Soupis činností stavebního dozoru během přípravy realizace a vlastni výstavby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626A" w14:textId="77777777" w:rsidR="00524F18" w:rsidRDefault="00524F18" w:rsidP="00871A7F">
            <w:pPr>
              <w:spacing w:after="160" w:line="259" w:lineRule="auto"/>
              <w:rPr>
                <w:rFonts w:eastAsia="Times New Roman" w:cs="Times New Roman"/>
                <w:color w:val="000000"/>
                <w:sz w:val="22"/>
              </w:rPr>
            </w:pPr>
          </w:p>
          <w:p w14:paraId="5F8BA3D2" w14:textId="2F498BD6" w:rsidR="00871A7F" w:rsidRPr="00871A7F" w:rsidRDefault="00524F18" w:rsidP="00871A7F">
            <w:pPr>
              <w:spacing w:after="160" w:line="259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2"/>
              </w:rPr>
              <w:t>m.j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>.</w:t>
            </w:r>
            <w:proofErr w:type="gram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89186" w14:textId="77777777" w:rsidR="00871A7F" w:rsidRPr="00871A7F" w:rsidRDefault="00871A7F" w:rsidP="00871A7F">
            <w:pPr>
              <w:spacing w:line="259" w:lineRule="auto"/>
              <w:ind w:left="62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proofErr w:type="gramStart"/>
            <w:r w:rsidRPr="00871A7F">
              <w:rPr>
                <w:rFonts w:eastAsia="Times New Roman" w:cs="Times New Roman"/>
                <w:color w:val="000000"/>
                <w:sz w:val="22"/>
              </w:rPr>
              <w:t>poč.mj</w:t>
            </w:r>
            <w:proofErr w:type="spellEnd"/>
            <w:proofErr w:type="gramEnd"/>
            <w:r w:rsidRPr="00871A7F">
              <w:rPr>
                <w:rFonts w:eastAsia="Times New Roman" w:cs="Times New Roman"/>
                <w:color w:val="000000"/>
                <w:sz w:val="22"/>
              </w:rPr>
              <w:t>,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37A2D" w14:textId="77777777" w:rsidR="00871A7F" w:rsidRPr="00871A7F" w:rsidRDefault="00871A7F" w:rsidP="00871A7F">
            <w:pPr>
              <w:spacing w:line="259" w:lineRule="auto"/>
              <w:ind w:left="2"/>
              <w:rPr>
                <w:rFonts w:eastAsia="Times New Roman" w:cs="Times New Roman"/>
                <w:color w:val="000000"/>
                <w:sz w:val="22"/>
              </w:rPr>
            </w:pPr>
            <w:r w:rsidRPr="00871A7F">
              <w:rPr>
                <w:rFonts w:eastAsia="Times New Roman" w:cs="Times New Roman"/>
                <w:color w:val="000000"/>
                <w:sz w:val="24"/>
              </w:rPr>
              <w:t xml:space="preserve">cena </w:t>
            </w:r>
            <w:proofErr w:type="gramStart"/>
            <w:r w:rsidRPr="00871A7F">
              <w:rPr>
                <w:rFonts w:eastAsia="Times New Roman" w:cs="Times New Roman"/>
                <w:color w:val="000000"/>
                <w:sz w:val="24"/>
              </w:rPr>
              <w:t>za</w:t>
            </w:r>
            <w:proofErr w:type="gramEnd"/>
            <w:r w:rsidRPr="00871A7F">
              <w:rPr>
                <w:rFonts w:eastAsia="Times New Roman" w:cs="Times New Roman"/>
                <w:color w:val="000000"/>
                <w:sz w:val="24"/>
              </w:rPr>
              <w:t xml:space="preserve"> mj.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2E889" w14:textId="77777777" w:rsidR="00871A7F" w:rsidRPr="00871A7F" w:rsidRDefault="00871A7F" w:rsidP="00871A7F">
            <w:pPr>
              <w:spacing w:line="259" w:lineRule="auto"/>
              <w:ind w:left="49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71A7F">
              <w:rPr>
                <w:rFonts w:eastAsia="Times New Roman" w:cs="Times New Roman"/>
                <w:color w:val="000000"/>
                <w:sz w:val="22"/>
              </w:rPr>
              <w:t>celkem</w:t>
            </w:r>
          </w:p>
        </w:tc>
      </w:tr>
      <w:tr w:rsidR="00871A7F" w:rsidRPr="00871A7F" w14:paraId="70D95708" w14:textId="77777777" w:rsidTr="00871A7F">
        <w:trPr>
          <w:trHeight w:val="30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6C2F8" w14:textId="77777777" w:rsidR="00871A7F" w:rsidRPr="00871A7F" w:rsidRDefault="00871A7F" w:rsidP="00871A7F">
            <w:pPr>
              <w:spacing w:line="259" w:lineRule="auto"/>
              <w:ind w:left="14"/>
              <w:rPr>
                <w:rFonts w:eastAsia="Times New Roman" w:cs="Times New Roman"/>
                <w:color w:val="000000"/>
                <w:sz w:val="22"/>
              </w:rPr>
            </w:pPr>
            <w:r w:rsidRPr="00871A7F">
              <w:rPr>
                <w:rFonts w:eastAsia="Times New Roman" w:cs="Times New Roman"/>
                <w:color w:val="000000"/>
                <w:sz w:val="22"/>
              </w:rPr>
              <w:t>Předáni staveniště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26A13" w14:textId="4DEA20FD" w:rsidR="00871A7F" w:rsidRPr="00871A7F" w:rsidRDefault="00871A7F" w:rsidP="00871A7F">
            <w:pPr>
              <w:spacing w:line="259" w:lineRule="auto"/>
              <w:ind w:left="63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4DC5" w14:textId="358BC3FA" w:rsidR="00871A7F" w:rsidRPr="00871A7F" w:rsidRDefault="00871A7F" w:rsidP="00871A7F">
            <w:pPr>
              <w:spacing w:line="259" w:lineRule="auto"/>
              <w:ind w:left="58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4381" w14:textId="4CA01D2A" w:rsidR="00524F18" w:rsidRPr="00871A7F" w:rsidRDefault="00524F18" w:rsidP="00524F18">
            <w:pPr>
              <w:spacing w:line="259" w:lineRule="auto"/>
              <w:ind w:left="113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A6388" w14:textId="765F99E7" w:rsidR="00871A7F" w:rsidRPr="00871A7F" w:rsidRDefault="00871A7F" w:rsidP="00871A7F">
            <w:pPr>
              <w:spacing w:line="259" w:lineRule="auto"/>
              <w:ind w:left="58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71A7F" w:rsidRPr="00871A7F" w14:paraId="20D1096C" w14:textId="77777777" w:rsidTr="00871A7F">
        <w:trPr>
          <w:trHeight w:val="289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CCD35" w14:textId="77777777" w:rsidR="00871A7F" w:rsidRPr="00871A7F" w:rsidRDefault="00871A7F" w:rsidP="00871A7F">
            <w:pPr>
              <w:spacing w:line="259" w:lineRule="auto"/>
              <w:ind w:left="5"/>
              <w:rPr>
                <w:rFonts w:eastAsia="Times New Roman" w:cs="Times New Roman"/>
                <w:color w:val="000000"/>
                <w:sz w:val="22"/>
              </w:rPr>
            </w:pPr>
            <w:r w:rsidRPr="00871A7F">
              <w:rPr>
                <w:rFonts w:eastAsia="Times New Roman" w:cs="Times New Roman"/>
                <w:color w:val="000000"/>
                <w:sz w:val="22"/>
              </w:rPr>
              <w:t>Odsouhlasení TP a KZP stavby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95B79" w14:textId="4628CEE8" w:rsidR="00871A7F" w:rsidRPr="00871A7F" w:rsidRDefault="00871A7F" w:rsidP="00871A7F">
            <w:pPr>
              <w:spacing w:line="259" w:lineRule="auto"/>
              <w:ind w:left="63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F60A" w14:textId="417F27DB" w:rsidR="00871A7F" w:rsidRPr="00871A7F" w:rsidRDefault="00871A7F" w:rsidP="00871A7F">
            <w:pPr>
              <w:spacing w:line="259" w:lineRule="auto"/>
              <w:ind w:left="58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9C99B" w14:textId="6F91A54B" w:rsidR="00871A7F" w:rsidRPr="00871A7F" w:rsidRDefault="00871A7F" w:rsidP="00871A7F">
            <w:pPr>
              <w:spacing w:line="259" w:lineRule="auto"/>
              <w:ind w:left="113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0F54" w14:textId="2A007B94" w:rsidR="00871A7F" w:rsidRPr="00871A7F" w:rsidRDefault="00871A7F" w:rsidP="00871A7F">
            <w:pPr>
              <w:spacing w:line="259" w:lineRule="auto"/>
              <w:ind w:left="53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71A7F" w:rsidRPr="00871A7F" w14:paraId="78677A98" w14:textId="77777777" w:rsidTr="00871A7F">
        <w:trPr>
          <w:trHeight w:val="738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32A09" w14:textId="336F3F10" w:rsidR="00871A7F" w:rsidRPr="00871A7F" w:rsidRDefault="00871A7F" w:rsidP="00871A7F">
            <w:pPr>
              <w:spacing w:line="259" w:lineRule="auto"/>
              <w:ind w:right="412" w:firstLine="10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871A7F">
              <w:rPr>
                <w:rFonts w:eastAsia="Times New Roman" w:cs="Times New Roman"/>
                <w:color w:val="000000"/>
                <w:sz w:val="22"/>
              </w:rPr>
              <w:t>Kontrola provádění prací na staveništi a zjišťování zda jsou dodržovány TP, T KP. PDPS. Organizace Kontrolních dnů apod</w:t>
            </w:r>
            <w:r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05EC9" w14:textId="4EDA4112" w:rsidR="00871A7F" w:rsidRPr="00871A7F" w:rsidRDefault="00871A7F" w:rsidP="00871A7F">
            <w:pPr>
              <w:spacing w:line="259" w:lineRule="auto"/>
              <w:ind w:left="58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0EB62" w14:textId="50BBC751" w:rsidR="00871A7F" w:rsidRPr="00871A7F" w:rsidRDefault="00871A7F" w:rsidP="00871A7F">
            <w:pPr>
              <w:spacing w:line="259" w:lineRule="auto"/>
              <w:ind w:left="58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2E871" w14:textId="72C6D3E4" w:rsidR="00871A7F" w:rsidRPr="00871A7F" w:rsidRDefault="00871A7F" w:rsidP="00871A7F">
            <w:pPr>
              <w:spacing w:line="259" w:lineRule="auto"/>
              <w:ind w:left="8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C08B8" w14:textId="269665A9" w:rsidR="00871A7F" w:rsidRPr="00871A7F" w:rsidRDefault="00871A7F" w:rsidP="00871A7F">
            <w:pPr>
              <w:spacing w:line="259" w:lineRule="auto"/>
              <w:ind w:left="63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71A7F" w:rsidRPr="00871A7F" w14:paraId="6BAE65C4" w14:textId="77777777" w:rsidTr="00871A7F">
        <w:trPr>
          <w:trHeight w:val="67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70DE2" w14:textId="55959186" w:rsidR="00871A7F" w:rsidRPr="00871A7F" w:rsidRDefault="00871A7F" w:rsidP="00871A7F">
            <w:pPr>
              <w:spacing w:line="259" w:lineRule="auto"/>
              <w:ind w:right="383" w:firstLine="5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871A7F">
              <w:rPr>
                <w:rFonts w:eastAsia="Times New Roman" w:cs="Times New Roman"/>
                <w:color w:val="000000"/>
                <w:sz w:val="22"/>
              </w:rPr>
              <w:t xml:space="preserve">Provedení vyhodnocení stavby a kontrola závěrečné zprávy </w:t>
            </w:r>
            <w:r>
              <w:rPr>
                <w:rFonts w:eastAsia="Times New Roman" w:cs="Times New Roman"/>
                <w:color w:val="000000"/>
                <w:sz w:val="22"/>
              </w:rPr>
              <w:t>zhotovitele a převzetí staveb zpět k užívání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C69E6" w14:textId="61CBE6CA" w:rsidR="00871A7F" w:rsidRPr="00871A7F" w:rsidRDefault="00871A7F" w:rsidP="00871A7F">
            <w:pPr>
              <w:spacing w:line="259" w:lineRule="auto"/>
              <w:ind w:left="53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76B61" w14:textId="6C53B176" w:rsidR="00871A7F" w:rsidRPr="00871A7F" w:rsidRDefault="00871A7F" w:rsidP="00871A7F">
            <w:pPr>
              <w:spacing w:line="259" w:lineRule="auto"/>
              <w:ind w:left="43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F455F" w14:textId="4AE5C8C3" w:rsidR="00871A7F" w:rsidRPr="00871A7F" w:rsidRDefault="00871A7F" w:rsidP="00871A7F">
            <w:pPr>
              <w:spacing w:line="259" w:lineRule="auto"/>
              <w:ind w:left="8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5453F" w14:textId="25FF36CB" w:rsidR="00871A7F" w:rsidRPr="00871A7F" w:rsidRDefault="00871A7F" w:rsidP="00871A7F">
            <w:pPr>
              <w:spacing w:line="259" w:lineRule="auto"/>
              <w:ind w:left="53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71A7F" w:rsidRPr="00871A7F" w14:paraId="26DFB21C" w14:textId="77777777" w:rsidTr="00871A7F">
        <w:trPr>
          <w:trHeight w:val="317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2EEEA" w14:textId="77777777" w:rsidR="00871A7F" w:rsidRPr="00871A7F" w:rsidRDefault="00871A7F" w:rsidP="00871A7F">
            <w:pPr>
              <w:spacing w:line="259" w:lineRule="auto"/>
              <w:rPr>
                <w:rFonts w:eastAsia="Times New Roman" w:cs="Times New Roman"/>
                <w:color w:val="000000"/>
                <w:sz w:val="22"/>
              </w:rPr>
            </w:pPr>
            <w:r w:rsidRPr="00871A7F">
              <w:rPr>
                <w:rFonts w:eastAsia="Times New Roman" w:cs="Times New Roman"/>
                <w:color w:val="000000"/>
                <w:sz w:val="24"/>
              </w:rPr>
              <w:t>celkem za výkon TDS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145142" w14:textId="77777777" w:rsidR="00871A7F" w:rsidRPr="00871A7F" w:rsidRDefault="00871A7F" w:rsidP="00871A7F">
            <w:pPr>
              <w:spacing w:after="160" w:line="259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E5168" w14:textId="378E4520" w:rsidR="00871A7F" w:rsidRPr="00524F18" w:rsidRDefault="00871A7F" w:rsidP="00871A7F">
            <w:pPr>
              <w:spacing w:line="259" w:lineRule="auto"/>
              <w:ind w:left="48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5C2FE" w14:textId="51DA1CC3" w:rsidR="00871A7F" w:rsidRPr="00524F18" w:rsidRDefault="00871A7F" w:rsidP="00871A7F">
            <w:pPr>
              <w:spacing w:line="259" w:lineRule="auto"/>
              <w:ind w:left="8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7DAB" w14:textId="0551072E" w:rsidR="00871A7F" w:rsidRPr="00524F18" w:rsidRDefault="006A51D7" w:rsidP="00871A7F">
            <w:pPr>
              <w:spacing w:line="259" w:lineRule="auto"/>
              <w:ind w:left="73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119.</w:t>
            </w:r>
            <w:r w:rsidR="00871A7F" w:rsidRPr="00524F18">
              <w:rPr>
                <w:rFonts w:ascii="Calibri" w:eastAsia="Calibri" w:hAnsi="Calibri" w:cs="Calibri"/>
                <w:b/>
                <w:color w:val="000000"/>
                <w:sz w:val="22"/>
              </w:rPr>
              <w:t>000,-</w:t>
            </w:r>
          </w:p>
        </w:tc>
      </w:tr>
    </w:tbl>
    <w:p w14:paraId="1F181F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B866ED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F56745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2B9DF6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FBD7739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2938DA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1AD8E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A3E520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3DCB8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5A83CB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EA1B358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sectPr w:rsidR="006808EE" w:rsidSect="00AF3F52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6F75" w14:textId="77777777" w:rsidR="006F302C" w:rsidRDefault="006F302C" w:rsidP="00604890">
      <w:pPr>
        <w:spacing w:after="0" w:line="240" w:lineRule="auto"/>
      </w:pPr>
      <w:r>
        <w:separator/>
      </w:r>
    </w:p>
  </w:endnote>
  <w:endnote w:type="continuationSeparator" w:id="0">
    <w:p w14:paraId="65FC6789" w14:textId="77777777" w:rsidR="006F302C" w:rsidRDefault="006F302C" w:rsidP="00604890">
      <w:pPr>
        <w:spacing w:after="0" w:line="240" w:lineRule="auto"/>
      </w:pPr>
      <w:r>
        <w:continuationSeparator/>
      </w:r>
    </w:p>
  </w:endnote>
  <w:endnote w:type="continuationNotice" w:id="1">
    <w:p w14:paraId="08B7A552" w14:textId="77777777" w:rsidR="00CB3AB0" w:rsidRDefault="00CB3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73FA8F87" w14:textId="5964D397" w:rsidR="00171F33" w:rsidRDefault="00171F33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D37D5F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D37D5F">
              <w:rPr>
                <w:rFonts w:cs="Times New Roman"/>
                <w:b/>
                <w:bCs/>
                <w:noProof/>
                <w:sz w:val="16"/>
                <w:szCs w:val="16"/>
              </w:rPr>
              <w:t>5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6122B4" w14:textId="77777777" w:rsidR="00171F33" w:rsidRDefault="00171F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536CCC64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D37D5F">
              <w:rPr>
                <w:rFonts w:cs="Times New Roman"/>
                <w:b/>
                <w:bCs/>
                <w:noProof/>
                <w:sz w:val="16"/>
                <w:szCs w:val="16"/>
              </w:rPr>
              <w:t>5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D37D5F">
              <w:rPr>
                <w:rFonts w:cs="Times New Roman"/>
                <w:b/>
                <w:bCs/>
                <w:noProof/>
                <w:sz w:val="16"/>
                <w:szCs w:val="16"/>
              </w:rPr>
              <w:t>5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CFF0" w14:textId="77777777" w:rsidR="006F302C" w:rsidRDefault="006F302C" w:rsidP="00604890">
      <w:pPr>
        <w:spacing w:after="0" w:line="240" w:lineRule="auto"/>
      </w:pPr>
      <w:r>
        <w:separator/>
      </w:r>
    </w:p>
  </w:footnote>
  <w:footnote w:type="continuationSeparator" w:id="0">
    <w:p w14:paraId="18D0A316" w14:textId="77777777" w:rsidR="006F302C" w:rsidRDefault="006F302C" w:rsidP="00604890">
      <w:pPr>
        <w:spacing w:after="0" w:line="240" w:lineRule="auto"/>
      </w:pPr>
      <w:r>
        <w:continuationSeparator/>
      </w:r>
    </w:p>
  </w:footnote>
  <w:footnote w:type="continuationNotice" w:id="1">
    <w:p w14:paraId="19B7E576" w14:textId="77777777" w:rsidR="00CB3AB0" w:rsidRDefault="00CB3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38F7FC12" w:rsidR="00EC18C0" w:rsidRPr="001F6034" w:rsidRDefault="00EC18C0" w:rsidP="001F60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8D"/>
    <w:rsid w:val="000C7D9E"/>
    <w:rsid w:val="000D69FD"/>
    <w:rsid w:val="000F3C5A"/>
    <w:rsid w:val="00105E6A"/>
    <w:rsid w:val="00132F67"/>
    <w:rsid w:val="00153D94"/>
    <w:rsid w:val="00171F33"/>
    <w:rsid w:val="00191B5E"/>
    <w:rsid w:val="0019503E"/>
    <w:rsid w:val="001A2FBE"/>
    <w:rsid w:val="001E480D"/>
    <w:rsid w:val="001E518F"/>
    <w:rsid w:val="001F6034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D270A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B1430"/>
    <w:rsid w:val="004C6F4B"/>
    <w:rsid w:val="004D5C72"/>
    <w:rsid w:val="00524F18"/>
    <w:rsid w:val="005274AA"/>
    <w:rsid w:val="00542302"/>
    <w:rsid w:val="00565D34"/>
    <w:rsid w:val="005845D4"/>
    <w:rsid w:val="00585166"/>
    <w:rsid w:val="005A7536"/>
    <w:rsid w:val="005C65D9"/>
    <w:rsid w:val="005D5D80"/>
    <w:rsid w:val="005E35AD"/>
    <w:rsid w:val="006024F2"/>
    <w:rsid w:val="00604890"/>
    <w:rsid w:val="00607143"/>
    <w:rsid w:val="00650E0B"/>
    <w:rsid w:val="00672DAC"/>
    <w:rsid w:val="006808EE"/>
    <w:rsid w:val="0069013D"/>
    <w:rsid w:val="006A51D7"/>
    <w:rsid w:val="006C0BB9"/>
    <w:rsid w:val="006C39DB"/>
    <w:rsid w:val="006C5B24"/>
    <w:rsid w:val="006C6A15"/>
    <w:rsid w:val="006D696C"/>
    <w:rsid w:val="006F302C"/>
    <w:rsid w:val="00760BE2"/>
    <w:rsid w:val="00765848"/>
    <w:rsid w:val="007727ED"/>
    <w:rsid w:val="007F1C6E"/>
    <w:rsid w:val="00841EC0"/>
    <w:rsid w:val="008647CD"/>
    <w:rsid w:val="0086751E"/>
    <w:rsid w:val="00871A7F"/>
    <w:rsid w:val="0087408F"/>
    <w:rsid w:val="008A699E"/>
    <w:rsid w:val="008C4A45"/>
    <w:rsid w:val="008F1565"/>
    <w:rsid w:val="0092238A"/>
    <w:rsid w:val="00943E01"/>
    <w:rsid w:val="0095425D"/>
    <w:rsid w:val="00991B41"/>
    <w:rsid w:val="009C2E98"/>
    <w:rsid w:val="009D35A1"/>
    <w:rsid w:val="00A02BA4"/>
    <w:rsid w:val="00A10A7E"/>
    <w:rsid w:val="00A507A8"/>
    <w:rsid w:val="00A75721"/>
    <w:rsid w:val="00A87460"/>
    <w:rsid w:val="00A958AB"/>
    <w:rsid w:val="00A97EC8"/>
    <w:rsid w:val="00AA0071"/>
    <w:rsid w:val="00AA7F78"/>
    <w:rsid w:val="00AB47C2"/>
    <w:rsid w:val="00AD49B9"/>
    <w:rsid w:val="00AF3F52"/>
    <w:rsid w:val="00B075D5"/>
    <w:rsid w:val="00B11003"/>
    <w:rsid w:val="00B151C2"/>
    <w:rsid w:val="00B15555"/>
    <w:rsid w:val="00B26BAB"/>
    <w:rsid w:val="00B27F9D"/>
    <w:rsid w:val="00B478DC"/>
    <w:rsid w:val="00B6178D"/>
    <w:rsid w:val="00B7418D"/>
    <w:rsid w:val="00B96155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37D5F"/>
    <w:rsid w:val="00D42485"/>
    <w:rsid w:val="00D536B2"/>
    <w:rsid w:val="00D6478A"/>
    <w:rsid w:val="00D72919"/>
    <w:rsid w:val="00D766F5"/>
    <w:rsid w:val="00D80EC4"/>
    <w:rsid w:val="00D8296D"/>
    <w:rsid w:val="00DA0415"/>
    <w:rsid w:val="00DB2E94"/>
    <w:rsid w:val="00DD6B42"/>
    <w:rsid w:val="00DE6848"/>
    <w:rsid w:val="00DE713C"/>
    <w:rsid w:val="00DE7F99"/>
    <w:rsid w:val="00E71FCA"/>
    <w:rsid w:val="00EA2967"/>
    <w:rsid w:val="00EB5A69"/>
    <w:rsid w:val="00EC18C0"/>
    <w:rsid w:val="00EF028F"/>
    <w:rsid w:val="00EF78BB"/>
    <w:rsid w:val="00F10B2D"/>
    <w:rsid w:val="00F204DF"/>
    <w:rsid w:val="00F2289B"/>
    <w:rsid w:val="00F32A70"/>
    <w:rsid w:val="00F3641E"/>
    <w:rsid w:val="00F42E23"/>
    <w:rsid w:val="00F54766"/>
    <w:rsid w:val="00F73CB7"/>
    <w:rsid w:val="00F80779"/>
    <w:rsid w:val="00F83243"/>
    <w:rsid w:val="00F978E8"/>
    <w:rsid w:val="00FA009D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08177E"/>
  <w15:docId w15:val="{E1BD4E4B-1CF6-4556-9C41-E2BA5FA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paragraph" w:styleId="Nadpis1">
    <w:name w:val="heading 1"/>
    <w:basedOn w:val="Normln"/>
    <w:next w:val="Normln"/>
    <w:link w:val="Nadpis1Char"/>
    <w:qFormat/>
    <w:rsid w:val="00650E0B"/>
    <w:pPr>
      <w:keepNext/>
      <w:spacing w:after="0" w:line="240" w:lineRule="auto"/>
      <w:jc w:val="both"/>
      <w:outlineLvl w:val="0"/>
    </w:pPr>
    <w:rPr>
      <w:rFonts w:ascii="Helvetica" w:eastAsia="Times New Roman" w:hAnsi="Helvetica" w:cs="Arial"/>
      <w:b/>
      <w:bCs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296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50E0B"/>
    <w:rPr>
      <w:rFonts w:ascii="Helvetica" w:eastAsia="Times New Roman" w:hAnsi="Helvetica" w:cs="Arial"/>
      <w:b/>
      <w:bCs/>
      <w:sz w:val="16"/>
      <w:szCs w:val="16"/>
      <w:lang w:eastAsia="cs-CZ"/>
    </w:rPr>
  </w:style>
  <w:style w:type="table" w:customStyle="1" w:styleId="TableGrid">
    <w:name w:val="TableGrid"/>
    <w:rsid w:val="00871A7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0EEB-7D4D-413E-8528-06D07C44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1054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6</cp:revision>
  <cp:lastPrinted>2017-02-21T10:07:00Z</cp:lastPrinted>
  <dcterms:created xsi:type="dcterms:W3CDTF">2019-04-25T08:15:00Z</dcterms:created>
  <dcterms:modified xsi:type="dcterms:W3CDTF">2019-04-25T08:40:00Z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429.1</vt:lpwstr>
  </property>
</Properties>
</file>