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Smlouva o poskytnutí ubytování </w:t>
      </w:r>
    </w:p>
    <w:p w:rsidR="008D6D5B" w:rsidRDefault="008D6D5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Pronajímatel: </w:t>
      </w: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Liberecká bouda </w:t>
      </w: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Dolní Dvůr 123</w:t>
      </w: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543 42 Dolní Dvůr</w:t>
      </w: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Tel.: </w:t>
      </w: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</w:p>
    <w:p w:rsidR="00B009DE" w:rsidRDefault="00B009D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Nájemce - klient: </w:t>
      </w:r>
    </w:p>
    <w:p w:rsidR="00051AA4" w:rsidRDefault="00051AA4" w:rsidP="00051A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Základní škola </w:t>
      </w:r>
    </w:p>
    <w:p w:rsidR="00051AA4" w:rsidRDefault="00051AA4" w:rsidP="00051A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Okraji 43/305,162 00 Praha 6 </w:t>
      </w:r>
    </w:p>
    <w:p w:rsidR="00051AA4" w:rsidRDefault="00051AA4" w:rsidP="00051A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IČ:48133795 </w:t>
      </w:r>
    </w:p>
    <w:p w:rsidR="00B009DE" w:rsidRDefault="00051AA4" w:rsidP="00051A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Tel: </w:t>
      </w:r>
    </w:p>
    <w:p w:rsidR="00051AA4" w:rsidRDefault="00051AA4" w:rsidP="00051A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Email: </w:t>
      </w:r>
    </w:p>
    <w:p w:rsidR="00051AA4" w:rsidRDefault="00051AA4" w:rsidP="00051A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zastoupení Mgr. Jana Kindlová </w:t>
      </w:r>
    </w:p>
    <w:p w:rsidR="008D6D5B" w:rsidRDefault="008D6D5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1) Předmět pronájmu</w:t>
      </w: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Předmětem pronájmu je pobyt na Liberecké boudě v Dolním Dvoře </w:t>
      </w:r>
      <w:proofErr w:type="spellStart"/>
      <w:proofErr w:type="gramStart"/>
      <w:r>
        <w:rPr>
          <w:sz w:val="20"/>
          <w:szCs w:val="20"/>
        </w:rPr>
        <w:t>č.p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123, jež bude užíván za účelem rekreace. Pronajímatel garantuje vybavení objektu a služby, které jsou deklarovány na internetových stránkách objektu </w:t>
      </w:r>
      <w:hyperlink r:id="rId5">
        <w:r>
          <w:rPr>
            <w:color w:val="1155CC"/>
            <w:sz w:val="20"/>
            <w:szCs w:val="20"/>
            <w:u w:val="single"/>
          </w:rPr>
          <w:t>www.libereckabouda.cz</w:t>
        </w:r>
      </w:hyperlink>
      <w:r>
        <w:rPr>
          <w:sz w:val="20"/>
          <w:szCs w:val="20"/>
        </w:rPr>
        <w:t xml:space="preserve"> a dle specifikace níže.</w:t>
      </w:r>
    </w:p>
    <w:p w:rsidR="008D6D5B" w:rsidRDefault="008D6D5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2) Doba pronájmu a počet osob</w:t>
      </w: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Datum příjezdu : </w:t>
      </w:r>
      <w:proofErr w:type="gramStart"/>
      <w:r>
        <w:rPr>
          <w:sz w:val="20"/>
          <w:szCs w:val="20"/>
        </w:rPr>
        <w:t>20.5.2019</w:t>
      </w:r>
      <w:proofErr w:type="gramEnd"/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Datum odjezdu : </w:t>
      </w:r>
      <w:proofErr w:type="gramStart"/>
      <w:r>
        <w:rPr>
          <w:sz w:val="20"/>
          <w:szCs w:val="20"/>
        </w:rPr>
        <w:t>24.5.2019</w:t>
      </w:r>
      <w:proofErr w:type="gramEnd"/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Počet </w:t>
      </w:r>
      <w:proofErr w:type="gramStart"/>
      <w:r>
        <w:rPr>
          <w:sz w:val="20"/>
          <w:szCs w:val="20"/>
        </w:rPr>
        <w:t>osob : 24</w:t>
      </w:r>
      <w:proofErr w:type="gramEnd"/>
      <w:r>
        <w:rPr>
          <w:sz w:val="20"/>
          <w:szCs w:val="20"/>
        </w:rPr>
        <w:t xml:space="preserve"> osob (děti) + 3 pedagogický dozor</w:t>
      </w:r>
    </w:p>
    <w:p w:rsidR="008D6D5B" w:rsidRDefault="008D6D5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3) Popis objektu - pokoje včetně kompletního sociálního zařízení s v</w:t>
      </w:r>
      <w:r w:rsidR="00B009DE">
        <w:rPr>
          <w:sz w:val="20"/>
          <w:szCs w:val="20"/>
        </w:rPr>
        <w:t>ýji</w:t>
      </w:r>
      <w:r>
        <w:rPr>
          <w:sz w:val="20"/>
          <w:szCs w:val="20"/>
        </w:rPr>
        <w:t>mkou pokoje 21 a 22, kde je toaleta společná pro dva pokoje.</w:t>
      </w:r>
    </w:p>
    <w:p w:rsidR="008D6D5B" w:rsidRDefault="008D6D5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4) Smluvené ceny</w:t>
      </w: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Cena děti 3-15 let</w:t>
      </w: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Ubytování 360,- Kč za dítě a noc včetně poplatku za bazén a pobytové taxi. </w:t>
      </w: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Strava plná penze a pitný režim Základní škola - 290,- Kč za osobu a noc + 35 Kč příplatek za svačiny</w:t>
      </w:r>
    </w:p>
    <w:p w:rsidR="008D6D5B" w:rsidRDefault="008D6D5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Cena dospělý -  Ubytování dospělý 3x 550 Kč za noc</w:t>
      </w:r>
    </w:p>
    <w:p w:rsidR="008D6D5B" w:rsidRDefault="008D6D5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Strava plná penze a pitný režim dospělý - 420,- Kč za osobu a noc.</w:t>
      </w:r>
    </w:p>
    <w:p w:rsidR="008D6D5B" w:rsidRDefault="008D6D5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Nedílnou součástí této smlouvy je voucher s přesným výpočtem ceny za uvedené služby mimo stravy, kterou vyúčtuje provozovatel gastronomické části.</w:t>
      </w: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Záloha a doplatek bude proveden dle pokynů ve voucheru, na kterém je uvedeno i číslo účtu.</w:t>
      </w:r>
    </w:p>
    <w:p w:rsidR="008D6D5B" w:rsidRDefault="008D6D5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V ceně je zahrnuto:</w:t>
      </w:r>
    </w:p>
    <w:p w:rsidR="008D6D5B" w:rsidRDefault="00051AA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pobyt v objektu na smluvenou dobu</w:t>
      </w:r>
    </w:p>
    <w:p w:rsidR="008D6D5B" w:rsidRDefault="00051AA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vstup do bazénu dle provozních hodin</w:t>
      </w:r>
    </w:p>
    <w:p w:rsidR="008D6D5B" w:rsidRDefault="00051AA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povlečení 1 sada na osobu a pobyt</w:t>
      </w:r>
    </w:p>
    <w:p w:rsidR="008D6D5B" w:rsidRDefault="00051AA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ručník 1ks na osobu a pobyt</w:t>
      </w:r>
    </w:p>
    <w:p w:rsidR="008D6D5B" w:rsidRDefault="00051AA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spotřeba vody</w:t>
      </w:r>
    </w:p>
    <w:p w:rsidR="008D6D5B" w:rsidRDefault="00051AA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elektrická energie</w:t>
      </w:r>
    </w:p>
    <w:p w:rsidR="008D6D5B" w:rsidRDefault="00051AA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toaletní papír</w:t>
      </w:r>
    </w:p>
    <w:p w:rsidR="008D6D5B" w:rsidRDefault="00051AA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lastRenderedPageBreak/>
        <w:t>mycí prostředky na nádobí</w:t>
      </w:r>
    </w:p>
    <w:p w:rsidR="008D6D5B" w:rsidRDefault="008D6D5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5) Povinnost nájemce – ubytovaného</w:t>
      </w:r>
    </w:p>
    <w:p w:rsidR="008D6D5B" w:rsidRDefault="00051AA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Řídit se podmínkami majitele a pokyny správce.</w:t>
      </w:r>
    </w:p>
    <w:p w:rsidR="008D6D5B" w:rsidRDefault="00051AA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Obeznámit se s řádem ubytovacího zařízení a s ostatními provozním řády </w:t>
      </w:r>
      <w:proofErr w:type="gramStart"/>
      <w:r>
        <w:rPr>
          <w:sz w:val="20"/>
          <w:szCs w:val="20"/>
        </w:rPr>
        <w:t>zejména   bazénu</w:t>
      </w:r>
      <w:proofErr w:type="gram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whirlpoolu</w:t>
      </w:r>
      <w:proofErr w:type="spellEnd"/>
      <w:r>
        <w:rPr>
          <w:sz w:val="20"/>
          <w:szCs w:val="20"/>
        </w:rPr>
        <w:t xml:space="preserve"> a tyto provozní řády dodržovat.</w:t>
      </w:r>
    </w:p>
    <w:p w:rsidR="008D6D5B" w:rsidRDefault="00051AA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Vyvarovat se jednání, která by vedla k poškození objektu či jeho zařízení.</w:t>
      </w:r>
    </w:p>
    <w:p w:rsidR="008D6D5B" w:rsidRDefault="00051AA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Dodržovat zásady bezpečnosti a proti požární ochrany. </w:t>
      </w:r>
    </w:p>
    <w:p w:rsidR="008D6D5B" w:rsidRDefault="00051AA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Nezasahovat do elektroinstalace a vodoinstalace.</w:t>
      </w:r>
    </w:p>
    <w:p w:rsidR="008D6D5B" w:rsidRDefault="00051AA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V celém objektu dodržovat přísný zákaz kouření.</w:t>
      </w:r>
    </w:p>
    <w:p w:rsidR="008D6D5B" w:rsidRDefault="00051AA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Nepoužívat žádný oheň v domě ani okolí mimo k tomu vyhrazené prostory.</w:t>
      </w:r>
    </w:p>
    <w:p w:rsidR="008D6D5B" w:rsidRDefault="00051AA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Klient plně zodpovídá za škody, které vznikly jeho přičiněním, zaviněním, nebo nedbalostí, včetně všech účastníků pobytu.</w:t>
      </w:r>
    </w:p>
    <w:p w:rsidR="008D6D5B" w:rsidRDefault="00051AA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Zjistí-li klient v průběhu pobytu jakoukoliv závažnou závadu, bez ohledu na to, zda ji způsobil sám či nikoliv, okamžitě vyrozumí majitele objektu nebo správce.</w:t>
      </w:r>
    </w:p>
    <w:p w:rsidR="008D6D5B" w:rsidRDefault="00051AA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Vyvarovat se činností, které by nadměrně obtěžovaly okolí, odporovaly dobrým mravům či rušily noční klid.</w:t>
      </w:r>
    </w:p>
    <w:p w:rsidR="008D6D5B" w:rsidRDefault="00051AA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Klienti jsou plně zodpovědní za vlastní zdraví a bezpečnost. Dále za své osobní věci včetně finančních prostředků, automobilů apod. po celou dobu trvání pobytu.</w:t>
      </w:r>
    </w:p>
    <w:p w:rsidR="008D6D5B" w:rsidRDefault="00051AA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Majitel neodpovídá za škody na zdraví či majetku klienta.</w:t>
      </w:r>
    </w:p>
    <w:p w:rsidR="008D6D5B" w:rsidRDefault="00051AA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Klient se zavazuje dodržet maximální počet ubytovaných osob v objektu po dobu celého pobytu.</w:t>
      </w:r>
    </w:p>
    <w:p w:rsidR="008D6D5B" w:rsidRDefault="00051AA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Po dobu pobytu udržovat objekt a jeho okolí v čistotě a třídit odpad do určených nádob. / plast, sklo, kartony a ostatní. </w:t>
      </w:r>
    </w:p>
    <w:p w:rsidR="008D6D5B" w:rsidRDefault="00051AA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Uvnitř celého objektu je přísně zakázáno kouření.</w:t>
      </w:r>
    </w:p>
    <w:p w:rsidR="008D6D5B" w:rsidRDefault="00051AA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Uvnitř objektu se vyžaduje užívání přezůvek.</w:t>
      </w:r>
    </w:p>
    <w:p w:rsidR="008D6D5B" w:rsidRDefault="00051AA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Při odchodu z objektu, nebo za deště, větru či sněžení je klient povinen zavřít okna a dveře.</w:t>
      </w:r>
    </w:p>
    <w:p w:rsidR="008D6D5B" w:rsidRDefault="00051AA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Objekt je napojen na domovní čističku odpadních vod, proto nevhazujte do odpadu a WC nepatřičné věci.</w:t>
      </w:r>
    </w:p>
    <w:p w:rsidR="008D6D5B" w:rsidRDefault="00051AA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Do WC nevhazovat čistící utěrky, dámské vložky, slupky z ovoce a podobné těžce rozpustné věci </w:t>
      </w:r>
    </w:p>
    <w:p w:rsidR="008D6D5B" w:rsidRDefault="00051AA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Pobyt jakýchkoliv zvířat není povolen.</w:t>
      </w:r>
    </w:p>
    <w:p w:rsidR="008D6D5B" w:rsidRDefault="00051AA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Nedodržení podmínek ze strany klienta může být důvodem k ukončení pobytu bez náhrady.</w:t>
      </w:r>
    </w:p>
    <w:p w:rsidR="008D6D5B" w:rsidRDefault="008D6D5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6) Povinnosti pronajímatele:</w:t>
      </w:r>
    </w:p>
    <w:p w:rsidR="008D6D5B" w:rsidRDefault="00051AA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Umožnit klientovi využití celého objektu mimo vyhrazené technické prostory po sjednanou dobu pobytu. </w:t>
      </w:r>
    </w:p>
    <w:p w:rsidR="008D6D5B" w:rsidRDefault="00051AA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Správce objektu je povinen obeznámit klienta s obsluhou objektu a jeho příslušenstvím.</w:t>
      </w:r>
    </w:p>
    <w:p w:rsidR="008D6D5B" w:rsidRDefault="00051AA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Předat klientovi při nástupu objekt v provozu schopném stavu, uklizený, s dodávkou teplé a studené vody včetně el. </w:t>
      </w:r>
      <w:proofErr w:type="gramStart"/>
      <w:r>
        <w:rPr>
          <w:sz w:val="20"/>
          <w:szCs w:val="20"/>
        </w:rPr>
        <w:t>energie</w:t>
      </w:r>
      <w:proofErr w:type="gramEnd"/>
    </w:p>
    <w:p w:rsidR="008D6D5B" w:rsidRDefault="00051AA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Klientovi poskytnout čisté a vyprané povlečení pro každé objednané lůžko</w:t>
      </w:r>
    </w:p>
    <w:p w:rsidR="008D6D5B" w:rsidRDefault="00051AA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Poskytnout nádobí k vaření a servírování pro stanovený počet osob</w:t>
      </w:r>
    </w:p>
    <w:p w:rsidR="008D6D5B" w:rsidRDefault="00051AA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Řešit oprávněné a přiměřené stížnosti a připomínky klientů týkající se objektu</w:t>
      </w:r>
    </w:p>
    <w:p w:rsidR="008D6D5B" w:rsidRDefault="00051AA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Správce musí být po dobu ubytování klientů v objektu dostupný na mobilním telefonu nebo v případě zaneprázdnění zavolat zpět v nejbližším možném termínu</w:t>
      </w:r>
    </w:p>
    <w:p w:rsidR="008D6D5B" w:rsidRDefault="00051AA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Pokud vznikne ze strany majitele objektu situace, která má za následek zhoršení podmínek ubytování klienta, má majitel povinnost provést všechna opatření, aby tuto situaci odstranil.</w:t>
      </w:r>
    </w:p>
    <w:p w:rsidR="008D6D5B" w:rsidRDefault="00051AA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Objednaný pobyt využívají zákazníci na vlastní nebezpečí. Za úrazy, poškození i zničení majetku (odpovědnost za škody způsobené na zdraví a majetku třetí osobě), za odcizení zavazadel po dobu rekreačního pobytu, stejně jako za škody způsobené přírodními živly či katastrofami a za škody s těmito událostmi spojené pronajímatel nezodpovídá.</w:t>
      </w:r>
    </w:p>
    <w:p w:rsidR="00051AA4" w:rsidRDefault="00051AA4" w:rsidP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051AA4" w:rsidRPr="00051AA4" w:rsidRDefault="00051AA4" w:rsidP="00051AA4">
      <w:pPr>
        <w:rPr>
          <w:sz w:val="20"/>
          <w:szCs w:val="20"/>
        </w:rPr>
      </w:pPr>
      <w:r w:rsidRPr="00051AA4">
        <w:rPr>
          <w:sz w:val="20"/>
          <w:szCs w:val="20"/>
        </w:rPr>
        <w:t>8)</w:t>
      </w:r>
      <w:r w:rsidRPr="00051AA4">
        <w:rPr>
          <w:sz w:val="23"/>
          <w:szCs w:val="23"/>
        </w:rPr>
        <w:t xml:space="preserve"> </w:t>
      </w:r>
      <w:r w:rsidRPr="00051AA4">
        <w:rPr>
          <w:sz w:val="20"/>
          <w:szCs w:val="20"/>
        </w:rPr>
        <w:t>Ošetření ochrany osobních údajů</w:t>
      </w:r>
    </w:p>
    <w:p w:rsidR="00051AA4" w:rsidRPr="00051AA4" w:rsidRDefault="00051AA4" w:rsidP="00051AA4">
      <w:pPr>
        <w:rPr>
          <w:b/>
          <w:sz w:val="20"/>
          <w:szCs w:val="20"/>
        </w:rPr>
      </w:pPr>
    </w:p>
    <w:p w:rsidR="00051AA4" w:rsidRPr="00051AA4" w:rsidRDefault="00051AA4" w:rsidP="00051AA4">
      <w:pPr>
        <w:rPr>
          <w:sz w:val="20"/>
          <w:szCs w:val="20"/>
        </w:rPr>
      </w:pPr>
      <w:r w:rsidRPr="00051AA4">
        <w:rPr>
          <w:sz w:val="20"/>
          <w:szCs w:val="20"/>
        </w:rPr>
        <w:t>a) Dodavatel se zavazuje dodržovat příslušné právní předpisy vztahující se na ochranu osobních údajů, zejména nařízení Evropského parlamentu a Rady (EU) 2016/679 o ochraně fyzických osob v souvislosti se zpracováním osobních údajů a o volném pohybu těchto údajů (dále jen: „GDPR”) a zákonem 101/2000 Sb. o ochraně osobních údajů.</w:t>
      </w:r>
    </w:p>
    <w:p w:rsidR="00051AA4" w:rsidRPr="00051AA4" w:rsidRDefault="00051AA4" w:rsidP="00051AA4">
      <w:pPr>
        <w:rPr>
          <w:sz w:val="20"/>
          <w:szCs w:val="20"/>
        </w:rPr>
      </w:pPr>
    </w:p>
    <w:p w:rsidR="00051AA4" w:rsidRPr="00051AA4" w:rsidRDefault="00051AA4" w:rsidP="00051AA4">
      <w:pPr>
        <w:rPr>
          <w:sz w:val="20"/>
          <w:szCs w:val="20"/>
        </w:rPr>
      </w:pPr>
      <w:r w:rsidRPr="00051AA4">
        <w:rPr>
          <w:sz w:val="20"/>
          <w:szCs w:val="20"/>
        </w:rPr>
        <w:t>b) Dodavatel získává a zpracovává osobní údaje pouze za účelem a v rozsahu plnění služeb, které si od něj zákazník objednal na základě této smlouvy. Dodavatel nesmí osobní údaje využít k žádnému jinému účelu, ani je dále rozšiřovat, reprodukovat nebo zpřístupnit třetí straně, ani je jakkoli jinak použít v rozporu s touto smlouvou a/nebo nad rámec této smlouvy pro své potřeby, ve prospěch třetích osob, či k újmě druhé smluvní strany. Povinnost zachovávat mlčenlivost o osobních údajích dle tohoto článku smlouvy trvá i po ukončení platnosti této smlouvy.</w:t>
      </w:r>
    </w:p>
    <w:p w:rsidR="00051AA4" w:rsidRPr="00051AA4" w:rsidRDefault="00051AA4" w:rsidP="00051AA4">
      <w:pPr>
        <w:rPr>
          <w:sz w:val="20"/>
          <w:szCs w:val="20"/>
        </w:rPr>
      </w:pPr>
    </w:p>
    <w:p w:rsidR="00051AA4" w:rsidRPr="00051AA4" w:rsidRDefault="00051AA4" w:rsidP="00051AA4">
      <w:pPr>
        <w:rPr>
          <w:sz w:val="20"/>
          <w:szCs w:val="20"/>
        </w:rPr>
      </w:pPr>
      <w:r w:rsidRPr="00051AA4">
        <w:rPr>
          <w:sz w:val="20"/>
          <w:szCs w:val="20"/>
        </w:rPr>
        <w:t>c) Dodavatel není oprávněn od subjektů údajů či od zákazníka vyžadovat osobní údaje, které nejsou nutné k dosažení primárního účelu, kterým je splnění objednané služby.</w:t>
      </w:r>
    </w:p>
    <w:p w:rsidR="00051AA4" w:rsidRPr="00051AA4" w:rsidRDefault="00051AA4" w:rsidP="00051AA4">
      <w:pPr>
        <w:rPr>
          <w:sz w:val="20"/>
          <w:szCs w:val="20"/>
        </w:rPr>
      </w:pPr>
    </w:p>
    <w:p w:rsidR="00051AA4" w:rsidRPr="00051AA4" w:rsidRDefault="00051AA4" w:rsidP="00051AA4">
      <w:pPr>
        <w:rPr>
          <w:sz w:val="20"/>
          <w:szCs w:val="20"/>
        </w:rPr>
      </w:pPr>
      <w:r w:rsidRPr="00051AA4">
        <w:rPr>
          <w:sz w:val="20"/>
          <w:szCs w:val="20"/>
        </w:rPr>
        <w:t xml:space="preserve">d) Po splnění služby je dodavatel povinen osobní údaje skartovat/vymazat či předat zpět zákazníkovi na jeho žádost, a to nejpozději do 30 dnů od splnění služby. Výjimku z bodu jedna může dodavatel učinit </w:t>
      </w:r>
      <w:proofErr w:type="gramStart"/>
      <w:r w:rsidRPr="00051AA4">
        <w:rPr>
          <w:sz w:val="20"/>
          <w:szCs w:val="20"/>
        </w:rPr>
        <w:t>pouze pokud</w:t>
      </w:r>
      <w:proofErr w:type="gramEnd"/>
      <w:r w:rsidRPr="00051AA4">
        <w:rPr>
          <w:sz w:val="20"/>
          <w:szCs w:val="20"/>
        </w:rPr>
        <w:t xml:space="preserve"> tak vyžaduje zákon či jiný právní předpis.</w:t>
      </w:r>
    </w:p>
    <w:p w:rsidR="00051AA4" w:rsidRPr="0006025E" w:rsidRDefault="00051AA4" w:rsidP="00051AA4">
      <w:pPr>
        <w:pStyle w:val="Default"/>
        <w:rPr>
          <w:sz w:val="23"/>
          <w:szCs w:val="23"/>
        </w:rPr>
      </w:pPr>
    </w:p>
    <w:p w:rsidR="008D6D5B" w:rsidRDefault="008D6D5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9) Ostatní ujednání:</w:t>
      </w: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proofErr w:type="gramStart"/>
      <w:r>
        <w:rPr>
          <w:sz w:val="20"/>
          <w:szCs w:val="20"/>
        </w:rPr>
        <w:t>Storno</w:t>
      </w:r>
      <w:proofErr w:type="gramEnd"/>
      <w:r>
        <w:rPr>
          <w:sz w:val="20"/>
          <w:szCs w:val="20"/>
        </w:rPr>
        <w:t xml:space="preserve"> podmínky se řídí </w:t>
      </w:r>
      <w:proofErr w:type="gramStart"/>
      <w:r>
        <w:rPr>
          <w:sz w:val="20"/>
          <w:szCs w:val="20"/>
        </w:rPr>
        <w:t>storno</w:t>
      </w:r>
      <w:proofErr w:type="gramEnd"/>
      <w:r>
        <w:rPr>
          <w:sz w:val="20"/>
          <w:szCs w:val="20"/>
        </w:rPr>
        <w:t xml:space="preserve"> podmínkami uvedené na internetových stránkách pronajímatele.</w:t>
      </w: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Nájemce byl seznámen s obsluhou objektu a přebírá plnou zodpovědnost za škody způsobené nevhodným zacházením, obsluhou, nebo nedbalostí, na objektu, nebo jeho vybavení za všechny účastníky pobytu. </w:t>
      </w:r>
      <w:proofErr w:type="gramStart"/>
      <w:r>
        <w:rPr>
          <w:sz w:val="20"/>
          <w:szCs w:val="20"/>
        </w:rPr>
        <w:t>Škody jež</w:t>
      </w:r>
      <w:proofErr w:type="gramEnd"/>
      <w:r>
        <w:rPr>
          <w:sz w:val="20"/>
          <w:szCs w:val="20"/>
        </w:rPr>
        <w:t xml:space="preserve"> vznikly, se zavazuje uhradit nejpozději do 30 dnů od ukončení pronájmu.</w:t>
      </w: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Klient svým podpisem stvrzuje, že Smluvní podmínky pobytu jsou mu známy, souhlasí s nimi. Smluvní vztah vzniká na základě řádně vyplněné a podepsané Smlouvy. Smlouva nabývá platnosti dnem jejího podpisu oběma smluvními stranami, účinnosti pak okamžikem úhrady stanovené částky. V případě, že klient nezaplatí řádně a včas, zaniká platnost smlouvy s účinkem od počátku.</w:t>
      </w:r>
    </w:p>
    <w:p w:rsidR="008D6D5B" w:rsidRDefault="00051AA4">
      <w:pPr>
        <w:pStyle w:val="normal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Obě strany souhlasí se zveřejněním smlouvy v registru smluv. Smlouva nabývá účinnosti dnem zveřejnění.</w:t>
      </w:r>
    </w:p>
    <w:p w:rsidR="008D6D5B" w:rsidRDefault="00051AA4">
      <w:pPr>
        <w:pStyle w:val="normal"/>
        <w:shd w:val="clear" w:color="auto" w:fill="FFFFFF"/>
        <w:rPr>
          <w:rFonts w:ascii="Calibri" w:eastAsia="Calibri" w:hAnsi="Calibri" w:cs="Calibri"/>
          <w:color w:val="1F497D"/>
        </w:rPr>
      </w:pPr>
      <w:r>
        <w:rPr>
          <w:rFonts w:ascii="Calibri" w:eastAsia="Calibri" w:hAnsi="Calibri" w:cs="Calibri"/>
          <w:color w:val="1F497D"/>
        </w:rPr>
        <w:t xml:space="preserve"> </w:t>
      </w:r>
    </w:p>
    <w:p w:rsidR="008D6D5B" w:rsidRDefault="008D6D5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V Dolním Dvoře dne </w:t>
      </w:r>
      <w:proofErr w:type="gramStart"/>
      <w:r>
        <w:rPr>
          <w:sz w:val="20"/>
          <w:szCs w:val="20"/>
        </w:rPr>
        <w:t>13.4.2019</w:t>
      </w:r>
      <w:proofErr w:type="gramEnd"/>
    </w:p>
    <w:p w:rsidR="008D6D5B" w:rsidRDefault="008D6D5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D6D5B" w:rsidRDefault="008D6D5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D6D5B" w:rsidRDefault="008D6D5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D6D5B" w:rsidRDefault="008D6D5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D6D5B" w:rsidRDefault="008D6D5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D6D5B" w:rsidRDefault="008D6D5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D6D5B" w:rsidRDefault="008D6D5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D6D5B" w:rsidRDefault="00051A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Pronajímatel: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Nájemce - klient:</w:t>
      </w:r>
    </w:p>
    <w:sectPr w:rsidR="008D6D5B" w:rsidSect="00051AA4">
      <w:pgSz w:w="12240" w:h="15840"/>
      <w:pgMar w:top="1440" w:right="1440" w:bottom="709" w:left="1440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744E"/>
    <w:multiLevelType w:val="multilevel"/>
    <w:tmpl w:val="6A7237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6FB18AB"/>
    <w:multiLevelType w:val="multilevel"/>
    <w:tmpl w:val="166EFC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6B0604B"/>
    <w:multiLevelType w:val="multilevel"/>
    <w:tmpl w:val="C3E009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7D5455F9"/>
    <w:multiLevelType w:val="multilevel"/>
    <w:tmpl w:val="E4288D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8D6D5B"/>
    <w:rsid w:val="00051AA4"/>
    <w:rsid w:val="008D6D5B"/>
    <w:rsid w:val="00970B9A"/>
    <w:rsid w:val="00B0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B9A"/>
  </w:style>
  <w:style w:type="paragraph" w:styleId="Nadpis1">
    <w:name w:val="heading 1"/>
    <w:basedOn w:val="normal"/>
    <w:next w:val="normal"/>
    <w:rsid w:val="008D6D5B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al"/>
    <w:next w:val="normal"/>
    <w:rsid w:val="008D6D5B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al"/>
    <w:next w:val="normal"/>
    <w:rsid w:val="008D6D5B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al"/>
    <w:next w:val="normal"/>
    <w:rsid w:val="008D6D5B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al"/>
    <w:next w:val="normal"/>
    <w:rsid w:val="008D6D5B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al"/>
    <w:next w:val="normal"/>
    <w:rsid w:val="008D6D5B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8D6D5B"/>
  </w:style>
  <w:style w:type="table" w:customStyle="1" w:styleId="TableNormal">
    <w:name w:val="Table Normal"/>
    <w:rsid w:val="008D6D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8D6D5B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Podtitul">
    <w:name w:val="Subtitle"/>
    <w:basedOn w:val="normal"/>
    <w:next w:val="normal"/>
    <w:rsid w:val="008D6D5B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customStyle="1" w:styleId="Default">
    <w:name w:val="Default"/>
    <w:rsid w:val="00051AA4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bereckaboud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1018</Words>
  <Characters>6009</Characters>
  <Application>Microsoft Office Word</Application>
  <DocSecurity>0</DocSecurity>
  <Lines>50</Lines>
  <Paragraphs>14</Paragraphs>
  <ScaleCrop>false</ScaleCrop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Kindlová Jana</dc:creator>
  <cp:lastModifiedBy>p.chleboradova</cp:lastModifiedBy>
  <cp:revision>3</cp:revision>
  <dcterms:created xsi:type="dcterms:W3CDTF">2019-04-24T14:28:00Z</dcterms:created>
  <dcterms:modified xsi:type="dcterms:W3CDTF">2019-04-25T10:11:00Z</dcterms:modified>
</cp:coreProperties>
</file>