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41" w:rsidRPr="006B6DEF" w:rsidRDefault="008F7572" w:rsidP="00154C00">
      <w:pPr>
        <w:widowControl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Příloha č. </w:t>
      </w:r>
      <w:r w:rsidR="002D3590">
        <w:rPr>
          <w:b/>
          <w:sz w:val="24"/>
          <w:szCs w:val="24"/>
          <w:u w:val="single"/>
        </w:rPr>
        <w:t>1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- </w:t>
      </w:r>
      <w:r w:rsidR="00863F41" w:rsidRPr="006B6DEF">
        <w:rPr>
          <w:b/>
          <w:sz w:val="24"/>
          <w:szCs w:val="24"/>
          <w:u w:val="single"/>
        </w:rPr>
        <w:t>Technická specifikace - Vybavení laboratoře atomové a jaderné fyziky</w:t>
      </w:r>
    </w:p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</w:p>
    <w:p w:rsidR="00863F41" w:rsidRPr="006B6DEF" w:rsidRDefault="00863F41">
      <w:pPr>
        <w:rPr>
          <w:b/>
          <w:sz w:val="24"/>
          <w:szCs w:val="24"/>
        </w:rPr>
      </w:pPr>
      <w:r w:rsidRPr="006B6DEF">
        <w:rPr>
          <w:b/>
          <w:sz w:val="24"/>
          <w:szCs w:val="24"/>
        </w:rPr>
        <w:t>1. Studium beta rozpadu</w:t>
      </w:r>
    </w:p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Jedná se o dodávku přístrojů pro novou úlohu v praktiku, vhodnou pro školní pokusy, která bude demonstrovat a umožňovat analýzu i měření radioaktivního rozpadu radionuklidů beta. Spektrum elektronů je detekováno magnetickým spektrometrem, který je tvořen cívkou a U magnetem a dále </w:t>
      </w:r>
      <w:proofErr w:type="spellStart"/>
      <w:r w:rsidRPr="006B6DEF">
        <w:rPr>
          <w:sz w:val="24"/>
          <w:szCs w:val="24"/>
        </w:rPr>
        <w:t>Giger</w:t>
      </w:r>
      <w:proofErr w:type="spellEnd"/>
      <w:r w:rsidRPr="006B6DEF">
        <w:rPr>
          <w:sz w:val="24"/>
          <w:szCs w:val="24"/>
        </w:rPr>
        <w:t xml:space="preserve"> Millerovou trubicí. Spektra elektronů z radionuklidů lze přímo statisticky a matematicky zpracovávat na základě spektroskopických dat změřených v rámci experimentu. Součástí přístrojového setu je magnetický spektrometr záření beta, který se kalibruje Hallovou sondou měřící velikost magnetického pole ve spektrometru v závislosti na proudu cívkou. Z geometrie systému spektrometru a polohy clon a z velikosti magnetického pole lze určit energii částic beta prošlých spektrometrem. Měřením četnosti prošlých částic v závislosti na energii se určuje energetické spektrum beta rozpadu. Dále lze na základě dodaného vybavení pro studium radioaktivního rozpadu provádět ověření </w:t>
      </w:r>
      <w:proofErr w:type="spellStart"/>
      <w:r w:rsidRPr="006B6DEF">
        <w:rPr>
          <w:sz w:val="24"/>
          <w:szCs w:val="24"/>
        </w:rPr>
        <w:t>Poissonova</w:t>
      </w:r>
      <w:proofErr w:type="spellEnd"/>
      <w:r w:rsidRPr="006B6DEF">
        <w:rPr>
          <w:sz w:val="24"/>
          <w:szCs w:val="24"/>
        </w:rPr>
        <w:t xml:space="preserve"> statistického rozdělení částic vyzařované v radioaktivním rozpadu pro různé typy beta radionuklidů</w:t>
      </w:r>
      <w:r>
        <w:rPr>
          <w:sz w:val="24"/>
          <w:szCs w:val="24"/>
        </w:rPr>
        <w:t>.</w:t>
      </w:r>
    </w:p>
    <w:p w:rsidR="00863F41" w:rsidRPr="006B6DEF" w:rsidRDefault="00863F41" w:rsidP="00154C00">
      <w:pPr>
        <w:widowControl/>
        <w:spacing w:after="0"/>
        <w:rPr>
          <w:b/>
          <w:sz w:val="24"/>
          <w:szCs w:val="24"/>
        </w:rPr>
      </w:pPr>
    </w:p>
    <w:p w:rsidR="00863F41" w:rsidRPr="006B6DEF" w:rsidRDefault="00863F41" w:rsidP="00154C00">
      <w:pPr>
        <w:widowControl/>
        <w:spacing w:after="0"/>
        <w:rPr>
          <w:b/>
          <w:sz w:val="24"/>
          <w:szCs w:val="24"/>
        </w:rPr>
      </w:pPr>
      <w:r w:rsidRPr="006B6DEF">
        <w:rPr>
          <w:b/>
          <w:sz w:val="24"/>
          <w:szCs w:val="24"/>
        </w:rPr>
        <w:t>Součástí setu musí být: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>magnetický spektrometr částic beta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B6DEF">
        <w:rPr>
          <w:sz w:val="24"/>
          <w:szCs w:val="24"/>
        </w:rPr>
        <w:t>Hallova</w:t>
      </w:r>
      <w:proofErr w:type="spellEnd"/>
      <w:r w:rsidRPr="006B6DEF">
        <w:rPr>
          <w:sz w:val="24"/>
          <w:szCs w:val="24"/>
        </w:rPr>
        <w:t xml:space="preserve"> sonda tangenciální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B6DEF">
        <w:rPr>
          <w:sz w:val="24"/>
          <w:szCs w:val="24"/>
        </w:rPr>
        <w:t>Teslametr</w:t>
      </w:r>
      <w:proofErr w:type="spellEnd"/>
      <w:r w:rsidRPr="006B6DEF">
        <w:rPr>
          <w:sz w:val="24"/>
          <w:szCs w:val="24"/>
        </w:rPr>
        <w:t xml:space="preserve"> pro měření velikosti magnetického pole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>Geiger-Müllerova (GM) trubice pro detekci beta částic, pracovní napětí 500 V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>Geiger- Millerův čítač – čítač částic beta příslušný ke GM trubici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>Příslušenství – všechny potřebné propojovací vodiče a síťové adaptéry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Times New Roman"/>
          <w:color w:val="auto"/>
          <w:sz w:val="24"/>
          <w:szCs w:val="24"/>
        </w:rPr>
      </w:pPr>
      <w:r w:rsidRPr="006B6DEF">
        <w:rPr>
          <w:sz w:val="24"/>
          <w:szCs w:val="24"/>
        </w:rPr>
        <w:t xml:space="preserve">radioaktivní zářič, Sr-90, 74 </w:t>
      </w:r>
      <w:proofErr w:type="spellStart"/>
      <w:r w:rsidRPr="006B6DEF">
        <w:rPr>
          <w:sz w:val="24"/>
          <w:szCs w:val="24"/>
        </w:rPr>
        <w:t>kBq</w:t>
      </w:r>
      <w:proofErr w:type="spellEnd"/>
      <w:r w:rsidRPr="006B6DEF">
        <w:rPr>
          <w:sz w:val="24"/>
          <w:szCs w:val="24"/>
        </w:rPr>
        <w:t>, uzavřený, certifikát SÚJB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Times New Roman"/>
          <w:color w:val="auto"/>
          <w:sz w:val="24"/>
          <w:szCs w:val="24"/>
        </w:rPr>
      </w:pPr>
      <w:r w:rsidRPr="006B6DEF">
        <w:rPr>
          <w:sz w:val="24"/>
          <w:szCs w:val="24"/>
        </w:rPr>
        <w:t xml:space="preserve">notebook s externí myší pro zpracování spektroskopických dat 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Times New Roman"/>
          <w:color w:val="auto"/>
          <w:sz w:val="24"/>
          <w:szCs w:val="24"/>
        </w:rPr>
      </w:pPr>
      <w:r w:rsidRPr="006B6DEF">
        <w:rPr>
          <w:rFonts w:cs="Times New Roman"/>
          <w:color w:val="auto"/>
          <w:sz w:val="24"/>
          <w:szCs w:val="24"/>
        </w:rPr>
        <w:t>Notebook –</w:t>
      </w:r>
      <w:r>
        <w:rPr>
          <w:rFonts w:cs="Times New Roman"/>
          <w:color w:val="auto"/>
          <w:sz w:val="24"/>
          <w:szCs w:val="24"/>
        </w:rPr>
        <w:t xml:space="preserve"> specifikace</w:t>
      </w:r>
    </w:p>
    <w:tbl>
      <w:tblPr>
        <w:tblW w:w="93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3560"/>
        <w:gridCol w:w="3040"/>
      </w:tblGrid>
      <w:tr w:rsidR="00863F41" w:rsidRPr="006B6DEF" w:rsidTr="006B6DEF">
        <w:trPr>
          <w:trHeight w:val="31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Minimální konfigurace: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Počítačová skříň: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notebook</w:t>
            </w:r>
          </w:p>
        </w:tc>
      </w:tr>
      <w:tr w:rsidR="00863F41" w:rsidRPr="006B6DEF" w:rsidTr="006B6DEF">
        <w:trPr>
          <w:trHeight w:val="295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Procesor: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CPU x86-64 kompatibilní, integrované grafické jádro, </w:t>
            </w:r>
            <w:proofErr w:type="spellStart"/>
            <w:r w:rsidRPr="006B6DEF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6B6DEF">
              <w:rPr>
                <w:rFonts w:ascii="Arial" w:hAnsi="Arial" w:cs="Arial"/>
                <w:sz w:val="20"/>
                <w:szCs w:val="20"/>
              </w:rPr>
              <w:t xml:space="preserve"> CPU Mark min. 3500 bodů (1250 single </w:t>
            </w:r>
            <w:proofErr w:type="spellStart"/>
            <w:r w:rsidRPr="006B6DEF">
              <w:rPr>
                <w:rFonts w:ascii="Arial" w:hAnsi="Arial" w:cs="Arial"/>
                <w:sz w:val="20"/>
                <w:szCs w:val="20"/>
              </w:rPr>
              <w:t>thread</w:t>
            </w:r>
            <w:proofErr w:type="spellEnd"/>
            <w:r w:rsidRPr="006B6DEF">
              <w:rPr>
                <w:rFonts w:ascii="Arial" w:hAnsi="Arial" w:cs="Arial"/>
                <w:sz w:val="20"/>
                <w:szCs w:val="20"/>
              </w:rPr>
              <w:t xml:space="preserve">) dle www.cpubenchmark.net. Dodavatel uvede celkovou průměrnou hodnotu bodů ze všech měření. Tuto hodnotu zadavatel doporučuje doložit aktuálním </w:t>
            </w:r>
            <w:proofErr w:type="spellStart"/>
            <w:r w:rsidRPr="006B6DEF">
              <w:rPr>
                <w:rFonts w:ascii="Arial" w:hAnsi="Arial" w:cs="Arial"/>
                <w:sz w:val="20"/>
                <w:szCs w:val="20"/>
              </w:rPr>
              <w:t>printscreenem</w:t>
            </w:r>
            <w:proofErr w:type="spellEnd"/>
            <w:r w:rsidRPr="006B6DEF">
              <w:rPr>
                <w:rFonts w:ascii="Arial" w:hAnsi="Arial" w:cs="Arial"/>
                <w:sz w:val="20"/>
                <w:szCs w:val="20"/>
              </w:rPr>
              <w:t xml:space="preserve"> ze stránky www.cpubenchmark.net</w:t>
            </w:r>
          </w:p>
        </w:tc>
      </w:tr>
      <w:tr w:rsidR="00863F41" w:rsidRPr="006B6DEF" w:rsidTr="006B6DEF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Operační </w:t>
            </w:r>
            <w:proofErr w:type="spellStart"/>
            <w:r w:rsidRPr="006B6DEF">
              <w:rPr>
                <w:rFonts w:ascii="Arial" w:hAnsi="Arial" w:cs="Arial"/>
                <w:sz w:val="20"/>
                <w:szCs w:val="20"/>
              </w:rPr>
              <w:t>pamět</w:t>
            </w:r>
            <w:proofErr w:type="spellEnd"/>
            <w:r w:rsidRPr="006B6D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min. 8 GB DDR4 </w:t>
            </w:r>
          </w:p>
        </w:tc>
      </w:tr>
      <w:tr w:rsidR="00863F41" w:rsidRPr="006B6DEF" w:rsidTr="006B6DEF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Pevný disk 1: 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min. 250 GB,  </w:t>
            </w:r>
            <w:proofErr w:type="gramStart"/>
            <w:r w:rsidRPr="006B6DEF">
              <w:rPr>
                <w:rFonts w:ascii="Arial" w:hAnsi="Arial" w:cs="Arial"/>
                <w:sz w:val="20"/>
                <w:szCs w:val="20"/>
              </w:rPr>
              <w:t>M.2 SSD</w:t>
            </w:r>
            <w:proofErr w:type="gramEnd"/>
          </w:p>
        </w:tc>
      </w:tr>
      <w:tr w:rsidR="00863F41" w:rsidRPr="006B6DEF" w:rsidTr="006B6DEF">
        <w:trPr>
          <w:trHeight w:val="52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displej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15.6" LED, rozlišení min. 1920x1080, matný</w:t>
            </w:r>
          </w:p>
        </w:tc>
      </w:tr>
      <w:tr w:rsidR="00863F41" w:rsidRPr="006B6DEF" w:rsidTr="006B6DEF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Grafická karta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integrovaná</w:t>
            </w:r>
          </w:p>
        </w:tc>
      </w:tr>
      <w:tr w:rsidR="00863F41" w:rsidRPr="006B6DEF" w:rsidTr="006B6DEF">
        <w:trPr>
          <w:trHeight w:val="24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Operační systém: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99" w:fill="FF9900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Operační systém: 64bitový operační systém, aktuální </w:t>
            </w:r>
            <w:r w:rsidR="008F7572">
              <w:rPr>
                <w:rFonts w:ascii="Arial" w:hAnsi="Arial" w:cs="Arial"/>
                <w:sz w:val="20"/>
                <w:szCs w:val="20"/>
              </w:rPr>
              <w:t xml:space="preserve">CZ </w:t>
            </w:r>
            <w:r w:rsidRPr="006B6DEF">
              <w:rPr>
                <w:rFonts w:ascii="Arial" w:hAnsi="Arial" w:cs="Arial"/>
                <w:sz w:val="20"/>
                <w:szCs w:val="20"/>
              </w:rPr>
              <w:t xml:space="preserve">verze nabízená výrobcem. Kompatibilní se stávajícím počítačovým prostředím univerzity. </w:t>
            </w:r>
            <w:r w:rsidR="008F7572" w:rsidRPr="008F7572">
              <w:rPr>
                <w:rFonts w:ascii="Arial" w:hAnsi="Arial" w:cs="Arial"/>
                <w:sz w:val="20"/>
                <w:szCs w:val="20"/>
              </w:rPr>
              <w:t xml:space="preserve">Licence umožňující </w:t>
            </w:r>
            <w:proofErr w:type="spellStart"/>
            <w:r w:rsidR="008F7572" w:rsidRPr="008F7572">
              <w:rPr>
                <w:rFonts w:ascii="Arial" w:hAnsi="Arial" w:cs="Arial"/>
                <w:sz w:val="20"/>
                <w:szCs w:val="20"/>
              </w:rPr>
              <w:t>downgrade</w:t>
            </w:r>
            <w:proofErr w:type="spellEnd"/>
            <w:r w:rsidR="008F7572" w:rsidRPr="008F7572">
              <w:rPr>
                <w:rFonts w:ascii="Arial" w:hAnsi="Arial" w:cs="Arial"/>
                <w:sz w:val="20"/>
                <w:szCs w:val="20"/>
              </w:rPr>
              <w:t xml:space="preserve"> na starší verze OS</w:t>
            </w:r>
            <w:r w:rsidR="008F757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B6DEF">
              <w:rPr>
                <w:rFonts w:ascii="Arial" w:hAnsi="Arial" w:cs="Arial"/>
                <w:sz w:val="20"/>
                <w:szCs w:val="20"/>
              </w:rPr>
              <w:t>OS podporovaný výrobcem (formou aktualizací) min. do roku 2025. Licence nesmí být formou upgrade ze starší verze OS.</w:t>
            </w:r>
          </w:p>
        </w:tc>
      </w:tr>
      <w:tr w:rsidR="00863F41" w:rsidRPr="006B6DEF" w:rsidTr="006B6DEF">
        <w:trPr>
          <w:trHeight w:val="4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výstupy: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CC99" w:fill="FF9900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HDMI konektor</w:t>
            </w:r>
          </w:p>
        </w:tc>
      </w:tr>
      <w:tr w:rsidR="00863F41" w:rsidRPr="006B6DEF" w:rsidTr="006B6DEF">
        <w:trPr>
          <w:trHeight w:val="45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klávesnice: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CC99" w:fill="FF9900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numerický blok</w:t>
            </w:r>
          </w:p>
        </w:tc>
      </w:tr>
      <w:tr w:rsidR="00863F41" w:rsidRPr="006B6DEF" w:rsidTr="006B6DEF">
        <w:trPr>
          <w:trHeight w:val="45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síť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CC99" w:fill="FF9900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GLAN (RJ-45), </w:t>
            </w:r>
            <w:proofErr w:type="spellStart"/>
            <w:r w:rsidRPr="006B6DEF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</w:tc>
      </w:tr>
      <w:tr w:rsidR="00863F41" w:rsidRPr="006B6DEF" w:rsidTr="006B6DEF">
        <w:trPr>
          <w:trHeight w:val="70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99" w:fill="FF9900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Rozhraní + funkce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CC99" w:fill="FF9900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min. 3 x USB konektor (z toho min. 1x USB3)</w:t>
            </w:r>
          </w:p>
        </w:tc>
      </w:tr>
      <w:tr w:rsidR="00863F41" w:rsidRPr="006B6DEF" w:rsidTr="006B6DEF">
        <w:trPr>
          <w:trHeight w:val="278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Záruka: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63F41" w:rsidRPr="006B6DEF" w:rsidRDefault="00863F41" w:rsidP="006B6DEF">
            <w:pPr>
              <w:widowControl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>min. 2 roky</w:t>
            </w:r>
          </w:p>
        </w:tc>
      </w:tr>
    </w:tbl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Součástí dodávky jsou certifikáty a povolení související s nakládáním se zdroji ionizujícího záření a současně dodaná zařízení musí být zabezpečena vhodným způsobem a určena pro školní demonstrace pokusů. Musí být zaručena </w:t>
      </w:r>
      <w:r w:rsidRPr="006B6DEF">
        <w:rPr>
          <w:rFonts w:cs="Arial"/>
          <w:sz w:val="24"/>
          <w:szCs w:val="24"/>
        </w:rPr>
        <w:t>konformita s evropskými pravidly radiační ochrany, povolení k používání ve školství.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t>Dodané zařízení musí splňovat podmínku, že se jedná o stolní zařízení s rozměry a hmotností umožňující umístění na laboratorní stoly, nevyžadující specifickou konstrukci nebo přípravu elektrických rozvodů a sítě, přístroje nevyžadují aditivní chlazení nebo použití pracovních plynů, tlakových nádob apod.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t>Součástí dodávky není u</w:t>
      </w:r>
      <w:r w:rsidRPr="006B6DEF">
        <w:rPr>
          <w:sz w:val="24"/>
          <w:szCs w:val="24"/>
        </w:rPr>
        <w:t>niverzální napájecí zdroj max. výstupní proud 5A, plynulá regulace napětí v rozsahu 0-18V s bezpečnostními zdířkami, využijeme stávající napájecí zdroj již dostupný v praktiku, nicméně dodaná zařízení musí být se stávajícími přístroji kompatibilní.</w:t>
      </w:r>
    </w:p>
    <w:p w:rsidR="00863F41" w:rsidRPr="006B6DEF" w:rsidRDefault="00863F41" w:rsidP="00781F5B">
      <w:pPr>
        <w:widowControl/>
        <w:spacing w:after="0"/>
        <w:ind w:left="360"/>
        <w:rPr>
          <w:sz w:val="24"/>
          <w:szCs w:val="24"/>
        </w:rPr>
      </w:pPr>
    </w:p>
    <w:p w:rsidR="00863F41" w:rsidRPr="006B6DEF" w:rsidRDefault="00863F41" w:rsidP="00781F5B">
      <w:pPr>
        <w:pStyle w:val="Odstavecseseznamem"/>
        <w:widowControl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6B6DEF">
        <w:rPr>
          <w:b/>
          <w:sz w:val="24"/>
          <w:szCs w:val="24"/>
        </w:rPr>
        <w:t>Studium rentgenového záření</w:t>
      </w:r>
    </w:p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Jedná se o set přístrojů, který bude demonstrovat vznik charakteristického rentgenového záření, umožňovat ověření </w:t>
      </w:r>
      <w:proofErr w:type="spellStart"/>
      <w:r w:rsidRPr="006B6DEF">
        <w:rPr>
          <w:sz w:val="24"/>
          <w:szCs w:val="24"/>
        </w:rPr>
        <w:t>Moseleyho</w:t>
      </w:r>
      <w:proofErr w:type="spellEnd"/>
      <w:r w:rsidRPr="006B6DEF">
        <w:rPr>
          <w:sz w:val="24"/>
          <w:szCs w:val="24"/>
        </w:rPr>
        <w:t xml:space="preserve"> zákona a stanovení </w:t>
      </w:r>
      <w:proofErr w:type="spellStart"/>
      <w:r w:rsidRPr="006B6DEF">
        <w:rPr>
          <w:sz w:val="24"/>
          <w:szCs w:val="24"/>
        </w:rPr>
        <w:t>Rydbergovy</w:t>
      </w:r>
      <w:proofErr w:type="spellEnd"/>
      <w:r w:rsidRPr="006B6DEF">
        <w:rPr>
          <w:sz w:val="24"/>
          <w:szCs w:val="24"/>
        </w:rPr>
        <w:t xml:space="preserve"> konstanty, bude dále umožňovat analýzu spekter rtg. </w:t>
      </w:r>
      <w:proofErr w:type="gramStart"/>
      <w:r w:rsidRPr="006B6DEF">
        <w:rPr>
          <w:sz w:val="24"/>
          <w:szCs w:val="24"/>
        </w:rPr>
        <w:t>záření</w:t>
      </w:r>
      <w:proofErr w:type="gramEnd"/>
      <w:r w:rsidRPr="006B6DEF">
        <w:rPr>
          <w:sz w:val="24"/>
          <w:szCs w:val="24"/>
        </w:rPr>
        <w:t xml:space="preserve"> generované různými zdroji (</w:t>
      </w:r>
      <w:proofErr w:type="spellStart"/>
      <w:r w:rsidRPr="006B6DEF">
        <w:rPr>
          <w:sz w:val="24"/>
          <w:szCs w:val="24"/>
        </w:rPr>
        <w:t>Cu</w:t>
      </w:r>
      <w:proofErr w:type="spellEnd"/>
      <w:r w:rsidRPr="006B6DEF">
        <w:rPr>
          <w:sz w:val="24"/>
          <w:szCs w:val="24"/>
        </w:rPr>
        <w:t xml:space="preserve">, </w:t>
      </w:r>
      <w:proofErr w:type="spellStart"/>
      <w:r w:rsidRPr="006B6DEF">
        <w:rPr>
          <w:sz w:val="24"/>
          <w:szCs w:val="24"/>
        </w:rPr>
        <w:t>Mo</w:t>
      </w:r>
      <w:proofErr w:type="spellEnd"/>
      <w:r w:rsidRPr="006B6DEF">
        <w:rPr>
          <w:sz w:val="24"/>
          <w:szCs w:val="24"/>
        </w:rPr>
        <w:t xml:space="preserve">, </w:t>
      </w:r>
      <w:proofErr w:type="spellStart"/>
      <w:r w:rsidRPr="006B6DEF">
        <w:rPr>
          <w:sz w:val="24"/>
          <w:szCs w:val="24"/>
        </w:rPr>
        <w:t>Fe</w:t>
      </w:r>
      <w:proofErr w:type="spellEnd"/>
      <w:r w:rsidRPr="006B6DEF">
        <w:rPr>
          <w:sz w:val="24"/>
          <w:szCs w:val="24"/>
        </w:rPr>
        <w:t xml:space="preserve"> zdroj rtg. záření). Úloha je zaměřená na demonstraci a studium základních fyzikálních jevů probíhajících v elektronovém obalu atomu.</w:t>
      </w:r>
    </w:p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</w:p>
    <w:p w:rsidR="00863F41" w:rsidRPr="006B6DEF" w:rsidRDefault="00863F41" w:rsidP="00154C00">
      <w:pPr>
        <w:widowControl/>
        <w:spacing w:after="0"/>
        <w:rPr>
          <w:b/>
          <w:sz w:val="24"/>
          <w:szCs w:val="24"/>
        </w:rPr>
      </w:pPr>
      <w:r w:rsidRPr="006B6DEF">
        <w:rPr>
          <w:b/>
          <w:sz w:val="24"/>
          <w:szCs w:val="24"/>
        </w:rPr>
        <w:t>Set přístrojů musí zahrnovat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kompaktní zdroj rtg. </w:t>
      </w:r>
      <w:proofErr w:type="gramStart"/>
      <w:r w:rsidRPr="006B6DEF">
        <w:rPr>
          <w:sz w:val="24"/>
          <w:szCs w:val="24"/>
        </w:rPr>
        <w:t>záření</w:t>
      </w:r>
      <w:proofErr w:type="gramEnd"/>
      <w:r w:rsidRPr="006B6DEF">
        <w:rPr>
          <w:sz w:val="24"/>
          <w:szCs w:val="24"/>
        </w:rPr>
        <w:t xml:space="preserve"> (rentgenka) s </w:t>
      </w:r>
      <w:r w:rsidRPr="006B6DEF">
        <w:rPr>
          <w:rFonts w:cs="Arial"/>
          <w:sz w:val="24"/>
          <w:szCs w:val="24"/>
        </w:rPr>
        <w:t xml:space="preserve">okénkem na pozorování 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 konektor pro Geiger-Müllerův detektor, </w:t>
      </w:r>
      <w:proofErr w:type="gramStart"/>
      <w:r w:rsidRPr="006B6DEF">
        <w:rPr>
          <w:rFonts w:cs="Arial"/>
          <w:sz w:val="24"/>
          <w:szCs w:val="24"/>
        </w:rPr>
        <w:t>regulace 0...600</w:t>
      </w:r>
      <w:proofErr w:type="gramEnd"/>
      <w:r w:rsidRPr="006B6DEF">
        <w:rPr>
          <w:rFonts w:cs="Arial"/>
          <w:sz w:val="24"/>
          <w:szCs w:val="24"/>
        </w:rPr>
        <w:t xml:space="preserve"> V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t>Geiger-Millerův detektor (</w:t>
      </w:r>
      <w:proofErr w:type="spellStart"/>
      <w:r w:rsidRPr="006B6DEF">
        <w:rPr>
          <w:rFonts w:cs="Arial"/>
          <w:sz w:val="24"/>
          <w:szCs w:val="24"/>
        </w:rPr>
        <w:t>samozhášecí</w:t>
      </w:r>
      <w:proofErr w:type="spellEnd"/>
      <w:r w:rsidRPr="006B6DEF">
        <w:rPr>
          <w:rFonts w:cs="Arial"/>
          <w:sz w:val="24"/>
          <w:szCs w:val="24"/>
        </w:rPr>
        <w:t xml:space="preserve"> halogenidová trubice z chromové oceli, ochranná čepička slídového okénka, detekované záření beta, </w:t>
      </w:r>
      <w:proofErr w:type="gramStart"/>
      <w:r w:rsidRPr="006B6DEF">
        <w:rPr>
          <w:rFonts w:cs="Arial"/>
          <w:sz w:val="24"/>
          <w:szCs w:val="24"/>
        </w:rPr>
        <w:t>gama,  pracovní</w:t>
      </w:r>
      <w:proofErr w:type="gramEnd"/>
      <w:r w:rsidRPr="006B6DEF">
        <w:rPr>
          <w:rFonts w:cs="Arial"/>
          <w:sz w:val="24"/>
          <w:szCs w:val="24"/>
        </w:rPr>
        <w:t xml:space="preserve"> napětí 500 V, mrtvá doba 0,1 </w:t>
      </w:r>
      <w:proofErr w:type="spellStart"/>
      <w:r w:rsidRPr="006B6DEF">
        <w:rPr>
          <w:rFonts w:cs="Arial"/>
          <w:sz w:val="24"/>
          <w:szCs w:val="24"/>
        </w:rPr>
        <w:t>ms</w:t>
      </w:r>
      <w:proofErr w:type="spellEnd"/>
      <w:r w:rsidRPr="006B6DEF">
        <w:rPr>
          <w:rFonts w:cs="Arial"/>
          <w:sz w:val="24"/>
          <w:szCs w:val="24"/>
        </w:rPr>
        <w:t xml:space="preserve">, pozadí cca 15 </w:t>
      </w:r>
      <w:proofErr w:type="spellStart"/>
      <w:r w:rsidRPr="006B6DEF">
        <w:rPr>
          <w:rFonts w:cs="Arial"/>
          <w:sz w:val="24"/>
          <w:szCs w:val="24"/>
        </w:rPr>
        <w:t>imp</w:t>
      </w:r>
      <w:proofErr w:type="spellEnd"/>
      <w:r w:rsidRPr="006B6DEF">
        <w:rPr>
          <w:rFonts w:cs="Arial"/>
          <w:sz w:val="24"/>
          <w:szCs w:val="24"/>
        </w:rPr>
        <w:t xml:space="preserve"> / min, životnost minimálně 10E10 impulsů)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lastRenderedPageBreak/>
        <w:t>vestavěný reproduktor pro akustickou indikaci měření Geiger-Müllerovým detektorem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ze tří stran okénka do pracovního prostoru s umístěným goniometrem, optickou lavicí a detektorem záření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experimentální pracovní prostor teplotně řízený a ventilovaný, osvětlení LED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vestavěná optická lavice pro přesné a reprodukovatelné polohování přípravků v pracovním prostoru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Goniometr k měření rtg. pod různými úhly v pracovním prostoru (automatická identifikace goniometru, </w:t>
      </w:r>
      <w:proofErr w:type="spellStart"/>
      <w:r w:rsidRPr="006B6DEF">
        <w:rPr>
          <w:rFonts w:cs="Arial"/>
          <w:sz w:val="24"/>
          <w:szCs w:val="24"/>
        </w:rPr>
        <w:t>plug</w:t>
      </w:r>
      <w:proofErr w:type="spellEnd"/>
      <w:r w:rsidRPr="006B6DEF">
        <w:rPr>
          <w:rFonts w:cs="Arial"/>
          <w:sz w:val="24"/>
          <w:szCs w:val="24"/>
        </w:rPr>
        <w:t xml:space="preserve"> and </w:t>
      </w:r>
      <w:proofErr w:type="spellStart"/>
      <w:r w:rsidRPr="006B6DEF">
        <w:rPr>
          <w:rFonts w:cs="Arial"/>
          <w:sz w:val="24"/>
          <w:szCs w:val="24"/>
        </w:rPr>
        <w:t>measure</w:t>
      </w:r>
      <w:proofErr w:type="spellEnd"/>
      <w:r w:rsidRPr="006B6DEF">
        <w:rPr>
          <w:rFonts w:cs="Arial"/>
          <w:sz w:val="24"/>
          <w:szCs w:val="24"/>
        </w:rPr>
        <w:t xml:space="preserve">, </w:t>
      </w:r>
      <w:proofErr w:type="spellStart"/>
      <w:r w:rsidRPr="006B6DEF">
        <w:rPr>
          <w:rFonts w:cs="Arial"/>
          <w:sz w:val="24"/>
          <w:szCs w:val="24"/>
        </w:rPr>
        <w:t>autokalibrace</w:t>
      </w:r>
      <w:proofErr w:type="spellEnd"/>
      <w:r w:rsidRPr="006B6DEF">
        <w:rPr>
          <w:rFonts w:cs="Arial"/>
          <w:sz w:val="24"/>
          <w:szCs w:val="24"/>
        </w:rPr>
        <w:t xml:space="preserve">, ovládání pomocí PC, dva nezávislé krokové motory pro otáčení vzorku a detektoru, samostatné otáčení vzorku nebo detektoru, vázané otáčení v poměru 2 : 1, možnost měnit úhlové rozlišení posunutím detektoru a clony, ochrana proti kolizi světelnými závorami, rozsah otáčení </w:t>
      </w:r>
      <w:proofErr w:type="gramStart"/>
      <w:r w:rsidRPr="006B6DEF">
        <w:rPr>
          <w:rFonts w:cs="Arial"/>
          <w:sz w:val="24"/>
          <w:szCs w:val="24"/>
        </w:rPr>
        <w:t>vzorku 0...360°</w:t>
      </w:r>
      <w:proofErr w:type="gramEnd"/>
      <w:r w:rsidRPr="006B6DEF">
        <w:rPr>
          <w:rFonts w:cs="Arial"/>
          <w:sz w:val="24"/>
          <w:szCs w:val="24"/>
        </w:rPr>
        <w:t>, rozsah otáčení detektoru -10-170°)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elektrický a mechanický zámek zamezující otevření pracovního prostoru při zapnuté rentgence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elektrické propojovací panely uvnitř a vně experimentálního prostoru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konektor pro energetický detektor, 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síťové napájecí napětí 110 / 240 V st, 50 / 60 Hz, příkon 200 VA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možnost použití rentgenek </w:t>
      </w:r>
      <w:proofErr w:type="spellStart"/>
      <w:r w:rsidRPr="006B6DEF">
        <w:rPr>
          <w:rFonts w:cs="Arial"/>
          <w:sz w:val="24"/>
          <w:szCs w:val="24"/>
        </w:rPr>
        <w:t>Fe</w:t>
      </w:r>
      <w:proofErr w:type="spellEnd"/>
      <w:r w:rsidRPr="006B6DEF">
        <w:rPr>
          <w:rFonts w:cs="Arial"/>
          <w:sz w:val="24"/>
          <w:szCs w:val="24"/>
        </w:rPr>
        <w:t xml:space="preserve">, </w:t>
      </w:r>
      <w:proofErr w:type="spellStart"/>
      <w:r w:rsidRPr="006B6DEF">
        <w:rPr>
          <w:rFonts w:cs="Arial"/>
          <w:sz w:val="24"/>
          <w:szCs w:val="24"/>
        </w:rPr>
        <w:t>Cu</w:t>
      </w:r>
      <w:proofErr w:type="spellEnd"/>
      <w:r w:rsidRPr="006B6DEF">
        <w:rPr>
          <w:rFonts w:cs="Arial"/>
          <w:sz w:val="24"/>
          <w:szCs w:val="24"/>
        </w:rPr>
        <w:t xml:space="preserve">, </w:t>
      </w:r>
      <w:proofErr w:type="spellStart"/>
      <w:r w:rsidRPr="006B6DEF">
        <w:rPr>
          <w:rFonts w:cs="Arial"/>
          <w:sz w:val="24"/>
          <w:szCs w:val="24"/>
        </w:rPr>
        <w:t>Mo</w:t>
      </w:r>
      <w:proofErr w:type="spellEnd"/>
      <w:r w:rsidRPr="006B6DEF">
        <w:rPr>
          <w:rFonts w:cs="Arial"/>
          <w:sz w:val="24"/>
          <w:szCs w:val="24"/>
        </w:rPr>
        <w:t>, bez potřeby justování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rentgenka </w:t>
      </w:r>
      <w:proofErr w:type="spellStart"/>
      <w:r w:rsidRPr="006B6DEF">
        <w:rPr>
          <w:rFonts w:cs="Arial"/>
          <w:sz w:val="24"/>
          <w:szCs w:val="24"/>
        </w:rPr>
        <w:t>Cu</w:t>
      </w:r>
      <w:proofErr w:type="spellEnd"/>
      <w:r w:rsidRPr="006B6DEF">
        <w:rPr>
          <w:rFonts w:cs="Arial"/>
          <w:sz w:val="24"/>
          <w:szCs w:val="24"/>
        </w:rPr>
        <w:t xml:space="preserve">, </w:t>
      </w:r>
      <w:proofErr w:type="spellStart"/>
      <w:r w:rsidRPr="006B6DEF">
        <w:rPr>
          <w:rFonts w:cs="Arial"/>
          <w:sz w:val="24"/>
          <w:szCs w:val="24"/>
        </w:rPr>
        <w:t>Mo</w:t>
      </w:r>
      <w:proofErr w:type="spellEnd"/>
      <w:r w:rsidRPr="006B6DEF">
        <w:rPr>
          <w:rFonts w:cs="Arial"/>
          <w:sz w:val="24"/>
          <w:szCs w:val="24"/>
        </w:rPr>
        <w:t xml:space="preserve"> a </w:t>
      </w:r>
      <w:proofErr w:type="spellStart"/>
      <w:r w:rsidRPr="006B6DEF">
        <w:rPr>
          <w:rFonts w:cs="Arial"/>
          <w:sz w:val="24"/>
          <w:szCs w:val="24"/>
        </w:rPr>
        <w:t>Fe</w:t>
      </w:r>
      <w:proofErr w:type="spellEnd"/>
      <w:r w:rsidRPr="006B6DEF">
        <w:rPr>
          <w:rFonts w:cs="Arial"/>
          <w:sz w:val="24"/>
          <w:szCs w:val="24"/>
        </w:rPr>
        <w:t xml:space="preserve"> k výměně ve zdroji rtg. </w:t>
      </w:r>
      <w:proofErr w:type="gramStart"/>
      <w:r w:rsidRPr="006B6DEF">
        <w:rPr>
          <w:rFonts w:cs="Arial"/>
          <w:sz w:val="24"/>
          <w:szCs w:val="24"/>
        </w:rPr>
        <w:t>záření</w:t>
      </w:r>
      <w:proofErr w:type="gramEnd"/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pro detekci </w:t>
      </w:r>
      <w:proofErr w:type="gramStart"/>
      <w:r w:rsidRPr="006B6DEF">
        <w:rPr>
          <w:rFonts w:cs="Arial"/>
          <w:sz w:val="24"/>
          <w:szCs w:val="24"/>
        </w:rPr>
        <w:t>rtg. z různých</w:t>
      </w:r>
      <w:proofErr w:type="gramEnd"/>
      <w:r w:rsidRPr="006B6DEF">
        <w:rPr>
          <w:rFonts w:cs="Arial"/>
          <w:sz w:val="24"/>
          <w:szCs w:val="24"/>
        </w:rPr>
        <w:t xml:space="preserve"> zdrojů použití alternativních krystalů (krystal </w:t>
      </w:r>
      <w:proofErr w:type="spellStart"/>
      <w:r w:rsidRPr="006B6DEF">
        <w:rPr>
          <w:rFonts w:cs="Arial"/>
          <w:sz w:val="24"/>
          <w:szCs w:val="24"/>
        </w:rPr>
        <w:t>LiF</w:t>
      </w:r>
      <w:proofErr w:type="spellEnd"/>
      <w:r w:rsidRPr="006B6DEF">
        <w:rPr>
          <w:rFonts w:cs="Arial"/>
          <w:sz w:val="24"/>
          <w:szCs w:val="24"/>
        </w:rPr>
        <w:t xml:space="preserve"> a </w:t>
      </w:r>
      <w:proofErr w:type="spellStart"/>
      <w:r w:rsidRPr="006B6DEF">
        <w:rPr>
          <w:rFonts w:cs="Arial"/>
          <w:sz w:val="24"/>
          <w:szCs w:val="24"/>
        </w:rPr>
        <w:t>KBr</w:t>
      </w:r>
      <w:proofErr w:type="spellEnd"/>
      <w:r w:rsidRPr="006B6DEF">
        <w:rPr>
          <w:rFonts w:cs="Arial"/>
          <w:sz w:val="24"/>
          <w:szCs w:val="24"/>
        </w:rPr>
        <w:t>).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notebook s externí myší pro zpracování spektroskopických dat </w:t>
      </w: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6B6DEF">
        <w:rPr>
          <w:rFonts w:cs="Times New Roman"/>
          <w:color w:val="auto"/>
          <w:sz w:val="24"/>
          <w:szCs w:val="24"/>
        </w:rPr>
        <w:t>Notebook  specifikace</w:t>
      </w:r>
      <w:proofErr w:type="gramEnd"/>
    </w:p>
    <w:tbl>
      <w:tblPr>
        <w:tblW w:w="93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3560"/>
        <w:gridCol w:w="3040"/>
      </w:tblGrid>
      <w:tr w:rsidR="00863F41" w:rsidRPr="006B6DEF" w:rsidTr="006B6DEF">
        <w:trPr>
          <w:trHeight w:val="31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Minimální konfigurace: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Počítačová skříň: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notebook</w:t>
            </w:r>
          </w:p>
        </w:tc>
      </w:tr>
      <w:tr w:rsidR="00863F41" w:rsidRPr="006B6DEF" w:rsidTr="006B6DEF">
        <w:trPr>
          <w:trHeight w:val="29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Procesor: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 xml:space="preserve">CPU x86-64 kompatibilní, integrované grafické jádro, </w:t>
            </w:r>
            <w:proofErr w:type="spellStart"/>
            <w:r w:rsidRPr="006B6DEF">
              <w:rPr>
                <w:rFonts w:cs="Arial"/>
                <w:sz w:val="24"/>
                <w:szCs w:val="24"/>
              </w:rPr>
              <w:t>PassMark</w:t>
            </w:r>
            <w:proofErr w:type="spellEnd"/>
            <w:r w:rsidRPr="006B6DEF">
              <w:rPr>
                <w:rFonts w:cs="Arial"/>
                <w:sz w:val="24"/>
                <w:szCs w:val="24"/>
              </w:rPr>
              <w:t xml:space="preserve"> CPU Mark min. 3500 bodů (1250 single </w:t>
            </w:r>
            <w:proofErr w:type="spellStart"/>
            <w:r w:rsidRPr="006B6DEF">
              <w:rPr>
                <w:rFonts w:cs="Arial"/>
                <w:sz w:val="24"/>
                <w:szCs w:val="24"/>
              </w:rPr>
              <w:t>thread</w:t>
            </w:r>
            <w:proofErr w:type="spellEnd"/>
            <w:r w:rsidRPr="006B6DEF">
              <w:rPr>
                <w:rFonts w:cs="Arial"/>
                <w:sz w:val="24"/>
                <w:szCs w:val="24"/>
              </w:rPr>
              <w:t xml:space="preserve">) dle www.cpubenchmark.net. Dodavatel uvede celkovou průměrnou hodnotu bodů ze všech měření. Tuto hodnotu zadavatel doporučuje doložit aktuálním </w:t>
            </w:r>
            <w:proofErr w:type="spellStart"/>
            <w:r w:rsidRPr="006B6DEF">
              <w:rPr>
                <w:rFonts w:cs="Arial"/>
                <w:sz w:val="24"/>
                <w:szCs w:val="24"/>
              </w:rPr>
              <w:t>printscreenem</w:t>
            </w:r>
            <w:proofErr w:type="spellEnd"/>
            <w:r w:rsidRPr="006B6DEF">
              <w:rPr>
                <w:rFonts w:cs="Arial"/>
                <w:sz w:val="24"/>
                <w:szCs w:val="24"/>
              </w:rPr>
              <w:t xml:space="preserve"> ze stránky www.cpubenchmark.net</w:t>
            </w:r>
          </w:p>
        </w:tc>
      </w:tr>
      <w:tr w:rsidR="00863F41" w:rsidRPr="006B6DEF" w:rsidTr="006B6DE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 xml:space="preserve">Operační </w:t>
            </w:r>
            <w:proofErr w:type="spellStart"/>
            <w:r w:rsidRPr="006B6DEF">
              <w:rPr>
                <w:rFonts w:cs="Arial"/>
                <w:sz w:val="24"/>
                <w:szCs w:val="24"/>
              </w:rPr>
              <w:t>pamět</w:t>
            </w:r>
            <w:proofErr w:type="spellEnd"/>
            <w:r w:rsidRPr="006B6DE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 xml:space="preserve">min. 8 GB DDR4 </w:t>
            </w:r>
          </w:p>
        </w:tc>
      </w:tr>
      <w:tr w:rsidR="00863F41" w:rsidRPr="006B6DEF" w:rsidTr="006B6DE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 xml:space="preserve">Pevný disk 1: 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 xml:space="preserve">min. 250 GB,  </w:t>
            </w:r>
            <w:proofErr w:type="gramStart"/>
            <w:r w:rsidRPr="006B6DEF">
              <w:rPr>
                <w:rFonts w:cs="Arial"/>
                <w:sz w:val="24"/>
                <w:szCs w:val="24"/>
              </w:rPr>
              <w:t>M.2 SSD</w:t>
            </w:r>
            <w:proofErr w:type="gramEnd"/>
          </w:p>
        </w:tc>
      </w:tr>
      <w:tr w:rsidR="00863F41" w:rsidRPr="006B6DEF" w:rsidTr="006B6DEF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displej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15.6" LED, rozlišení min. 1920x1080, matný</w:t>
            </w:r>
          </w:p>
        </w:tc>
      </w:tr>
      <w:tr w:rsidR="00863F41" w:rsidRPr="006B6DEF" w:rsidTr="006B6DE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Grafická karta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integrovaná</w:t>
            </w:r>
          </w:p>
        </w:tc>
      </w:tr>
      <w:tr w:rsidR="00863F41" w:rsidRPr="006B6DEF" w:rsidTr="006B6DEF">
        <w:trPr>
          <w:trHeight w:val="24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Operační systém: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99" w:fill="FF9900"/>
          </w:tcPr>
          <w:p w:rsidR="00863F41" w:rsidRPr="006B6DEF" w:rsidRDefault="008F7572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ascii="Arial" w:hAnsi="Arial" w:cs="Arial"/>
                <w:sz w:val="20"/>
                <w:szCs w:val="20"/>
              </w:rPr>
              <w:t xml:space="preserve">Operační systém: 64bitový operační systém, aktuální </w:t>
            </w:r>
            <w:r>
              <w:rPr>
                <w:rFonts w:ascii="Arial" w:hAnsi="Arial" w:cs="Arial"/>
                <w:sz w:val="20"/>
                <w:szCs w:val="20"/>
              </w:rPr>
              <w:t xml:space="preserve">CZ </w:t>
            </w:r>
            <w:r w:rsidRPr="006B6DEF">
              <w:rPr>
                <w:rFonts w:ascii="Arial" w:hAnsi="Arial" w:cs="Arial"/>
                <w:sz w:val="20"/>
                <w:szCs w:val="20"/>
              </w:rPr>
              <w:t xml:space="preserve">verze nabízená výrobcem. Kompatibilní se stávajícím počítačovým prostředím univerzity. </w:t>
            </w:r>
            <w:r w:rsidRPr="008F7572">
              <w:rPr>
                <w:rFonts w:ascii="Arial" w:hAnsi="Arial" w:cs="Arial"/>
                <w:sz w:val="20"/>
                <w:szCs w:val="20"/>
              </w:rPr>
              <w:t xml:space="preserve">Licence umožňující </w:t>
            </w:r>
            <w:proofErr w:type="spellStart"/>
            <w:r w:rsidRPr="008F7572">
              <w:rPr>
                <w:rFonts w:ascii="Arial" w:hAnsi="Arial" w:cs="Arial"/>
                <w:sz w:val="20"/>
                <w:szCs w:val="20"/>
              </w:rPr>
              <w:t>downgrade</w:t>
            </w:r>
            <w:proofErr w:type="spellEnd"/>
            <w:r w:rsidRPr="008F7572">
              <w:rPr>
                <w:rFonts w:ascii="Arial" w:hAnsi="Arial" w:cs="Arial"/>
                <w:sz w:val="20"/>
                <w:szCs w:val="20"/>
              </w:rPr>
              <w:t xml:space="preserve"> na starší verze OS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B6DEF">
              <w:rPr>
                <w:rFonts w:ascii="Arial" w:hAnsi="Arial" w:cs="Arial"/>
                <w:sz w:val="20"/>
                <w:szCs w:val="20"/>
              </w:rPr>
              <w:t>OS podporovaný výrobcem (formou aktualizací) min. do roku 2025. Licence nesmí být formou upgrade ze starší verze OS.</w:t>
            </w:r>
          </w:p>
        </w:tc>
      </w:tr>
      <w:tr w:rsidR="00863F41" w:rsidRPr="006B6DEF" w:rsidTr="006B6DEF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výstupy: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CC99" w:fill="FF9900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HDMI konektor</w:t>
            </w:r>
          </w:p>
        </w:tc>
      </w:tr>
      <w:tr w:rsidR="00863F41" w:rsidRPr="006B6DEF" w:rsidTr="006B6DEF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klávesnice: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CC99" w:fill="FF9900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numerický blok</w:t>
            </w:r>
          </w:p>
        </w:tc>
      </w:tr>
      <w:tr w:rsidR="00863F41" w:rsidRPr="006B6DEF" w:rsidTr="006B6DEF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síť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CC99" w:fill="FF9900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 xml:space="preserve">GLAN (RJ-45), </w:t>
            </w:r>
            <w:proofErr w:type="spellStart"/>
            <w:r w:rsidRPr="006B6DEF">
              <w:rPr>
                <w:rFonts w:cs="Arial"/>
                <w:sz w:val="24"/>
                <w:szCs w:val="24"/>
              </w:rPr>
              <w:t>wifi</w:t>
            </w:r>
            <w:proofErr w:type="spellEnd"/>
          </w:p>
        </w:tc>
      </w:tr>
      <w:tr w:rsidR="00863F41" w:rsidRPr="006B6DEF" w:rsidTr="006B6DEF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99" w:fill="FF9900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Rozhraní + funkce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CC99" w:fill="FF9900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min. 3 x USB konektor (z toho min. 1x USB3)</w:t>
            </w:r>
          </w:p>
        </w:tc>
      </w:tr>
      <w:tr w:rsidR="00863F41" w:rsidRPr="006B6DEF" w:rsidTr="006B6DEF">
        <w:trPr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Záruka: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63F41" w:rsidRPr="006B6DEF" w:rsidRDefault="00863F41">
            <w:pPr>
              <w:rPr>
                <w:rFonts w:cs="Arial"/>
                <w:sz w:val="24"/>
                <w:szCs w:val="24"/>
              </w:rPr>
            </w:pPr>
            <w:r w:rsidRPr="006B6DEF">
              <w:rPr>
                <w:rFonts w:cs="Arial"/>
                <w:sz w:val="24"/>
                <w:szCs w:val="24"/>
              </w:rPr>
              <w:t>min. 2 roky</w:t>
            </w:r>
          </w:p>
        </w:tc>
      </w:tr>
    </w:tbl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 Dodané zařízení musí splňovat podmínku, že se jedná o stolní zařízení s rozměry a hmotností umožňující umístění na laboratorní stoly, nevyžadující specifickou konstrukci nebo přípravu elektrických rozvodů a sítě, přístroje nevyžadují aditivní chlazení nebo použití pracovních plynů, tlakových nádob apod.</w:t>
      </w:r>
    </w:p>
    <w:p w:rsidR="00863F41" w:rsidRPr="006B6DEF" w:rsidRDefault="00863F41" w:rsidP="00781F5B">
      <w:pPr>
        <w:widowControl/>
        <w:spacing w:after="0"/>
        <w:rPr>
          <w:sz w:val="24"/>
          <w:szCs w:val="24"/>
        </w:rPr>
      </w:pPr>
    </w:p>
    <w:p w:rsidR="00863F41" w:rsidRPr="006B6DEF" w:rsidRDefault="00863F41" w:rsidP="00154C00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Součástí dodávky jsou certifikáty a povolení související s nakládáním se zdroji ionizujícího záření a současně dodaná zařízení musí být zabezpečena vhodným způsobem a určena pro školní demonstrace pokusů. Musí být zaručena </w:t>
      </w:r>
      <w:r w:rsidRPr="006B6DEF">
        <w:rPr>
          <w:rFonts w:cs="Arial"/>
          <w:sz w:val="24"/>
          <w:szCs w:val="24"/>
        </w:rPr>
        <w:t>konformita s evropskými pravidly radiační ochrany, povolení k používání ve školství.</w:t>
      </w:r>
    </w:p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</w:p>
    <w:p w:rsidR="00863F41" w:rsidRPr="006B6DEF" w:rsidRDefault="00863F41" w:rsidP="00781F5B">
      <w:pPr>
        <w:widowControl/>
        <w:numPr>
          <w:ilvl w:val="0"/>
          <w:numId w:val="3"/>
        </w:numPr>
        <w:spacing w:after="0"/>
        <w:rPr>
          <w:sz w:val="24"/>
          <w:szCs w:val="24"/>
        </w:rPr>
      </w:pPr>
      <w:r w:rsidRPr="006B6DEF">
        <w:rPr>
          <w:b/>
          <w:sz w:val="24"/>
          <w:szCs w:val="24"/>
        </w:rPr>
        <w:t>Vizualizace radioaktivních částic difúzní mlžnou komorou</w:t>
      </w:r>
      <w:r w:rsidRPr="006B6DEF">
        <w:rPr>
          <w:sz w:val="24"/>
          <w:szCs w:val="24"/>
        </w:rPr>
        <w:t xml:space="preserve"> </w:t>
      </w:r>
    </w:p>
    <w:p w:rsidR="00863F41" w:rsidRPr="006B6DEF" w:rsidRDefault="00863F41" w:rsidP="00154C00">
      <w:pPr>
        <w:widowControl/>
        <w:spacing w:after="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Součástí tohoto setu přístrojů bude následující vybavení, které umožní vizualizovat stopy kosmického a pozemního ionizujícího záření tak, že lze rozlišit různé druhy záření.</w:t>
      </w:r>
      <w:r w:rsidRPr="006B6DEF">
        <w:rPr>
          <w:sz w:val="24"/>
          <w:szCs w:val="24"/>
        </w:rPr>
        <w:t xml:space="preserve"> </w:t>
      </w:r>
      <w:r w:rsidRPr="006B6DEF">
        <w:rPr>
          <w:rFonts w:cs="Arial"/>
          <w:sz w:val="24"/>
          <w:szCs w:val="24"/>
        </w:rPr>
        <w:t xml:space="preserve"> Může být prováděna vizualizace částic alfa, beta, gama a mezonů. Lze provádět experimenty s umělými radioaktivními zářiči.</w:t>
      </w:r>
    </w:p>
    <w:p w:rsidR="00863F41" w:rsidRPr="006B6DEF" w:rsidRDefault="00863F41" w:rsidP="00154C00">
      <w:pPr>
        <w:widowControl/>
        <w:spacing w:after="0"/>
        <w:rPr>
          <w:rFonts w:cs="Arial"/>
          <w:b/>
          <w:sz w:val="24"/>
          <w:szCs w:val="24"/>
        </w:rPr>
      </w:pPr>
      <w:r w:rsidRPr="006B6DEF">
        <w:rPr>
          <w:rFonts w:cs="Arial"/>
          <w:b/>
          <w:sz w:val="24"/>
          <w:szCs w:val="24"/>
        </w:rPr>
        <w:t>Součástí setu musí být:</w:t>
      </w:r>
    </w:p>
    <w:p w:rsidR="00863F41" w:rsidRPr="006B6DEF" w:rsidRDefault="00863F41" w:rsidP="00154C00">
      <w:pPr>
        <w:widowControl/>
        <w:spacing w:after="0"/>
        <w:rPr>
          <w:rFonts w:cs="Arial"/>
          <w:sz w:val="24"/>
          <w:szCs w:val="24"/>
        </w:rPr>
      </w:pPr>
      <w:proofErr w:type="spellStart"/>
      <w:r w:rsidRPr="006B6DEF">
        <w:rPr>
          <w:rFonts w:cs="Arial"/>
          <w:sz w:val="24"/>
          <w:szCs w:val="24"/>
        </w:rPr>
        <w:t>Difůzní</w:t>
      </w:r>
      <w:proofErr w:type="spellEnd"/>
      <w:r w:rsidRPr="006B6DEF">
        <w:rPr>
          <w:rFonts w:cs="Arial"/>
          <w:sz w:val="24"/>
          <w:szCs w:val="24"/>
        </w:rPr>
        <w:t xml:space="preserve"> mlžná komora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- aktivní plocha minimálně 45 x </w:t>
      </w:r>
      <w:smartTag w:uri="urn:schemas-microsoft-com:office:smarttags" w:element="metricconverter">
        <w:smartTagPr>
          <w:attr w:name="ProductID" w:val="80 kg"/>
        </w:smartTagPr>
        <w:r w:rsidRPr="006B6DEF">
          <w:rPr>
            <w:rFonts w:cs="Arial"/>
            <w:sz w:val="24"/>
            <w:szCs w:val="24"/>
          </w:rPr>
          <w:t>45 cm</w:t>
        </w:r>
      </w:smartTag>
      <w:r w:rsidRPr="006B6DEF">
        <w:rPr>
          <w:rFonts w:cs="Arial"/>
          <w:sz w:val="24"/>
          <w:szCs w:val="24"/>
        </w:rPr>
        <w:t xml:space="preserve">, chlazená </w:t>
      </w:r>
      <w:r>
        <w:rPr>
          <w:rFonts w:cs="Arial"/>
          <w:sz w:val="24"/>
          <w:szCs w:val="24"/>
        </w:rPr>
        <w:t>minimálně</w:t>
      </w:r>
      <w:r w:rsidRPr="006B6DEF">
        <w:rPr>
          <w:rFonts w:cs="Arial"/>
          <w:sz w:val="24"/>
          <w:szCs w:val="24"/>
        </w:rPr>
        <w:t xml:space="preserve"> na </w:t>
      </w:r>
      <w:smartTag w:uri="urn:schemas-microsoft-com:office:smarttags" w:element="metricconverter">
        <w:smartTagPr>
          <w:attr w:name="ProductID" w:val="80 kg"/>
        </w:smartTagPr>
        <w:r w:rsidRPr="006B6DEF">
          <w:rPr>
            <w:rFonts w:cs="Arial"/>
            <w:sz w:val="24"/>
            <w:szCs w:val="24"/>
          </w:rPr>
          <w:t>-30°C</w:t>
        </w:r>
      </w:smartTag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-  pracovní kapalina izopropylalkohol chemicky čistý 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- objem zásobníku pracovní kapaliny minimálně </w:t>
      </w:r>
      <w:smartTag w:uri="urn:schemas-microsoft-com:office:smarttags" w:element="metricconverter">
        <w:smartTagPr>
          <w:attr w:name="ProductID" w:val="80 kg"/>
        </w:smartTagPr>
        <w:r w:rsidRPr="006B6DEF">
          <w:rPr>
            <w:rFonts w:cs="Arial"/>
            <w:sz w:val="24"/>
            <w:szCs w:val="24"/>
          </w:rPr>
          <w:t>2 l</w:t>
        </w:r>
      </w:smartTag>
      <w:r w:rsidRPr="006B6DEF">
        <w:rPr>
          <w:rFonts w:cs="Arial"/>
          <w:sz w:val="24"/>
          <w:szCs w:val="24"/>
        </w:rPr>
        <w:t xml:space="preserve">, spotřeba ve standardním provozu maximálně cca </w:t>
      </w:r>
      <w:smartTag w:uri="urn:schemas-microsoft-com:office:smarttags" w:element="metricconverter">
        <w:smartTagPr>
          <w:attr w:name="ProductID" w:val="80 kg"/>
        </w:smartTagPr>
        <w:r w:rsidRPr="006B6DEF">
          <w:rPr>
            <w:rFonts w:cs="Arial"/>
            <w:sz w:val="24"/>
            <w:szCs w:val="24"/>
          </w:rPr>
          <w:t>1 l</w:t>
        </w:r>
      </w:smartTag>
      <w:r w:rsidRPr="006B6DEF">
        <w:rPr>
          <w:rFonts w:cs="Arial"/>
          <w:sz w:val="24"/>
          <w:szCs w:val="24"/>
        </w:rPr>
        <w:t xml:space="preserve"> / měsíc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- podsvícení komory zářivkou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- ruční ovládání komory případně týdenní program s časovým spínačem 7 x 24 hodin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>- síťové napájecí napětí 230 V st, 50 / 60 Hz, příkon 900 VA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- vnější rozměry komory maximálně 640 x 640 x </w:t>
      </w:r>
      <w:smartTag w:uri="urn:schemas-microsoft-com:office:smarttags" w:element="metricconverter">
        <w:smartTagPr>
          <w:attr w:name="ProductID" w:val="80 kg"/>
        </w:smartTagPr>
        <w:r w:rsidRPr="006B6DEF">
          <w:rPr>
            <w:rFonts w:cs="Arial"/>
            <w:sz w:val="24"/>
            <w:szCs w:val="24"/>
          </w:rPr>
          <w:t>600 mm</w:t>
        </w:r>
      </w:smartTag>
      <w:r w:rsidRPr="006B6DEF">
        <w:rPr>
          <w:rFonts w:cs="Arial"/>
          <w:sz w:val="24"/>
          <w:szCs w:val="24"/>
        </w:rPr>
        <w:t xml:space="preserve">, hmotnost maximálně </w:t>
      </w:r>
      <w:smartTag w:uri="urn:schemas-microsoft-com:office:smarttags" w:element="metricconverter">
        <w:smartTagPr>
          <w:attr w:name="ProductID" w:val="80 kg"/>
        </w:smartTagPr>
        <w:r w:rsidRPr="006B6DEF">
          <w:rPr>
            <w:rFonts w:cs="Arial"/>
            <w:sz w:val="24"/>
            <w:szCs w:val="24"/>
          </w:rPr>
          <w:t>80 kg</w:t>
        </w:r>
      </w:smartTag>
      <w:r w:rsidRPr="006B6DEF">
        <w:rPr>
          <w:rFonts w:cs="Arial"/>
          <w:sz w:val="24"/>
          <w:szCs w:val="24"/>
        </w:rPr>
        <w:t>, držadla na přenášení komory</w:t>
      </w:r>
    </w:p>
    <w:p w:rsidR="00863F41" w:rsidRPr="006B6DEF" w:rsidRDefault="00863F41" w:rsidP="00154C00">
      <w:pPr>
        <w:widowControl/>
        <w:spacing w:after="0"/>
        <w:ind w:left="360"/>
        <w:rPr>
          <w:rFonts w:cs="Arial"/>
          <w:sz w:val="24"/>
          <w:szCs w:val="24"/>
        </w:rPr>
      </w:pPr>
      <w:r w:rsidRPr="006B6DEF">
        <w:rPr>
          <w:rFonts w:cs="Arial"/>
          <w:sz w:val="24"/>
          <w:szCs w:val="24"/>
        </w:rPr>
        <w:t xml:space="preserve">- zdroj ionizujícího záření Co-60, </w:t>
      </w:r>
      <w:r w:rsidR="008F7572">
        <w:rPr>
          <w:rFonts w:cs="Arial"/>
          <w:sz w:val="24"/>
          <w:szCs w:val="24"/>
        </w:rPr>
        <w:t xml:space="preserve">max. </w:t>
      </w:r>
      <w:r w:rsidRPr="006B6DEF">
        <w:rPr>
          <w:rFonts w:cs="Arial"/>
          <w:sz w:val="24"/>
          <w:szCs w:val="24"/>
        </w:rPr>
        <w:t>74kBq</w:t>
      </w:r>
    </w:p>
    <w:p w:rsidR="00863F41" w:rsidRPr="006B6DEF" w:rsidRDefault="00863F41" w:rsidP="00154C00">
      <w:pPr>
        <w:widowControl/>
        <w:spacing w:after="0"/>
        <w:jc w:val="left"/>
        <w:rPr>
          <w:sz w:val="24"/>
          <w:szCs w:val="24"/>
          <w:u w:val="single"/>
        </w:rPr>
      </w:pPr>
    </w:p>
    <w:p w:rsidR="00863F41" w:rsidRPr="006B6DEF" w:rsidRDefault="00863F41" w:rsidP="00781F5B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rFonts w:cs="Arial"/>
          <w:sz w:val="24"/>
          <w:szCs w:val="24"/>
        </w:rPr>
        <w:lastRenderedPageBreak/>
        <w:t>Dodané zařízení musí splňovat podmínku, že se jedná o zařízení nevyžadující specifickou konstrukci nebo přípravu elektrických rozvodů a sítě, přístroje nevyžadují aditivní chlazení nebo použití pracovních plynů, tlakových nádob apod.</w:t>
      </w:r>
    </w:p>
    <w:p w:rsidR="00863F41" w:rsidRPr="006B6DEF" w:rsidRDefault="00863F41" w:rsidP="00781F5B">
      <w:pPr>
        <w:widowControl/>
        <w:spacing w:after="0"/>
        <w:rPr>
          <w:sz w:val="24"/>
          <w:szCs w:val="24"/>
        </w:rPr>
      </w:pPr>
    </w:p>
    <w:p w:rsidR="00863F41" w:rsidRPr="006B6DEF" w:rsidRDefault="00863F41" w:rsidP="00781F5B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 w:rsidRPr="006B6DEF">
        <w:rPr>
          <w:sz w:val="24"/>
          <w:szCs w:val="24"/>
        </w:rPr>
        <w:t xml:space="preserve">Součástí dodávky jsou certifikáty a povolení související s nakládáním se zdroji ionizujícího záření a současně dodaná zařízení musí být zabezpečena vhodným způsobem a určena pro školní demonstrace pokusů. Musí být zaručena </w:t>
      </w:r>
      <w:r w:rsidRPr="006B6DEF">
        <w:rPr>
          <w:rFonts w:cs="Arial"/>
          <w:sz w:val="24"/>
          <w:szCs w:val="24"/>
        </w:rPr>
        <w:t>konformita s evropskými pravidly radiační ochrany, povolení k používání ve školství.</w:t>
      </w:r>
    </w:p>
    <w:p w:rsidR="00863F41" w:rsidRPr="006B6DEF" w:rsidRDefault="00863F41" w:rsidP="00154C00">
      <w:pPr>
        <w:widowControl/>
        <w:spacing w:after="0"/>
        <w:jc w:val="left"/>
        <w:rPr>
          <w:sz w:val="24"/>
          <w:szCs w:val="24"/>
          <w:u w:val="single"/>
        </w:rPr>
      </w:pPr>
    </w:p>
    <w:p w:rsidR="00863F41" w:rsidRPr="006B6DEF" w:rsidRDefault="00863F41" w:rsidP="00154C00">
      <w:pPr>
        <w:widowControl/>
        <w:spacing w:after="0"/>
        <w:jc w:val="left"/>
        <w:rPr>
          <w:sz w:val="24"/>
          <w:szCs w:val="24"/>
          <w:u w:val="single"/>
        </w:rPr>
      </w:pPr>
    </w:p>
    <w:p w:rsidR="00863F41" w:rsidRPr="006B6DEF" w:rsidRDefault="00863F41" w:rsidP="00154C00">
      <w:pPr>
        <w:widowControl/>
        <w:spacing w:after="0"/>
        <w:rPr>
          <w:sz w:val="24"/>
          <w:szCs w:val="24"/>
        </w:rPr>
      </w:pPr>
    </w:p>
    <w:p w:rsidR="00863F41" w:rsidRPr="006B6DEF" w:rsidRDefault="00863F41">
      <w:pPr>
        <w:rPr>
          <w:sz w:val="24"/>
          <w:szCs w:val="24"/>
        </w:rPr>
      </w:pPr>
    </w:p>
    <w:sectPr w:rsidR="00863F41" w:rsidRPr="006B6DEF" w:rsidSect="00CD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5F70"/>
    <w:multiLevelType w:val="hybridMultilevel"/>
    <w:tmpl w:val="80FCDDF8"/>
    <w:lvl w:ilvl="0" w:tplc="19EE20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40F81"/>
    <w:multiLevelType w:val="hybridMultilevel"/>
    <w:tmpl w:val="0A2CB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766BD1"/>
    <w:multiLevelType w:val="hybridMultilevel"/>
    <w:tmpl w:val="C7909AE4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C00"/>
    <w:rsid w:val="00154C00"/>
    <w:rsid w:val="001949AB"/>
    <w:rsid w:val="001E4D4D"/>
    <w:rsid w:val="0021495C"/>
    <w:rsid w:val="002D3590"/>
    <w:rsid w:val="00303F8C"/>
    <w:rsid w:val="00317236"/>
    <w:rsid w:val="003E3167"/>
    <w:rsid w:val="004D3D88"/>
    <w:rsid w:val="004E5985"/>
    <w:rsid w:val="004E5A4A"/>
    <w:rsid w:val="00505E34"/>
    <w:rsid w:val="00637EAC"/>
    <w:rsid w:val="006B5DBB"/>
    <w:rsid w:val="006B6DEF"/>
    <w:rsid w:val="00714455"/>
    <w:rsid w:val="00777C9F"/>
    <w:rsid w:val="00781F5B"/>
    <w:rsid w:val="00863F41"/>
    <w:rsid w:val="008F7572"/>
    <w:rsid w:val="00A23A4F"/>
    <w:rsid w:val="00A73126"/>
    <w:rsid w:val="00C04F01"/>
    <w:rsid w:val="00C57476"/>
    <w:rsid w:val="00CC54CD"/>
    <w:rsid w:val="00CD027B"/>
    <w:rsid w:val="00D158FD"/>
    <w:rsid w:val="00D34F24"/>
    <w:rsid w:val="00D65A05"/>
    <w:rsid w:val="00DC34D6"/>
    <w:rsid w:val="00E5149C"/>
    <w:rsid w:val="00F84F62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C938F"/>
  <w15:docId w15:val="{368AC8F5-43A0-4024-ABDE-9295D1C0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C00"/>
    <w:pPr>
      <w:widowControl w:val="0"/>
      <w:spacing w:after="120"/>
      <w:jc w:val="both"/>
    </w:pPr>
    <w:rPr>
      <w:rFonts w:cs="Calibri"/>
      <w:color w:val="00000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4C0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B6D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- Vybavení laboratoře atomové a jaderné fyziky</vt:lpstr>
    </vt:vector>
  </TitlesOfParts>
  <Company>REK UJEP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- Vybavení laboratoře atomové a jaderné fyziky</dc:title>
  <dc:subject/>
  <dc:creator>suchal</dc:creator>
  <cp:keywords/>
  <dc:description/>
  <cp:lastModifiedBy>potmesill</cp:lastModifiedBy>
  <cp:revision>2</cp:revision>
  <cp:lastPrinted>2019-02-07T12:21:00Z</cp:lastPrinted>
  <dcterms:created xsi:type="dcterms:W3CDTF">2019-04-16T12:12:00Z</dcterms:created>
  <dcterms:modified xsi:type="dcterms:W3CDTF">2019-04-16T12:12:00Z</dcterms:modified>
</cp:coreProperties>
</file>