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E38" w:rsidRDefault="00D41A51">
      <w:pPr>
        <w:spacing w:after="0" w:line="259" w:lineRule="auto"/>
        <w:ind w:right="0" w:firstLine="0"/>
        <w:jc w:val="right"/>
      </w:pPr>
      <w:r>
        <w:rPr>
          <w:sz w:val="32"/>
        </w:rPr>
        <w:t>UCRPô92VZVS</w:t>
      </w:r>
    </w:p>
    <w:p w:rsidR="00241E38" w:rsidRDefault="00D41A51">
      <w:pPr>
        <w:spacing w:after="475" w:line="259" w:lineRule="auto"/>
        <w:ind w:left="7307" w:right="0" w:firstLine="0"/>
        <w:jc w:val="left"/>
      </w:pPr>
      <w:r>
        <w:rPr>
          <w:noProof/>
        </w:rPr>
        <w:drawing>
          <wp:inline distT="0" distB="0" distL="0" distR="0">
            <wp:extent cx="545702" cy="3049"/>
            <wp:effectExtent l="0" t="0" r="0" b="0"/>
            <wp:docPr id="2150" name="Picture 2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" name="Picture 21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02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7231" w:tblpY="-218"/>
        <w:tblOverlap w:val="never"/>
        <w:tblW w:w="2567" w:type="dxa"/>
        <w:tblInd w:w="0" w:type="dxa"/>
        <w:tblCellMar>
          <w:top w:w="9" w:type="dxa"/>
          <w:left w:w="7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67"/>
      </w:tblGrid>
      <w:tr w:rsidR="00241E38">
        <w:trPr>
          <w:trHeight w:val="221"/>
        </w:trPr>
        <w:tc>
          <w:tcPr>
            <w:tcW w:w="2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1E38" w:rsidRDefault="00D41A51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18"/>
              </w:rPr>
              <w:t>Zdravotní ústav Ústí nad Labem</w:t>
            </w:r>
          </w:p>
        </w:tc>
      </w:tr>
      <w:tr w:rsidR="00241E38">
        <w:trPr>
          <w:trHeight w:val="338"/>
        </w:trPr>
        <w:tc>
          <w:tcPr>
            <w:tcW w:w="2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1E38" w:rsidRDefault="00D41A51">
            <w:pPr>
              <w:tabs>
                <w:tab w:val="center" w:pos="1030"/>
                <w:tab w:val="center" w:pos="1863"/>
              </w:tabs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>Došlo, č. j.:</w:t>
            </w:r>
            <w:r>
              <w:rPr>
                <w:sz w:val="16"/>
              </w:rPr>
              <w:tab/>
              <w:t xml:space="preserve">1 It </w:t>
            </w:r>
            <w:r>
              <w:rPr>
                <w:sz w:val="16"/>
              </w:rPr>
              <w:tab/>
              <w:t>2019</w:t>
            </w:r>
          </w:p>
        </w:tc>
      </w:tr>
      <w:tr w:rsidR="00241E38">
        <w:trPr>
          <w:trHeight w:val="341"/>
        </w:trPr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41E38" w:rsidRDefault="00D41A51">
            <w:pPr>
              <w:spacing w:after="0" w:line="259" w:lineRule="auto"/>
              <w:ind w:right="0" w:firstLine="0"/>
              <w:jc w:val="left"/>
            </w:pPr>
            <w:r>
              <w:t xml:space="preserve">Pp; </w:t>
            </w:r>
            <w:proofErr w:type="spellStart"/>
            <w:r>
              <w:t>kVZ</w:t>
            </w:r>
            <w:proofErr w:type="spellEnd"/>
            <w:r>
              <w:t>/L</w:t>
            </w:r>
            <w:r>
              <w:rPr>
                <w:noProof/>
              </w:rPr>
              <w:drawing>
                <wp:inline distT="0" distB="0" distL="0" distR="0">
                  <wp:extent cx="710327" cy="179883"/>
                  <wp:effectExtent l="0" t="0" r="0" b="0"/>
                  <wp:docPr id="2059" name="Picture 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Picture 20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327" cy="179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E38" w:rsidRDefault="00D41A51">
      <w:pPr>
        <w:spacing w:after="602" w:line="259" w:lineRule="auto"/>
        <w:ind w:firstLine="0"/>
        <w:jc w:val="center"/>
      </w:pPr>
      <w:r>
        <w:t>SMLUVNÍ STRANY:</w:t>
      </w:r>
    </w:p>
    <w:p w:rsidR="00241E38" w:rsidRDefault="00D41A51">
      <w:pPr>
        <w:ind w:left="687" w:right="917" w:firstLine="1848"/>
      </w:pPr>
      <w:r>
        <w:t xml:space="preserve">Zdravotní ústav se sídlem v ústí nad Labem příspěvková organizace Ministerstva zdravotnictví ČR </w:t>
      </w:r>
      <w:proofErr w:type="spellStart"/>
      <w:r>
        <w:t>lč</w:t>
      </w:r>
      <w:proofErr w:type="spellEnd"/>
      <w:r>
        <w:t xml:space="preserve">: 71009361, DIČ: CZ7100936, plátce DPH se sídlem Moskevská 15, 400 Ol Ústí nad Labem zastoupený Ing. Pavlem </w:t>
      </w:r>
      <w:proofErr w:type="spellStart"/>
      <w:r>
        <w:t>Bernáthem</w:t>
      </w:r>
      <w:proofErr w:type="spellEnd"/>
      <w:r>
        <w:t>, ředitelem na základě jmenovacího dekret</w:t>
      </w:r>
      <w:r>
        <w:t>u č.j.: MZDR 12222/2012-12/PER ze dne 28. května 2012</w:t>
      </w:r>
    </w:p>
    <w:p w:rsidR="00241E38" w:rsidRDefault="00D41A51">
      <w:pPr>
        <w:spacing w:line="432" w:lineRule="auto"/>
        <w:ind w:left="4551" w:right="3922" w:hanging="768"/>
      </w:pPr>
      <w:r>
        <w:t>(dále též jen „ZÚ”) a</w:t>
      </w:r>
    </w:p>
    <w:p w:rsidR="00241E38" w:rsidRDefault="00D41A51">
      <w:pPr>
        <w:spacing w:after="557"/>
        <w:ind w:left="1570" w:right="1786" w:firstLine="917"/>
      </w:pPr>
      <w:r>
        <w:t xml:space="preserve">Centrum pro regionální rozvoj České republiky příspěvková organizace </w:t>
      </w:r>
      <w:proofErr w:type="spellStart"/>
      <w:r>
        <w:t>lč</w:t>
      </w:r>
      <w:proofErr w:type="spellEnd"/>
      <w:r>
        <w:t xml:space="preserve">: 04095316, DIČ: CZ04095316, neplátce DPH se sídlem U Nákladového nádraží 3144/4, 130 OO Praha 3 - Strašnice zastoupená Ing. Zdeňkem Vašákem, generálním ředitelem </w:t>
      </w:r>
      <w:r>
        <w:rPr>
          <w:noProof/>
        </w:rPr>
        <w:drawing>
          <wp:inline distT="0" distB="0" distL="0" distR="0">
            <wp:extent cx="3049" cy="12196"/>
            <wp:effectExtent l="0" t="0" r="0" b="0"/>
            <wp:docPr id="2065" name="Picture 2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20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(dále též jen „Centr</w:t>
      </w:r>
      <w:r>
        <w:t>um”)</w:t>
      </w:r>
    </w:p>
    <w:p w:rsidR="00241E38" w:rsidRDefault="00D41A51">
      <w:pPr>
        <w:spacing w:after="624"/>
        <w:ind w:left="10" w:right="202"/>
      </w:pPr>
      <w:r>
        <w:t xml:space="preserve">uzavírají podle zákona č. 219/2000 Sb., o majetku České republiky a jejím vystupování v právních vztazích, ve znění pozdějších předpisů (dále jen „zákon”) a v souladu s </w:t>
      </w:r>
      <w:proofErr w:type="spellStart"/>
      <w:r>
        <w:t>S</w:t>
      </w:r>
      <w:proofErr w:type="spellEnd"/>
      <w:r>
        <w:t xml:space="preserve"> 14 odst. 4 vyhlášky č. 62/2001 Sb., o hospodaření organizačních složek státu a s</w:t>
      </w:r>
      <w:r>
        <w:t>tátních organizací s majetkem státu ve znění pozdějších předpisů (dále jen „vyhláška”)</w:t>
      </w:r>
    </w:p>
    <w:p w:rsidR="00241E38" w:rsidRDefault="00D41A51">
      <w:pPr>
        <w:spacing w:after="184" w:line="259" w:lineRule="auto"/>
        <w:ind w:left="1013" w:right="0" w:firstLine="0"/>
        <w:jc w:val="left"/>
      </w:pPr>
      <w:r>
        <w:rPr>
          <w:sz w:val="30"/>
        </w:rPr>
        <w:t>Dodatek č. 8 ke smlouvě o užívání nebytových prostor</w:t>
      </w:r>
    </w:p>
    <w:p w:rsidR="00241E38" w:rsidRDefault="00D41A51">
      <w:pPr>
        <w:spacing w:after="159" w:line="259" w:lineRule="auto"/>
        <w:ind w:left="34" w:right="182" w:hanging="10"/>
        <w:jc w:val="center"/>
      </w:pPr>
      <w:r>
        <w:rPr>
          <w:sz w:val="24"/>
        </w:rPr>
        <w:t>l. Prohlášení</w:t>
      </w:r>
    </w:p>
    <w:p w:rsidR="00241E38" w:rsidRDefault="00D41A51">
      <w:pPr>
        <w:ind w:left="10" w:right="182"/>
      </w:pPr>
      <w:r>
        <w:t xml:space="preserve">Smluvní strany prohlašují, že dne 8. 2. 2016 uzavřely smlouvu o užívání nebytových prostor, na adrese </w:t>
      </w:r>
      <w:r>
        <w:t>17. listopadu 1926/1, Plzeň (dále jen „smlouva”) a dále dodatek č. 1 k této smlouvě ze dne 20. 12. 2016, dodatek č. 2 ze dne 1. 3. 2017, dodatek č. 3 ze dne 9. 6. 2017, dodatek č. 4 ze dne 31. 07. 2017, dodatek</w:t>
      </w:r>
    </w:p>
    <w:p w:rsidR="00241E38" w:rsidRDefault="00D41A51">
      <w:pPr>
        <w:spacing w:after="240" w:line="259" w:lineRule="auto"/>
        <w:ind w:left="24" w:right="0" w:hanging="10"/>
        <w:jc w:val="left"/>
      </w:pPr>
      <w:r>
        <w:rPr>
          <w:sz w:val="24"/>
        </w:rPr>
        <w:t>č. 5 ze dne 8. 1. 2018, dodatek č. 6 ze dne 2</w:t>
      </w:r>
      <w:r>
        <w:rPr>
          <w:sz w:val="24"/>
        </w:rPr>
        <w:t>9. 03. 2018 a dodatek č. 7 ze dne 27. 12. 2018.</w:t>
      </w:r>
    </w:p>
    <w:p w:rsidR="00241E38" w:rsidRDefault="00D41A51">
      <w:pPr>
        <w:spacing w:after="543"/>
        <w:ind w:left="10" w:right="95"/>
      </w:pPr>
      <w:r>
        <w:t>Smluvní strany se dohodly na změně smlouvy dodatkem č. 8. takto:</w:t>
      </w:r>
    </w:p>
    <w:p w:rsidR="00241E38" w:rsidRDefault="00D41A51">
      <w:pPr>
        <w:spacing w:after="214" w:line="259" w:lineRule="auto"/>
        <w:ind w:left="34" w:right="182" w:hanging="10"/>
        <w:jc w:val="center"/>
      </w:pPr>
      <w:r>
        <w:rPr>
          <w:sz w:val="24"/>
        </w:rPr>
        <w:t>II. Předmět dodatku</w:t>
      </w:r>
    </w:p>
    <w:p w:rsidR="00241E38" w:rsidRDefault="00D41A51">
      <w:pPr>
        <w:spacing w:after="0" w:line="259" w:lineRule="auto"/>
        <w:ind w:left="24" w:right="0" w:hanging="10"/>
        <w:jc w:val="left"/>
      </w:pPr>
      <w:r>
        <w:rPr>
          <w:sz w:val="24"/>
        </w:rPr>
        <w:t>Článek V. Poskytované služby a jejich úhrada, bod 6. se mění tak, že nadále bude znít takto:</w:t>
      </w:r>
    </w:p>
    <w:p w:rsidR="00241E38" w:rsidRDefault="00D41A51">
      <w:pPr>
        <w:spacing w:after="224"/>
        <w:ind w:left="10" w:right="95"/>
      </w:pPr>
      <w:r>
        <w:t>Úklid nebytových prostor včetně dodání hygienických a čisticích prostředků pro sociální zařízení v nebytových prostorách bude pro Centrum zajišťovat ZÚ a Centrum m</w:t>
      </w:r>
      <w:r>
        <w:t xml:space="preserve">u bude náklady s tím spojené nahrazovat paušálně, a to částkou ve výši 5 048 Kč/ kalendářní měsíc. Hygienické a čisticí prostředky pro sociální zařízení a kuchyňku nejsou zahrnuty v této paušální částce. Náklady spojené s dodáním </w:t>
      </w:r>
      <w:r>
        <w:t>hygienických a čisticích p</w:t>
      </w:r>
      <w:r>
        <w:t xml:space="preserve">rostředků pro sociální zařízení a kuchyňku, </w:t>
      </w:r>
      <w:proofErr w:type="spellStart"/>
      <w:r>
        <w:t>kteréjsou</w:t>
      </w:r>
      <w:proofErr w:type="spellEnd"/>
      <w:r>
        <w:t xml:space="preserve"> užívány pracovníky Centra, </w:t>
      </w:r>
      <w:r>
        <w:t xml:space="preserve">budou účtovány samostatně, na základě skutečné spotřeby. Samostatně bude účtováno i oboustranné </w:t>
      </w:r>
      <w:r>
        <w:lastRenderedPageBreak/>
        <w:t>mytí oken včetně rámů a parapetů, a to za cenu účtovanou poskytovatelem služby.</w:t>
      </w:r>
      <w:r>
        <w:t xml:space="preserve"> Specifikace úklidových </w:t>
      </w:r>
      <w:r>
        <w:t>prací uvedená v příloze č.2 smlouvy o užívání nebytových prostor se nemění.</w:t>
      </w:r>
    </w:p>
    <w:p w:rsidR="00241E38" w:rsidRDefault="00D41A51">
      <w:pPr>
        <w:spacing w:after="610"/>
        <w:ind w:left="125" w:right="95"/>
      </w:pPr>
      <w:r>
        <w:t>Ostatní ustanovení aktuálního znění smlouvy zůstávají beze změn.</w:t>
      </w:r>
    </w:p>
    <w:p w:rsidR="00241E38" w:rsidRDefault="00D41A51">
      <w:pPr>
        <w:spacing w:after="248" w:line="259" w:lineRule="auto"/>
        <w:ind w:left="34" w:right="0" w:hanging="10"/>
        <w:jc w:val="center"/>
      </w:pPr>
      <w:r>
        <w:rPr>
          <w:sz w:val="24"/>
        </w:rPr>
        <w:t xml:space="preserve">Článek </w:t>
      </w:r>
      <w:proofErr w:type="spellStart"/>
      <w:r>
        <w:rPr>
          <w:sz w:val="24"/>
        </w:rPr>
        <w:t>Ill</w:t>
      </w:r>
      <w:proofErr w:type="spellEnd"/>
      <w:r>
        <w:rPr>
          <w:sz w:val="24"/>
        </w:rPr>
        <w:t>. Závěrečná ustanovení</w:t>
      </w:r>
    </w:p>
    <w:p w:rsidR="00241E38" w:rsidRDefault="00D41A51">
      <w:pPr>
        <w:ind w:left="115" w:right="95"/>
      </w:pPr>
      <w:r>
        <w:t>Vzhledem k veřejnoprávnímu charakteru Centra i ZÚ svým pod</w:t>
      </w:r>
      <w:r>
        <w:t>pisem pod textem tohoto dodatku vyjadřují smluvní strany svůj výslovný souhlas s uveřejněním Smlouvy a jejich dodatků (včetně tohoto dodatku č.8) a se sdělováním informací o jejich obsahu v rozsahu a za podmínek vyplývajících z příslušných právních předpis</w:t>
      </w:r>
      <w:r>
        <w:t>ů (zejména ustanovení S 219 zákona č. 134/2016 Sb., o zadávání veřejných zakázek, a zákona č. 106/1999 Sb., o svobodném přístupu k informacím, ve znění pozdějších předpisů), jakož i se zveřejněním smluvních podmínek obsažených ve Smlouvě a jejich dodatcích</w:t>
      </w:r>
      <w:r>
        <w:t xml:space="preserve"> v registru smluv zřízeném zákonem č. 340/2015 Sb., o zvláštních podmínkách účinnosti některých smluv, uveřejňování těchto smluv a o registru smluv (zákon o registru smluv). Uveřejnění tohoto dodatku v registru smluv</w:t>
      </w:r>
    </w:p>
    <w:p w:rsidR="00241E38" w:rsidRDefault="00D41A51">
      <w:pPr>
        <w:spacing w:after="310"/>
        <w:ind w:left="130" w:right="95"/>
      </w:pPr>
      <w:r>
        <w:t>zajistí ZI].</w:t>
      </w:r>
    </w:p>
    <w:p w:rsidR="00241E38" w:rsidRDefault="00D41A51">
      <w:pPr>
        <w:spacing w:after="258"/>
        <w:ind w:left="120" w:right="95"/>
      </w:pPr>
      <w:r>
        <w:t>Tento dodatek nabývá platn</w:t>
      </w:r>
      <w:r>
        <w:t>osti dnem jeho podpisu oběma smluvními stranami a účinnosti dnem zveřejnění v registru smluv, nejdříve však dnem 1. 4. 2019. Byl sepsán ve čtyřech vyhotoveních. Každá strana obdržela po jeho podpisu dva exempláře.</w:t>
      </w:r>
    </w:p>
    <w:p w:rsidR="00241E38" w:rsidRDefault="00D41A51">
      <w:pPr>
        <w:spacing w:after="0" w:line="259" w:lineRule="auto"/>
        <w:ind w:left="-293" w:right="0" w:firstLine="0"/>
        <w:jc w:val="left"/>
      </w:pPr>
      <w:r>
        <w:rPr>
          <w:noProof/>
        </w:rPr>
        <w:drawing>
          <wp:inline distT="0" distB="0" distL="0" distR="0">
            <wp:extent cx="317056" cy="15244"/>
            <wp:effectExtent l="0" t="0" r="0" b="0"/>
            <wp:docPr id="4430" name="Picture 4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0" name="Picture 44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05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E38" w:rsidRDefault="00241E38">
      <w:pPr>
        <w:sectPr w:rsidR="00241E38">
          <w:pgSz w:w="11906" w:h="16838"/>
          <w:pgMar w:top="845" w:right="1123" w:bottom="1466" w:left="1368" w:header="708" w:footer="708" w:gutter="0"/>
          <w:cols w:space="708"/>
        </w:sectPr>
      </w:pPr>
    </w:p>
    <w:p w:rsidR="00241E38" w:rsidRDefault="00D41A51">
      <w:pPr>
        <w:spacing w:after="1141"/>
        <w:ind w:left="10" w:right="-1368"/>
      </w:pPr>
      <w:r>
        <w:t>V Praze, dne</w:t>
      </w:r>
      <w:r>
        <w:rPr>
          <w:noProof/>
        </w:rPr>
        <w:drawing>
          <wp:inline distT="0" distB="0" distL="0" distR="0">
            <wp:extent cx="920681" cy="192079"/>
            <wp:effectExtent l="0" t="0" r="0" b="0"/>
            <wp:docPr id="8846" name="Picture 8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" name="Picture 88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0681" cy="19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Ústí nad La</w:t>
      </w:r>
      <w:r>
        <w:t>bem, dne</w:t>
      </w:r>
      <w:r>
        <w:rPr>
          <w:noProof/>
        </w:rPr>
        <w:drawing>
          <wp:inline distT="0" distB="0" distL="0" distR="0">
            <wp:extent cx="1201154" cy="393305"/>
            <wp:effectExtent l="0" t="0" r="0" b="0"/>
            <wp:docPr id="8848" name="Picture 8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" name="Picture 88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1154" cy="3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6577" w:tblpY="579"/>
        <w:tblOverlap w:val="never"/>
        <w:tblW w:w="111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947"/>
      </w:tblGrid>
      <w:tr w:rsidR="00241E38">
        <w:trPr>
          <w:trHeight w:val="235"/>
        </w:trPr>
        <w:tc>
          <w:tcPr>
            <w:tcW w:w="4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41E38" w:rsidRDefault="00D41A51">
            <w:pPr>
              <w:spacing w:after="0" w:line="259" w:lineRule="auto"/>
              <w:ind w:left="77" w:right="0" w:firstLine="0"/>
              <w:jc w:val="left"/>
            </w:pPr>
            <w:r>
              <w:t>(za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241E38" w:rsidRDefault="00D41A51">
            <w:pPr>
              <w:spacing w:after="50" w:line="259" w:lineRule="auto"/>
              <w:ind w:left="265" w:right="-12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7910" cy="109759"/>
                  <wp:effectExtent l="0" t="0" r="0" b="0"/>
                  <wp:docPr id="8852" name="Picture 8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2" name="Picture 88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10" cy="109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1E38" w:rsidRDefault="00D41A51">
            <w:pPr>
              <w:spacing w:after="0" w:line="259" w:lineRule="auto"/>
              <w:ind w:left="73" w:right="0" w:firstLine="0"/>
              <w:jc w:val="left"/>
            </w:pPr>
            <w:proofErr w:type="spellStart"/>
            <w:proofErr w:type="gramStart"/>
            <w:r>
              <w:rPr>
                <w:sz w:val="16"/>
              </w:rPr>
              <w:t>sí</w:t>
            </w:r>
            <w:proofErr w:type="spellEnd"/>
            <w:r>
              <w:rPr>
                <w:sz w:val="16"/>
              </w:rPr>
              <w:t>{</w:t>
            </w:r>
            <w:proofErr w:type="spellStart"/>
            <w:proofErr w:type="gramEnd"/>
            <w:r>
              <w:rPr>
                <w:sz w:val="16"/>
              </w:rPr>
              <w:t>ilem</w:t>
            </w:r>
            <w:proofErr w:type="spellEnd"/>
            <w:r>
              <w:rPr>
                <w:sz w:val="16"/>
              </w:rPr>
              <w:t xml:space="preserve"> v </w:t>
            </w:r>
          </w:p>
          <w:p w:rsidR="00241E38" w:rsidRDefault="00D41A51">
            <w:pPr>
              <w:spacing w:after="0" w:line="259" w:lineRule="auto"/>
              <w:ind w:left="-23" w:right="-31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15820" cy="295740"/>
                  <wp:effectExtent l="0" t="0" r="0" b="0"/>
                  <wp:docPr id="4434" name="Picture 4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4" name="Picture 443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20" cy="29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E38">
        <w:trPr>
          <w:trHeight w:val="747"/>
        </w:trPr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1E38" w:rsidRDefault="00D41A51">
            <w:pPr>
              <w:spacing w:after="0" w:line="259" w:lineRule="auto"/>
              <w:ind w:right="-30" w:firstLine="0"/>
              <w:jc w:val="right"/>
            </w:pPr>
            <w:r>
              <w:rPr>
                <w:sz w:val="16"/>
              </w:rPr>
              <w:t xml:space="preserve">se </w:t>
            </w:r>
          </w:p>
          <w:p w:rsidR="00241E38" w:rsidRDefault="00D41A51">
            <w:pPr>
              <w:spacing w:after="0" w:line="259" w:lineRule="auto"/>
              <w:ind w:right="-222" w:firstLine="0"/>
              <w:jc w:val="right"/>
            </w:pPr>
            <w:r>
              <w:rPr>
                <w:sz w:val="14"/>
              </w:rPr>
              <w:t xml:space="preserve">Moskevská 'd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41E38" w:rsidRDefault="00241E38">
            <w:pPr>
              <w:spacing w:after="160" w:line="259" w:lineRule="auto"/>
              <w:ind w:right="0" w:firstLine="0"/>
              <w:jc w:val="left"/>
            </w:pPr>
          </w:p>
        </w:tc>
      </w:tr>
    </w:tbl>
    <w:tbl>
      <w:tblPr>
        <w:tblStyle w:val="TableGrid"/>
        <w:tblpPr w:vertAnchor="text" w:tblpX="7886" w:tblpY="743"/>
        <w:tblOverlap w:val="never"/>
        <w:tblW w:w="1191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1"/>
      </w:tblGrid>
      <w:tr w:rsidR="00241E38">
        <w:trPr>
          <w:trHeight w:val="787"/>
        </w:trPr>
        <w:tc>
          <w:tcPr>
            <w:tcW w:w="11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41E38" w:rsidRDefault="00D41A51">
            <w:pPr>
              <w:spacing w:after="0" w:line="259" w:lineRule="auto"/>
              <w:ind w:left="190" w:right="0" w:firstLine="0"/>
              <w:jc w:val="left"/>
            </w:pPr>
            <w:r>
              <w:t>USTAV</w:t>
            </w:r>
          </w:p>
          <w:p w:rsidR="00241E38" w:rsidRDefault="00D41A51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16"/>
              </w:rPr>
              <w:t>nad Labem</w:t>
            </w:r>
          </w:p>
          <w:p w:rsidR="00241E38" w:rsidRDefault="00D41A51">
            <w:pPr>
              <w:spacing w:after="0" w:line="259" w:lineRule="auto"/>
              <w:ind w:left="84" w:right="0" w:hanging="139"/>
              <w:jc w:val="left"/>
            </w:pPr>
            <w:proofErr w:type="spellStart"/>
            <w:r>
              <w:rPr>
                <w:sz w:val="16"/>
              </w:rPr>
              <w:t>Cfi</w:t>
            </w:r>
            <w:proofErr w:type="spellEnd"/>
            <w:r>
              <w:rPr>
                <w:sz w:val="16"/>
              </w:rPr>
              <w:t xml:space="preserve"> ústí nad cz71009361</w:t>
            </w:r>
          </w:p>
        </w:tc>
      </w:tr>
    </w:tbl>
    <w:p w:rsidR="00241E38" w:rsidRDefault="00D41A51">
      <w:pPr>
        <w:spacing w:after="355"/>
        <w:ind w:left="610" w:right="95" w:hanging="600"/>
      </w:pPr>
      <w:bookmarkStart w:id="0" w:name="_GoBack"/>
      <w:bookmarkEnd w:id="0"/>
      <w:r>
        <w:t xml:space="preserve">Ing. Pavel </w:t>
      </w:r>
      <w:proofErr w:type="spellStart"/>
      <w:r>
        <w:t>Bernáth</w:t>
      </w:r>
      <w:proofErr w:type="spellEnd"/>
      <w:r>
        <w:t xml:space="preserve"> ředitel</w:t>
      </w:r>
    </w:p>
    <w:p w:rsidR="00241E38" w:rsidRDefault="00D41A51">
      <w:pPr>
        <w:spacing w:after="0" w:line="259" w:lineRule="auto"/>
        <w:ind w:left="10" w:right="0" w:firstLine="0"/>
        <w:jc w:val="right"/>
      </w:pPr>
      <w:r>
        <w:rPr>
          <w:sz w:val="18"/>
        </w:rPr>
        <w:t xml:space="preserve">ústi </w:t>
      </w:r>
    </w:p>
    <w:sectPr w:rsidR="00241E38">
      <w:type w:val="continuous"/>
      <w:pgSz w:w="11906" w:h="16838"/>
      <w:pgMar w:top="845" w:right="2487" w:bottom="4798" w:left="14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38"/>
    <w:rsid w:val="00241E38"/>
    <w:rsid w:val="00265105"/>
    <w:rsid w:val="00D4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3FB8F-D45D-4A5A-A5BF-DD7EC26E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" w:line="262" w:lineRule="auto"/>
      <w:ind w:right="408" w:firstLine="4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5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0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2019-04-24T10:27:00Z</dcterms:created>
  <dcterms:modified xsi:type="dcterms:W3CDTF">2019-04-24T10:27:00Z</dcterms:modified>
</cp:coreProperties>
</file>