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84" w:rsidRDefault="00FD17CF">
      <w:pPr>
        <w:pStyle w:val="Bodytext20"/>
        <w:framePr w:wrap="none" w:vAnchor="page" w:hAnchor="page" w:x="1324" w:y="1217"/>
        <w:shd w:val="clear" w:color="auto" w:fill="auto"/>
        <w:spacing w:after="0"/>
        <w:ind w:firstLine="0"/>
      </w:pPr>
      <w:r>
        <w:t>Příloha č. 2</w:t>
      </w:r>
    </w:p>
    <w:p w:rsidR="00626284" w:rsidRDefault="00FD17CF">
      <w:pPr>
        <w:pStyle w:val="Bodytext20"/>
        <w:framePr w:w="8995" w:h="1401" w:hRule="exact" w:wrap="none" w:vAnchor="page" w:hAnchor="page" w:x="1324" w:y="1988"/>
        <w:shd w:val="clear" w:color="auto" w:fill="auto"/>
        <w:spacing w:after="0" w:line="269" w:lineRule="exact"/>
        <w:ind w:right="140" w:firstLine="0"/>
        <w:jc w:val="center"/>
      </w:pPr>
      <w:r>
        <w:t>Specifikace prostor</w:t>
      </w:r>
      <w:r w:rsidR="006D2BE2">
        <w:t xml:space="preserve"> </w:t>
      </w:r>
      <w:r>
        <w:t>a technologií</w:t>
      </w:r>
    </w:p>
    <w:p w:rsidR="00626284" w:rsidRDefault="00FD17CF">
      <w:pPr>
        <w:pStyle w:val="Bodytext20"/>
        <w:framePr w:w="8995" w:h="1401" w:hRule="exact" w:wrap="none" w:vAnchor="page" w:hAnchor="page" w:x="1324" w:y="1988"/>
        <w:shd w:val="clear" w:color="auto" w:fill="auto"/>
        <w:spacing w:after="0" w:line="269" w:lineRule="exact"/>
        <w:ind w:right="140" w:firstLine="0"/>
        <w:jc w:val="center"/>
      </w:pPr>
      <w:r>
        <w:t>na základě smlouvy „o společném pořádání", kterou uzavřeli dne 11/4/2019</w:t>
      </w:r>
    </w:p>
    <w:p w:rsidR="00626284" w:rsidRDefault="00FD17CF">
      <w:pPr>
        <w:pStyle w:val="Bodytext20"/>
        <w:framePr w:w="8995" w:h="1401" w:hRule="exact" w:wrap="none" w:vAnchor="page" w:hAnchor="page" w:x="1324" w:y="1988"/>
        <w:shd w:val="clear" w:color="auto" w:fill="auto"/>
        <w:spacing w:after="0" w:line="269" w:lineRule="exact"/>
        <w:ind w:right="140" w:firstLine="0"/>
        <w:jc w:val="center"/>
      </w:pPr>
      <w:r>
        <w:t>Hudební divadlo v Karl</w:t>
      </w:r>
      <w:r w:rsidR="006D2BE2">
        <w:t>í</w:t>
      </w:r>
      <w:r>
        <w:t>ně</w:t>
      </w:r>
      <w:r>
        <w:br/>
        <w:t>a</w:t>
      </w:r>
    </w:p>
    <w:p w:rsidR="00626284" w:rsidRDefault="00FD17CF">
      <w:pPr>
        <w:pStyle w:val="Bodytext20"/>
        <w:framePr w:w="8995" w:h="1401" w:hRule="exact" w:wrap="none" w:vAnchor="page" w:hAnchor="page" w:x="1324" w:y="1988"/>
        <w:shd w:val="clear" w:color="auto" w:fill="auto"/>
        <w:spacing w:after="0" w:line="269" w:lineRule="exact"/>
        <w:ind w:right="140" w:firstLine="0"/>
        <w:jc w:val="center"/>
      </w:pPr>
      <w:r>
        <w:t>Tanec Praha, z. ú.</w:t>
      </w:r>
    </w:p>
    <w:p w:rsidR="00626284" w:rsidRDefault="00FD17CF">
      <w:pPr>
        <w:pStyle w:val="Heading10"/>
        <w:framePr w:w="8995" w:h="4563" w:hRule="exact" w:wrap="none" w:vAnchor="page" w:hAnchor="page" w:x="1324" w:y="3915"/>
        <w:shd w:val="clear" w:color="auto" w:fill="auto"/>
        <w:spacing w:before="0"/>
      </w:pPr>
      <w:bookmarkStart w:id="0" w:name="bookmark0"/>
      <w:r>
        <w:t>Technologie:</w:t>
      </w:r>
      <w:bookmarkEnd w:id="0"/>
    </w:p>
    <w:p w:rsidR="00626284" w:rsidRDefault="00FD17CF">
      <w:pPr>
        <w:pStyle w:val="Bodytext20"/>
        <w:framePr w:w="8995" w:h="4563" w:hRule="exact" w:wrap="none" w:vAnchor="page" w:hAnchor="page" w:x="1324" w:y="3915"/>
        <w:shd w:val="clear" w:color="auto" w:fill="auto"/>
        <w:spacing w:after="248"/>
        <w:ind w:firstLine="0"/>
      </w:pPr>
      <w:r>
        <w:t>Veškeré jevištní, světelné a zvukové technologie.</w:t>
      </w:r>
    </w:p>
    <w:p w:rsidR="00626284" w:rsidRDefault="00FD17CF">
      <w:pPr>
        <w:pStyle w:val="Heading10"/>
        <w:framePr w:w="8995" w:h="4563" w:hRule="exact" w:wrap="none" w:vAnchor="page" w:hAnchor="page" w:x="1324" w:y="3915"/>
        <w:shd w:val="clear" w:color="auto" w:fill="auto"/>
        <w:spacing w:before="0" w:line="264" w:lineRule="exact"/>
      </w:pPr>
      <w:bookmarkStart w:id="1" w:name="bookmark1"/>
      <w:r>
        <w:t>Prostory:</w:t>
      </w:r>
      <w:bookmarkEnd w:id="1"/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Sál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Jeviště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Zákulisí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Foyer 1.NP + 2.NP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Místnost zvuku 1.163A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Místnost 1.60 + 1.59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 xml:space="preserve">herecké šatny </w:t>
      </w:r>
      <w:r w:rsidR="006D2BE2">
        <w:t>10</w:t>
      </w:r>
      <w:r>
        <w:t>x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chodby divadla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264" w:lineRule="exact"/>
        <w:ind w:left="740"/>
      </w:pPr>
      <w:r>
        <w:t>šatny orchestru</w:t>
      </w:r>
    </w:p>
    <w:p w:rsidR="00626284" w:rsidRDefault="00FD17CF">
      <w:pPr>
        <w:pStyle w:val="Bodytext20"/>
        <w:framePr w:w="8995" w:h="4563" w:hRule="exact" w:wrap="none" w:vAnchor="page" w:hAnchor="page" w:x="1324" w:y="3915"/>
        <w:numPr>
          <w:ilvl w:val="0"/>
          <w:numId w:val="1"/>
        </w:numPr>
        <w:shd w:val="clear" w:color="auto" w:fill="auto"/>
        <w:tabs>
          <w:tab w:val="left" w:pos="854"/>
        </w:tabs>
        <w:spacing w:after="331" w:line="264" w:lineRule="exact"/>
        <w:ind w:left="740"/>
      </w:pPr>
      <w:r>
        <w:t>a ostatní zákulisní prostory divadla vyjma administrativní části divadla a prostor využívaných společností Astacus.</w:t>
      </w:r>
    </w:p>
    <w:p w:rsidR="00626284" w:rsidRDefault="00FD17CF">
      <w:pPr>
        <w:pStyle w:val="Heading10"/>
        <w:framePr w:w="8995" w:h="4563" w:hRule="exact" w:wrap="none" w:vAnchor="page" w:hAnchor="page" w:x="1324" w:y="3915"/>
        <w:shd w:val="clear" w:color="auto" w:fill="auto"/>
        <w:spacing w:before="0"/>
      </w:pPr>
      <w:bookmarkStart w:id="2" w:name="bookmark2"/>
      <w:r>
        <w:t>Všechny zmíněné techn</w:t>
      </w:r>
      <w:r>
        <w:t>ologie budou obsluhovat zaměstnanci a pověření pracovníci divadla.</w:t>
      </w:r>
      <w:bookmarkEnd w:id="2"/>
    </w:p>
    <w:p w:rsidR="00626284" w:rsidRDefault="00626284">
      <w:pPr>
        <w:rPr>
          <w:sz w:val="2"/>
          <w:szCs w:val="2"/>
        </w:rPr>
      </w:pPr>
      <w:bookmarkStart w:id="3" w:name="_GoBack"/>
      <w:bookmarkEnd w:id="3"/>
    </w:p>
    <w:sectPr w:rsidR="0062628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CF" w:rsidRDefault="00FD17CF">
      <w:r>
        <w:separator/>
      </w:r>
    </w:p>
  </w:endnote>
  <w:endnote w:type="continuationSeparator" w:id="0">
    <w:p w:rsidR="00FD17CF" w:rsidRDefault="00F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CF" w:rsidRDefault="00FD17CF"/>
  </w:footnote>
  <w:footnote w:type="continuationSeparator" w:id="0">
    <w:p w:rsidR="00FD17CF" w:rsidRDefault="00FD17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1EB9"/>
    <w:multiLevelType w:val="multilevel"/>
    <w:tmpl w:val="C18EDFE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6284"/>
    <w:rsid w:val="00626284"/>
    <w:rsid w:val="006D2BE2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9D6C"/>
  <w15:docId w15:val="{F0ED8853-7B92-4B84-B257-0F43ABEC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24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200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2019-04-17T12:55:00Z</dcterms:created>
  <dcterms:modified xsi:type="dcterms:W3CDTF">2019-04-17T12:56:00Z</dcterms:modified>
</cp:coreProperties>
</file>