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73E4" w:rsidRDefault="00EC4BE1">
      <w:pPr>
        <w:spacing w:after="406" w:line="216" w:lineRule="auto"/>
        <w:ind w:firstLine="5"/>
        <w:jc w:val="left"/>
      </w:pPr>
      <w:r>
        <w:rPr>
          <w:sz w:val="38"/>
        </w:rPr>
        <w:t>Dodatek č. 1 ke Smlouvě o poskytování poradenských služeb ze dne 2. 5. 2018</w:t>
      </w:r>
    </w:p>
    <w:p w:rsidR="005073E4" w:rsidRPr="0066631E" w:rsidRDefault="00EC4BE1">
      <w:pPr>
        <w:ind w:right="19"/>
      </w:pPr>
      <w:r w:rsidRPr="0066631E">
        <w:t>BDO Advisory s.r.o.</w:t>
      </w:r>
    </w:p>
    <w:p w:rsidR="005073E4" w:rsidRPr="0066631E" w:rsidRDefault="00EC4BE1">
      <w:pPr>
        <w:spacing w:after="234"/>
        <w:ind w:right="19"/>
      </w:pPr>
      <w:r w:rsidRPr="0066631E">
        <w:t xml:space="preserve">se sídlem Karolinská 661 /4, 186 00 Praha 8, </w:t>
      </w:r>
      <w:r w:rsidR="00D04E89" w:rsidRPr="0066631E">
        <w:t>IČ</w:t>
      </w:r>
      <w:r w:rsidRPr="0066631E">
        <w:t xml:space="preserve">: 272 44 784, zapsaná do obchodního rejstříku vedeného Městským soudem v Praze, oddíl C, vložka </w:t>
      </w:r>
      <w:r w:rsidRPr="0066631E">
        <w:t xml:space="preserve">107235, </w:t>
      </w:r>
      <w:r w:rsidRPr="0066631E">
        <w:t xml:space="preserve">jednající panem Ing. Radovanem </w:t>
      </w:r>
      <w:proofErr w:type="spellStart"/>
      <w:r w:rsidRPr="0066631E">
        <w:t>Haukem</w:t>
      </w:r>
      <w:proofErr w:type="spellEnd"/>
      <w:r w:rsidRPr="0066631E">
        <w:t>, jednatelem,</w:t>
      </w:r>
    </w:p>
    <w:p w:rsidR="005073E4" w:rsidRPr="0066631E" w:rsidRDefault="00EC4BE1">
      <w:pPr>
        <w:spacing w:after="261"/>
        <w:ind w:right="19"/>
      </w:pPr>
      <w:r w:rsidRPr="0066631E">
        <w:t>(dále jen „Poradce”)</w:t>
      </w:r>
    </w:p>
    <w:p w:rsidR="005073E4" w:rsidRPr="0066631E" w:rsidRDefault="00EC4BE1">
      <w:pPr>
        <w:spacing w:after="259" w:line="259" w:lineRule="auto"/>
        <w:ind w:left="5"/>
        <w:jc w:val="left"/>
      </w:pPr>
      <w:r w:rsidRPr="0066631E">
        <w:t>a</w:t>
      </w:r>
    </w:p>
    <w:p w:rsidR="005073E4" w:rsidRPr="0066631E" w:rsidRDefault="00EC4BE1">
      <w:pPr>
        <w:spacing w:after="0" w:line="229" w:lineRule="auto"/>
        <w:ind w:left="10" w:hanging="10"/>
        <w:jc w:val="left"/>
      </w:pPr>
      <w:r w:rsidRPr="0066631E">
        <w:t>Vyšší odborná škola zdravotnick</w:t>
      </w:r>
      <w:r w:rsidRPr="0066631E">
        <w:t>á a Střední zdravotnická škola, Praha 1, Alšovo nábřeží 6</w:t>
      </w:r>
    </w:p>
    <w:p w:rsidR="005073E4" w:rsidRPr="0066631E" w:rsidRDefault="00EC4BE1">
      <w:pPr>
        <w:spacing w:after="0"/>
        <w:ind w:right="2707"/>
      </w:pPr>
      <w:r w:rsidRPr="0066631E">
        <w:t>Se sídlem Alšovo nábřeží 82/6, Staré Město 1</w:t>
      </w:r>
      <w:r w:rsidR="00D04E89" w:rsidRPr="0066631E">
        <w:t>10</w:t>
      </w:r>
      <w:r w:rsidRPr="0066631E">
        <w:t xml:space="preserve"> </w:t>
      </w:r>
      <w:r w:rsidR="00D04E89" w:rsidRPr="0066631E">
        <w:t>00</w:t>
      </w:r>
      <w:r w:rsidRPr="0066631E">
        <w:t xml:space="preserve"> Praha </w:t>
      </w:r>
      <w:r w:rsidR="00D04E89" w:rsidRPr="0066631E">
        <w:t>IČ</w:t>
      </w:r>
      <w:r w:rsidRPr="0066631E">
        <w:t>: 00638749</w:t>
      </w:r>
      <w:bookmarkStart w:id="0" w:name="_GoBack"/>
      <w:bookmarkEnd w:id="0"/>
    </w:p>
    <w:p w:rsidR="005073E4" w:rsidRPr="0066631E" w:rsidRDefault="00EC4BE1">
      <w:pPr>
        <w:spacing w:after="263"/>
        <w:ind w:right="19"/>
      </w:pPr>
      <w:r w:rsidRPr="0066631E">
        <w:t>Zastoupena: Mgr. Miloš Tichý, ředitel školy</w:t>
      </w:r>
    </w:p>
    <w:p w:rsidR="005073E4" w:rsidRPr="0066631E" w:rsidRDefault="00EC4BE1">
      <w:pPr>
        <w:spacing w:after="328"/>
        <w:ind w:right="19"/>
      </w:pPr>
      <w:r w:rsidRPr="0066631E">
        <w:t>(dále jen „Klient”).</w:t>
      </w:r>
    </w:p>
    <w:p w:rsidR="005073E4" w:rsidRPr="0066631E" w:rsidRDefault="00EC4BE1">
      <w:pPr>
        <w:spacing w:after="616"/>
        <w:ind w:right="19"/>
      </w:pPr>
      <w:r w:rsidRPr="0066631E">
        <w:t xml:space="preserve">Poradce a Klient (dále společně jen ”Smluvní strany”) uzavřely </w:t>
      </w:r>
      <w:r w:rsidRPr="0066631E">
        <w:t>Smlouvu o poradenské činnosti dne 2. 5. 2018 (dále jen ”Smlouva”) uzavřená ve smyslu ustanovení S 1 746 odst. 2. zákona č. 89/2012 Sb., občanský zákoník, ve znění pozdějších předpisů, přičemž se Smluvní strany dohodly, že Smlouva se mění takto:</w:t>
      </w:r>
    </w:p>
    <w:p w:rsidR="005073E4" w:rsidRPr="0066631E" w:rsidRDefault="00EC4BE1">
      <w:pPr>
        <w:spacing w:after="0" w:line="259" w:lineRule="auto"/>
        <w:ind w:left="44" w:right="58" w:hanging="10"/>
        <w:jc w:val="center"/>
      </w:pPr>
      <w:r w:rsidRPr="0066631E">
        <w:t xml:space="preserve">Článek </w:t>
      </w:r>
      <w:r w:rsidR="00D04E89" w:rsidRPr="0066631E">
        <w:t>II.</w:t>
      </w:r>
    </w:p>
    <w:p w:rsidR="005073E4" w:rsidRPr="0066631E" w:rsidRDefault="00EC4BE1">
      <w:pPr>
        <w:spacing w:after="145" w:line="265" w:lineRule="auto"/>
        <w:ind w:left="48" w:right="43" w:hanging="10"/>
        <w:jc w:val="center"/>
      </w:pPr>
      <w:r w:rsidRPr="0066631E">
        <w:t>Poskytované služby</w:t>
      </w:r>
    </w:p>
    <w:p w:rsidR="005073E4" w:rsidRPr="0066631E" w:rsidRDefault="00EC4BE1">
      <w:pPr>
        <w:spacing w:after="467" w:line="265" w:lineRule="auto"/>
        <w:ind w:left="48" w:right="72" w:hanging="10"/>
        <w:jc w:val="center"/>
      </w:pPr>
      <w:r w:rsidRPr="0066631E">
        <w:t xml:space="preserve">Smluvní strany se dohodly, že článek </w:t>
      </w:r>
      <w:r w:rsidR="00D04E89" w:rsidRPr="0066631E">
        <w:t>II.</w:t>
      </w:r>
      <w:r w:rsidRPr="0066631E">
        <w:t xml:space="preserve"> bude změněn následovně:</w:t>
      </w:r>
    </w:p>
    <w:p w:rsidR="005073E4" w:rsidRDefault="00EC4BE1">
      <w:pPr>
        <w:spacing w:after="235" w:line="259" w:lineRule="auto"/>
        <w:ind w:left="3442"/>
        <w:jc w:val="left"/>
      </w:pPr>
      <w:r>
        <w:rPr>
          <w:noProof/>
        </w:rPr>
        <w:drawing>
          <wp:inline distT="0" distB="0" distL="0" distR="0">
            <wp:extent cx="542580" cy="118877"/>
            <wp:effectExtent l="0" t="0" r="0" b="0"/>
            <wp:docPr id="1067" name="Picture 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Picture 10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580" cy="1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581" w:line="259" w:lineRule="auto"/>
        <w:ind w:left="2986"/>
        <w:jc w:val="left"/>
      </w:pPr>
      <w:r>
        <w:rPr>
          <w:noProof/>
        </w:rPr>
        <w:drawing>
          <wp:inline distT="0" distB="0" distL="0" distR="0">
            <wp:extent cx="1118691" cy="121926"/>
            <wp:effectExtent l="0" t="0" r="0" b="0"/>
            <wp:docPr id="1068" name="Picture 1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Picture 106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8691" cy="1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470" w:line="259" w:lineRule="auto"/>
        <w:ind w:left="-10" w:right="-5"/>
        <w:jc w:val="left"/>
      </w:pPr>
      <w:r>
        <w:rPr>
          <w:noProof/>
        </w:rPr>
        <w:drawing>
          <wp:inline distT="0" distB="0" distL="0" distR="0">
            <wp:extent cx="4931996" cy="691929"/>
            <wp:effectExtent l="0" t="0" r="0" b="0"/>
            <wp:docPr id="16630" name="Picture 16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" name="Picture 1663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1996" cy="69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0" w:line="259" w:lineRule="auto"/>
        <w:ind w:left="931" w:right="-10"/>
        <w:jc w:val="left"/>
      </w:pPr>
      <w:r>
        <w:rPr>
          <w:noProof/>
        </w:rPr>
        <w:drawing>
          <wp:inline distT="0" distB="0" distL="0" distR="0">
            <wp:extent cx="4337596" cy="585243"/>
            <wp:effectExtent l="0" t="0" r="0" b="0"/>
            <wp:docPr id="16632" name="Picture 16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" name="Picture 166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7596" cy="58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5073E4">
      <w:pPr>
        <w:sectPr w:rsidR="005073E4">
          <w:footerReference w:type="even" r:id="rId11"/>
          <w:footerReference w:type="default" r:id="rId12"/>
          <w:footerReference w:type="first" r:id="rId13"/>
          <w:pgSz w:w="11900" w:h="16820"/>
          <w:pgMar w:top="1440" w:right="2160" w:bottom="1440" w:left="1987" w:header="708" w:footer="1536" w:gutter="0"/>
          <w:cols w:space="708"/>
        </w:sectPr>
      </w:pPr>
    </w:p>
    <w:p w:rsidR="005073E4" w:rsidRDefault="00EC4BE1">
      <w:pPr>
        <w:spacing w:after="0" w:line="259" w:lineRule="auto"/>
        <w:ind w:left="-1440" w:right="1046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6634" name="Picture 16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" name="Picture 166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73E4" w:rsidRDefault="005073E4">
      <w:pPr>
        <w:sectPr w:rsidR="005073E4">
          <w:footerReference w:type="even" r:id="rId15"/>
          <w:footerReference w:type="default" r:id="rId16"/>
          <w:footerReference w:type="first" r:id="rId17"/>
          <w:pgSz w:w="11900" w:h="16820"/>
          <w:pgMar w:top="1440" w:right="1440" w:bottom="1440" w:left="1440" w:header="708" w:footer="708" w:gutter="0"/>
          <w:cols w:space="708"/>
        </w:sectPr>
      </w:pPr>
    </w:p>
    <w:p w:rsidR="005073E4" w:rsidRDefault="00EC4BE1">
      <w:pPr>
        <w:spacing w:after="106" w:line="259" w:lineRule="auto"/>
        <w:ind w:left="-24"/>
        <w:jc w:val="left"/>
      </w:pPr>
      <w:r>
        <w:rPr>
          <w:noProof/>
        </w:rPr>
        <w:lastRenderedPageBreak/>
        <w:drawing>
          <wp:inline distT="0" distB="0" distL="0" distR="0">
            <wp:extent cx="4935044" cy="252996"/>
            <wp:effectExtent l="0" t="0" r="0" b="0"/>
            <wp:docPr id="3399" name="Picture 3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" name="Picture 339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5044" cy="25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738" w:line="259" w:lineRule="auto"/>
        <w:ind w:left="-24"/>
        <w:jc w:val="left"/>
      </w:pPr>
      <w:r>
        <w:rPr>
          <w:noProof/>
        </w:rPr>
        <w:drawing>
          <wp:inline distT="0" distB="0" distL="0" distR="0">
            <wp:extent cx="4935044" cy="1298510"/>
            <wp:effectExtent l="0" t="0" r="0" b="0"/>
            <wp:docPr id="16640" name="Picture 16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" name="Picture 166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35044" cy="12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26" w:line="259" w:lineRule="auto"/>
        <w:ind w:left="44" w:right="130" w:hanging="10"/>
        <w:jc w:val="center"/>
      </w:pPr>
      <w:r>
        <w:rPr>
          <w:sz w:val="24"/>
        </w:rPr>
        <w:t xml:space="preserve">Článek </w:t>
      </w:r>
      <w:r w:rsidR="00D04E89">
        <w:rPr>
          <w:sz w:val="24"/>
        </w:rPr>
        <w:t>II</w:t>
      </w:r>
      <w:r>
        <w:rPr>
          <w:sz w:val="24"/>
        </w:rPr>
        <w:t>.</w:t>
      </w:r>
    </w:p>
    <w:p w:rsidR="005073E4" w:rsidRDefault="00EC4BE1">
      <w:pPr>
        <w:spacing w:after="475" w:line="265" w:lineRule="auto"/>
        <w:ind w:left="48" w:right="106" w:hanging="10"/>
        <w:jc w:val="center"/>
      </w:pPr>
      <w:r>
        <w:t>Poskytované služby</w:t>
      </w:r>
    </w:p>
    <w:p w:rsidR="005073E4" w:rsidRDefault="00D04E89" w:rsidP="00D04E89">
      <w:pPr>
        <w:spacing w:after="416"/>
        <w:ind w:left="284" w:right="19" w:hanging="270"/>
      </w:pPr>
      <w:r>
        <w:rPr>
          <w:noProof/>
        </w:rPr>
        <w:t xml:space="preserve">1. </w:t>
      </w:r>
      <w:r w:rsidR="00EC4BE1">
        <w:t>Poradce se zavazuje poskytovat, dle této Smlouvy, Klientovi poradenskou činnost a služby související s implementací a dodržováním nařízením Evropského parlamentu a Rady EU (2016/679) ze dne 27. dubna 2016 0 ochraně fyzických osob v souv</w:t>
      </w:r>
      <w:r w:rsidR="00EC4BE1">
        <w:t>islosti se zpracováním osobních údajů a o volném pohybu těchto údajů a o zrušení směrnice 95/46/ES (dále také „GDPR"), spočívající zejména v poskytnutí:</w:t>
      </w:r>
    </w:p>
    <w:p w:rsidR="00D04E89" w:rsidRDefault="00D04E89" w:rsidP="00D04E89">
      <w:pPr>
        <w:pStyle w:val="Odstavecseseznamem"/>
        <w:numPr>
          <w:ilvl w:val="0"/>
          <w:numId w:val="3"/>
        </w:numPr>
        <w:ind w:left="1134" w:right="19" w:hanging="425"/>
      </w:pPr>
      <w:r>
        <w:t xml:space="preserve">konzultantské </w:t>
      </w:r>
      <w:r w:rsidR="00EC4BE1">
        <w:t>činnosti při řešení problematiky ochrany osobních údajů v návaznosti na výše zmiňované n</w:t>
      </w:r>
      <w:r w:rsidR="00EC4BE1">
        <w:t xml:space="preserve">ařízení GDPR; </w:t>
      </w:r>
    </w:p>
    <w:p w:rsidR="005073E4" w:rsidRDefault="00EC4BE1" w:rsidP="00D04E89">
      <w:pPr>
        <w:pStyle w:val="Odstavecseseznamem"/>
        <w:numPr>
          <w:ilvl w:val="0"/>
          <w:numId w:val="3"/>
        </w:numPr>
        <w:ind w:left="1134" w:right="19" w:hanging="425"/>
      </w:pPr>
      <w:r>
        <w:t>nezbytné součinnosti při odstraňování nálezů popsaných ve zprávě Zpráva nezávislého auditora o ověření shody s požadavky GDPR;</w:t>
      </w:r>
    </w:p>
    <w:p w:rsidR="005073E4" w:rsidRDefault="00EC4BE1">
      <w:pPr>
        <w:numPr>
          <w:ilvl w:val="0"/>
          <w:numId w:val="1"/>
        </w:numPr>
        <w:ind w:left="552" w:right="19" w:hanging="538"/>
      </w:pPr>
      <w:r>
        <w:t>Poradce se zavazuje poskytovat, dle této Smlouvy, Klientovi služby související s dodržováním Obecného nařízení o ochraně osobních údajů (dále také „GDPR”), které vstoupilo v platnost dne 24. května 2016 a vnitrostátních právních předpisů na ochranu osobníc</w:t>
      </w:r>
      <w:r>
        <w:t>h údajů, a to zejména činností „Pověřence na ochranu osobních údajů” s cílem monitorování souladu s Obecným nařízením o ochraně osobních údajů (GDPR), a to v rozsahu:</w:t>
      </w:r>
    </w:p>
    <w:p w:rsidR="00D04E89" w:rsidRDefault="00D04E89" w:rsidP="00D04E89">
      <w:pPr>
        <w:ind w:left="552" w:right="19" w:hanging="1686"/>
      </w:pPr>
    </w:p>
    <w:p w:rsidR="00D04E89" w:rsidRDefault="00EC4BE1" w:rsidP="00D04E89">
      <w:pPr>
        <w:pStyle w:val="Odstavecseseznamem"/>
        <w:numPr>
          <w:ilvl w:val="1"/>
          <w:numId w:val="5"/>
        </w:numPr>
        <w:ind w:left="1134" w:right="19" w:hanging="434"/>
      </w:pPr>
      <w:r>
        <w:t>poskytování informací a poradenství klientovi</w:t>
      </w:r>
      <w:r w:rsidR="00D04E89">
        <w:t xml:space="preserve"> a</w:t>
      </w:r>
      <w:r>
        <w:t xml:space="preserve"> jeho zaměstnancům, kteří prov</w:t>
      </w:r>
      <w:r w:rsidR="00D04E89">
        <w:t>á</w:t>
      </w:r>
      <w:r>
        <w:t>d</w:t>
      </w:r>
      <w:r w:rsidR="00D04E89">
        <w:t>ě</w:t>
      </w:r>
      <w:r>
        <w:t>j</w:t>
      </w:r>
      <w:r w:rsidR="00D04E89">
        <w:t>í</w:t>
      </w:r>
      <w:r>
        <w:t xml:space="preserve"> zpraco</w:t>
      </w:r>
      <w:r>
        <w:t>vání osobních údajů, o jejich povinnostech;</w:t>
      </w:r>
    </w:p>
    <w:p w:rsidR="00D04E89" w:rsidRDefault="00EC4BE1" w:rsidP="00D04E89">
      <w:pPr>
        <w:pStyle w:val="Odstavecseseznamem"/>
        <w:numPr>
          <w:ilvl w:val="1"/>
          <w:numId w:val="5"/>
        </w:numPr>
        <w:ind w:left="1134" w:right="19" w:hanging="434"/>
      </w:pPr>
      <w:r>
        <w:t>průběžné monitorování souladu Klienta s nařízením GDPR v oblasti ochrany osobních údajů a s koncepcemi klienta v oblasti ochrany osobních údajů, včetně rozdělení odpovědnosti, zvyšování povědomí a odborné pří</w:t>
      </w:r>
      <w:r>
        <w:t xml:space="preserve">pravy pracovníků Klienta zapojených do operací zpracování osobních údajů; asistence při vypracování záznamů o činnostech zpracování; </w:t>
      </w:r>
    </w:p>
    <w:p w:rsidR="00D04E89" w:rsidRDefault="00EC4BE1" w:rsidP="00D04E89">
      <w:pPr>
        <w:pStyle w:val="Odstavecseseznamem"/>
        <w:numPr>
          <w:ilvl w:val="1"/>
          <w:numId w:val="5"/>
        </w:numPr>
        <w:ind w:left="1134" w:right="19" w:hanging="434"/>
      </w:pPr>
      <w:r>
        <w:t>poskytování poradenství na požádání, pokud jde o posouzení vlivu na ochranu osobních údajů Klienta a monitorování jeho</w:t>
      </w:r>
      <w:r>
        <w:t xml:space="preserve"> uplatňování podle článku 35 GDPR (posouzení vlivu na ochranu osobních údajů);</w:t>
      </w:r>
    </w:p>
    <w:p w:rsidR="00D04E89" w:rsidRDefault="00EC4BE1" w:rsidP="00D04E89">
      <w:pPr>
        <w:pStyle w:val="Odstavecseseznamem"/>
        <w:numPr>
          <w:ilvl w:val="1"/>
          <w:numId w:val="5"/>
        </w:numPr>
        <w:ind w:left="1134" w:right="19" w:hanging="425"/>
      </w:pPr>
      <w:r>
        <w:t>spolupráce a komunikace s dozorovým úřadem; poradenská činnost při řízení před dozorovým úřadem nebo soudem;</w:t>
      </w:r>
    </w:p>
    <w:p w:rsidR="00D04E89" w:rsidRDefault="00EC4BE1" w:rsidP="00D04E89">
      <w:pPr>
        <w:pStyle w:val="Odstavecseseznamem"/>
        <w:numPr>
          <w:ilvl w:val="1"/>
          <w:numId w:val="5"/>
        </w:numPr>
        <w:ind w:left="1134" w:right="19" w:hanging="425"/>
      </w:pPr>
      <w:r>
        <w:t xml:space="preserve"> </w:t>
      </w:r>
      <w:r w:rsidR="00D04E89">
        <w:t>p</w:t>
      </w:r>
      <w:r>
        <w:t>ůsobení</w:t>
      </w:r>
      <w:r>
        <w:t xml:space="preserve"> jako kontaktní místo pro dozorový úřad v záležitostech týkajících </w:t>
      </w:r>
      <w:proofErr w:type="gramStart"/>
      <w:r>
        <w:t>se</w:t>
      </w:r>
      <w:proofErr w:type="gramEnd"/>
      <w:r>
        <w:t xml:space="preserve"> zpracování osobních údajů Klienta, včetně předchozí konzultace podle článku 36 GDPR</w:t>
      </w:r>
      <w:r>
        <w:t xml:space="preserve">, </w:t>
      </w:r>
    </w:p>
    <w:p w:rsidR="00D04E89" w:rsidRDefault="00EC4BE1" w:rsidP="00D04E89">
      <w:pPr>
        <w:pStyle w:val="Odstavecseseznamem"/>
        <w:numPr>
          <w:ilvl w:val="1"/>
          <w:numId w:val="5"/>
        </w:numPr>
        <w:ind w:left="1134" w:right="19" w:hanging="425"/>
      </w:pPr>
      <w:r>
        <w:lastRenderedPageBreak/>
        <w:t xml:space="preserve">působení jako kontaktní osoba Klienta, resp. zaměstnavatele pro subjekty údajů ve všech </w:t>
      </w:r>
      <w:r>
        <w:t>záležitostech souvisejících se zpracováním jejich osobních údajů a výkonem jejich práv podle GDPR.</w:t>
      </w:r>
    </w:p>
    <w:p w:rsidR="005073E4" w:rsidRDefault="00EC4BE1" w:rsidP="00D04E89">
      <w:pPr>
        <w:pStyle w:val="Odstavecseseznamem"/>
        <w:numPr>
          <w:ilvl w:val="1"/>
          <w:numId w:val="5"/>
        </w:numPr>
        <w:spacing w:after="86"/>
        <w:ind w:left="1134" w:right="19" w:hanging="425"/>
      </w:pPr>
      <w:r>
        <w:t>Pověřenec dohlíží na soulad činnosti zaměstnavatele s GDPR a dalšími předpisy v oblasti ochrany osobních údajů podle vlastního plánu dohledové činnosti</w:t>
      </w:r>
      <w:r>
        <w:t xml:space="preserve"> a na základě vyhodnocení podnětů zaměstnavatele, ostatních zaměstnanců, kontrolních orgánů a subjektů údajů. Pověřenec poskytuje zaměstnavateli a ostatním zaměstnancům informace z oboru své působnosti podle aktuálních potřeb, v souladu s vlastním plánem z</w:t>
      </w:r>
      <w:r>
        <w:t>vyšování povědomí zaměstnanců o ochraně osobních údajů a také formou vyjádření a připomínek ke konkrétním otázkám a dokumentům předloženým mu zaměstnavatelem. Pověřenec sleduje vývoj právní úpravy, stanoviska Úřadu pro ochranu osobních údajů a orgánů Evrop</w:t>
      </w:r>
      <w:r>
        <w:t>ské unie a rozhodovací činnost soudů v oblasti ochrany osobních údajů a přiměřeným způsobem o těchto skutečnostech informuje zaměstnavatele a ostatní zaměstnance. Pověřenec sleduje vývoj technologií souvisejících s ochranou osobních údajů a přiměřeným způs</w:t>
      </w:r>
      <w:r>
        <w:t>obem o něm informuje zaměstnavatele a ostatní zaměstnance. Pověřenec posuzuje návrhy významných dokumentů zaměstnavatele týkajících se ochrany osobních údajů, zejména politik ochrany osobních údajů, bezpečnostních směrnic a dalších vnitřních předpisů, vzor</w:t>
      </w:r>
      <w:r>
        <w:t>ů souhlasů se zpracováním osobních údajů, návrhů smluv o zpracování osobních údajů, vzorů podání a vyřízení, pokud jde o uplatňování práv subjektů údajů. Pověřenec posuzuje soulad navrhovaných řešení v oblasti informačních a komunikačních technologií s pra</w:t>
      </w:r>
      <w:r>
        <w:t>vidly ochrany osobních údajů. Pověřenec přijímá a vyhodnocuje podání subjektů údajů v záležitostech souvisejících se zpracováním jejich osobních údajů a výkonem jejich práv podle GDPR. V případě, že nemůže podání vyřídit sám, postupuje je v souladu s vnitř</w:t>
      </w:r>
      <w:r>
        <w:t>ními předpisy zaměstnavatele k vyřízení příslušným útvarům, popřípadě si vyžádá od příslušných útvarů podkladová stanoviska a následně podání vyřizuje. Pověřenec vede záznamy o činnostech zpracování podle čl. 30 GDPR. Pověřenec navrhuje zaměstnavateli opař</w:t>
      </w:r>
      <w:r>
        <w:t>ení k dosahování plného souladu s GDPR a dalšími předpisy v oblasti ochrany osobních údajů. Pověřenec se podílí na plnění povinností zaměstnavatele hlásit porušení zabezpečení osobních údajů Úřadu pro ochranu osobních údajů (čl. 33 GDPR) a oznamovat poruše</w:t>
      </w:r>
      <w:r>
        <w:t>ní zabezpečení osobních údajů subjektům osobních údajů (čl. 34 GDPR).</w:t>
      </w:r>
    </w:p>
    <w:p w:rsidR="005073E4" w:rsidRDefault="00EC4BE1">
      <w:pPr>
        <w:numPr>
          <w:ilvl w:val="0"/>
          <w:numId w:val="1"/>
        </w:numPr>
        <w:spacing w:after="121"/>
        <w:ind w:left="552" w:right="19" w:hanging="538"/>
      </w:pPr>
      <w:r>
        <w:t>S</w:t>
      </w:r>
      <w:r>
        <w:t xml:space="preserve">mluvní strany se dohodly, že jakékoli rozšíření služeb poskytovaných Poradcem dle této Smlouvy nad rámec stanovený v odst. </w:t>
      </w:r>
      <w:proofErr w:type="gramStart"/>
      <w:r>
        <w:t>1 .</w:t>
      </w:r>
      <w:proofErr w:type="gramEnd"/>
      <w:r>
        <w:t xml:space="preserve"> tohoto článku, bude sjednáno písemným dodatkem k této Smlo</w:t>
      </w:r>
      <w:r>
        <w:t>uvě, v němž bude stanovena další poradenská činnost a odměna, kterou bude Klient hradit.</w:t>
      </w:r>
    </w:p>
    <w:p w:rsidR="005073E4" w:rsidRDefault="00EC4BE1">
      <w:pPr>
        <w:numPr>
          <w:ilvl w:val="0"/>
          <w:numId w:val="1"/>
        </w:numPr>
        <w:spacing w:after="408"/>
        <w:ind w:left="552" w:right="19" w:hanging="538"/>
      </w:pPr>
      <w:r>
        <w:t>Za rozšíření služeb podle této smlouvy se nepovažuje posouzení shody činností klienta s doposud platnými právními předpisy nebo v budoucnu přijatými vnitrostátními prá</w:t>
      </w:r>
      <w:r>
        <w:t>vními předpisy nebo předpisy EU upravujícími ochranu osobních údajů a případně schválenými a závaznými kodexy chování dle článku 40 obecného nařízení o ochraně osobních údajů.</w:t>
      </w:r>
    </w:p>
    <w:p w:rsidR="005073E4" w:rsidRDefault="00EC4BE1">
      <w:pPr>
        <w:spacing w:after="99" w:line="265" w:lineRule="auto"/>
        <w:ind w:left="48" w:right="77" w:hanging="10"/>
        <w:jc w:val="center"/>
      </w:pPr>
      <w:r>
        <w:t>Ostatní ustanovení tohoto článku zůstávají beze změn.</w:t>
      </w:r>
    </w:p>
    <w:p w:rsidR="005073E4" w:rsidRDefault="00EC4BE1">
      <w:pPr>
        <w:spacing w:after="0" w:line="259" w:lineRule="auto"/>
        <w:ind w:left="44" w:hanging="10"/>
        <w:jc w:val="center"/>
      </w:pPr>
      <w:r>
        <w:rPr>
          <w:sz w:val="24"/>
        </w:rPr>
        <w:t>Článek IV.</w:t>
      </w:r>
    </w:p>
    <w:p w:rsidR="005073E4" w:rsidRDefault="00EC4BE1">
      <w:pPr>
        <w:spacing w:after="99" w:line="265" w:lineRule="auto"/>
        <w:ind w:left="48" w:hanging="10"/>
        <w:jc w:val="center"/>
      </w:pPr>
      <w:r>
        <w:t>Odměna a náhrad</w:t>
      </w:r>
      <w:r>
        <w:t>a nákladů</w:t>
      </w:r>
    </w:p>
    <w:p w:rsidR="005073E4" w:rsidRDefault="00EC4BE1">
      <w:pPr>
        <w:spacing w:after="561"/>
        <w:ind w:left="1066" w:right="19"/>
      </w:pPr>
      <w:r>
        <w:t>Smluvní strany se dohodly, že článek IV. bude změněn následovně:</w:t>
      </w:r>
    </w:p>
    <w:p w:rsidR="005073E4" w:rsidRDefault="00EC4BE1">
      <w:pPr>
        <w:spacing w:after="226" w:line="259" w:lineRule="auto"/>
        <w:ind w:left="3461"/>
        <w:jc w:val="left"/>
      </w:pPr>
      <w:r>
        <w:rPr>
          <w:noProof/>
        </w:rPr>
        <w:lastRenderedPageBreak/>
        <w:drawing>
          <wp:inline distT="0" distB="0" distL="0" distR="0">
            <wp:extent cx="582208" cy="121926"/>
            <wp:effectExtent l="0" t="0" r="0" b="0"/>
            <wp:docPr id="7307" name="Picture 7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" name="Picture 730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208" cy="12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610" w:line="259" w:lineRule="auto"/>
        <w:ind w:left="2698"/>
        <w:jc w:val="left"/>
      </w:pPr>
      <w:r>
        <w:rPr>
          <w:noProof/>
        </w:rPr>
        <w:drawing>
          <wp:inline distT="0" distB="0" distL="0" distR="0">
            <wp:extent cx="1551537" cy="103637"/>
            <wp:effectExtent l="0" t="0" r="0" b="0"/>
            <wp:docPr id="7308" name="Picture 7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" name="Picture 730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1537" cy="10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470" w:line="259" w:lineRule="auto"/>
        <w:ind w:left="38"/>
        <w:jc w:val="left"/>
      </w:pPr>
      <w:r>
        <w:rPr>
          <w:noProof/>
        </w:rPr>
        <w:drawing>
          <wp:inline distT="0" distB="0" distL="0" distR="0">
            <wp:extent cx="4931996" cy="265189"/>
            <wp:effectExtent l="0" t="0" r="0" b="0"/>
            <wp:docPr id="7309" name="Picture 7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" name="Picture 730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1996" cy="26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442" w:line="259" w:lineRule="auto"/>
        <w:ind w:left="979"/>
        <w:jc w:val="left"/>
      </w:pPr>
      <w:r>
        <w:rPr>
          <w:noProof/>
        </w:rPr>
        <w:drawing>
          <wp:inline distT="0" distB="0" distL="0" distR="0">
            <wp:extent cx="4331499" cy="1770972"/>
            <wp:effectExtent l="0" t="0" r="0" b="0"/>
            <wp:docPr id="16651" name="Picture 16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" name="Picture 1665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1499" cy="177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733" w:line="259" w:lineRule="auto"/>
        <w:ind w:left="19"/>
        <w:jc w:val="left"/>
      </w:pPr>
      <w:r>
        <w:rPr>
          <w:noProof/>
        </w:rPr>
        <w:drawing>
          <wp:inline distT="0" distB="0" distL="0" distR="0">
            <wp:extent cx="4935044" cy="2185520"/>
            <wp:effectExtent l="0" t="0" r="0" b="0"/>
            <wp:docPr id="16653" name="Picture 16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" name="Picture 1665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5044" cy="21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3E4" w:rsidRDefault="00EC4BE1">
      <w:pPr>
        <w:spacing w:after="54" w:line="259" w:lineRule="auto"/>
        <w:ind w:left="44" w:right="67" w:hanging="10"/>
        <w:jc w:val="center"/>
      </w:pPr>
      <w:r>
        <w:rPr>
          <w:sz w:val="24"/>
        </w:rPr>
        <w:t>Článek IV.</w:t>
      </w:r>
    </w:p>
    <w:p w:rsidR="005073E4" w:rsidRDefault="00EC4BE1">
      <w:pPr>
        <w:spacing w:after="463" w:line="265" w:lineRule="auto"/>
        <w:ind w:left="48" w:right="62" w:hanging="10"/>
        <w:jc w:val="center"/>
      </w:pPr>
      <w:r>
        <w:t>Odměna a náhrada nákladů</w:t>
      </w:r>
    </w:p>
    <w:p w:rsidR="005073E4" w:rsidRDefault="00EC4BE1">
      <w:pPr>
        <w:ind w:left="518" w:right="19" w:hanging="504"/>
      </w:pPr>
      <w:r>
        <w:rPr>
          <w:noProof/>
        </w:rPr>
        <w:drawing>
          <wp:inline distT="0" distB="0" distL="0" distR="0">
            <wp:extent cx="85350" cy="88396"/>
            <wp:effectExtent l="0" t="0" r="0" b="0"/>
            <wp:docPr id="16655" name="Picture 16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" name="Picture 1665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5350" cy="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Klient se zavazuje zaplatit Poradci za služby poskytované dle čl. </w:t>
      </w:r>
      <w:r w:rsidR="00D04E89">
        <w:t>II</w:t>
      </w:r>
      <w:r>
        <w:t xml:space="preserve"> této Smlouvy odměnu dle následujícího:</w:t>
      </w:r>
    </w:p>
    <w:p w:rsidR="005073E4" w:rsidRDefault="00EC4BE1">
      <w:pPr>
        <w:spacing w:after="140"/>
        <w:ind w:left="1411" w:right="19" w:hanging="403"/>
      </w:pPr>
      <w:r>
        <w:rPr>
          <w:noProof/>
        </w:rPr>
        <w:drawing>
          <wp:inline distT="0" distB="0" distL="0" distR="0">
            <wp:extent cx="67060" cy="94492"/>
            <wp:effectExtent l="0" t="0" r="0" b="0"/>
            <wp:docPr id="16658" name="Picture 16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" name="Picture 1665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9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D04E89">
        <w:tab/>
      </w:r>
      <w:r>
        <w:t>za služby provedené dle čl. II., odst. 1</w:t>
      </w:r>
      <w:r w:rsidR="00D04E89">
        <w:t xml:space="preserve"> </w:t>
      </w:r>
      <w:r>
        <w:t>této Smlouvy jednorázovou odměnu v celkové výši 14 000,- Kč (bez DPH v zákonné výši) na základě faktury</w:t>
      </w:r>
      <w:r>
        <w:t xml:space="preserve"> vystavené Poradcem se splatností 21 kalendářních dní ode dne doručení.</w:t>
      </w:r>
    </w:p>
    <w:p w:rsidR="005073E4" w:rsidRDefault="00EC4BE1">
      <w:pPr>
        <w:spacing w:after="484"/>
        <w:ind w:left="1406" w:right="19" w:hanging="398"/>
      </w:pPr>
      <w:proofErr w:type="spellStart"/>
      <w:r>
        <w:t>ii</w:t>
      </w:r>
      <w:proofErr w:type="spellEnd"/>
      <w:r>
        <w:t xml:space="preserve">. </w:t>
      </w:r>
      <w:r w:rsidR="00D04E89">
        <w:tab/>
      </w:r>
      <w:r>
        <w:t xml:space="preserve">za služby provedené dle čl. II., odst. 2. této Smlouvy měsíční odměnu v celkové výši 2 250,- Kč (bez DPH v zákonné výši) na základě faktury </w:t>
      </w:r>
      <w:r>
        <w:lastRenderedPageBreak/>
        <w:t>vystavené Poradcem se splatností 21 kale</w:t>
      </w:r>
      <w:r>
        <w:t>ndářních dní ode dne doručení.</w:t>
      </w:r>
    </w:p>
    <w:p w:rsidR="005073E4" w:rsidRDefault="00EC4BE1">
      <w:pPr>
        <w:numPr>
          <w:ilvl w:val="0"/>
          <w:numId w:val="2"/>
        </w:numPr>
        <w:spacing w:after="56"/>
        <w:ind w:left="528" w:right="19" w:hanging="514"/>
      </w:pPr>
      <w:r>
        <w:t>Odměna stanovená v odst. 1. tohoto článku zahrnuje veškeré náklady Poradce na činnosti vykonávané dle této Smlouvy, a to zejména cestovní náhrady, běžné náklady spojené s poskytnutím služeb dle této Smlouvy (tj. tel. hovorné,</w:t>
      </w:r>
      <w:r>
        <w:t xml:space="preserve"> </w:t>
      </w:r>
      <w:proofErr w:type="spellStart"/>
      <w:r>
        <w:t>faxovné</w:t>
      </w:r>
      <w:proofErr w:type="spellEnd"/>
      <w:r>
        <w:t xml:space="preserve">, poštovné včetně kurýrních poplatků, jazykové překlady, notářské a jiné úřední poplatky, náklady na </w:t>
      </w:r>
      <w:proofErr w:type="spellStart"/>
      <w:r>
        <w:t>fotokopírování</w:t>
      </w:r>
      <w:proofErr w:type="spellEnd"/>
      <w:r>
        <w:t>, technické nosiče, a kancelářské potřeby).</w:t>
      </w:r>
    </w:p>
    <w:p w:rsidR="005073E4" w:rsidRDefault="00EC4BE1">
      <w:pPr>
        <w:numPr>
          <w:ilvl w:val="0"/>
          <w:numId w:val="2"/>
        </w:numPr>
        <w:spacing w:after="110"/>
        <w:ind w:left="528" w:right="19" w:hanging="514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243856</wp:posOffset>
            </wp:positionH>
            <wp:positionV relativeFrom="page">
              <wp:posOffset>307863</wp:posOffset>
            </wp:positionV>
            <wp:extent cx="573063" cy="1182680"/>
            <wp:effectExtent l="0" t="0" r="0" b="0"/>
            <wp:wrapSquare wrapText="bothSides"/>
            <wp:docPr id="9241" name="Picture 9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" name="Picture 924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063" cy="118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Bude-li Klient v prodlení s placením odměny v termínech a výších dle tohoto článku, je povinen uhradit Poradci úroky z prodlení ve výši 0,05 % z dlužné částky za každý den prodlení. Nebude-li Poradce řádně plnit předmět této smlouvy, je povinen uhradit Kli</w:t>
      </w:r>
      <w:r>
        <w:t>entovi 1.000, -Kč denně za každý den prodlení s plněním.</w:t>
      </w:r>
    </w:p>
    <w:p w:rsidR="005073E4" w:rsidRDefault="00EC4BE1">
      <w:pPr>
        <w:numPr>
          <w:ilvl w:val="0"/>
          <w:numId w:val="2"/>
        </w:numPr>
        <w:spacing w:after="678"/>
        <w:ind w:left="528" w:right="19" w:hanging="514"/>
      </w:pPr>
      <w:r>
        <w:t>V případě, že faktura nebude mít zákonem č. 235/2004 Sb., o dani z přidané hodnoty, ve znění pozdějších předpisů stanovené náležitosti nebo bude obsahovat chybné údaje, je Klient oprávněn tuto faktur</w:t>
      </w:r>
      <w:r>
        <w:t>u ve lhůtě její splatnosti vrátit Poradci, aniž by se tím Klient dostal do prodlení s úhradou faktury. Nová lhůta splatnosti počíná běžet dnem obdržení opravené nebo nově vystavené faktury. Důvod případného vrácení faktury musí být Klientem jednoznačně vym</w:t>
      </w:r>
      <w:r>
        <w:t>ezen.</w:t>
      </w:r>
    </w:p>
    <w:p w:rsidR="005073E4" w:rsidRDefault="00EC4BE1">
      <w:pPr>
        <w:spacing w:after="99" w:line="265" w:lineRule="auto"/>
        <w:ind w:left="48" w:right="43" w:hanging="10"/>
        <w:jc w:val="center"/>
      </w:pPr>
      <w:r>
        <w:t>Ostatní ustanovení tohoto článku zůstávají beze změn.</w:t>
      </w:r>
    </w:p>
    <w:p w:rsidR="005073E4" w:rsidRDefault="005073E4">
      <w:pPr>
        <w:sectPr w:rsidR="005073E4">
          <w:footerReference w:type="even" r:id="rId28"/>
          <w:footerReference w:type="default" r:id="rId29"/>
          <w:footerReference w:type="first" r:id="rId30"/>
          <w:pgSz w:w="11900" w:h="16820"/>
          <w:pgMar w:top="1834" w:right="2112" w:bottom="1787" w:left="1983" w:header="708" w:footer="1536" w:gutter="0"/>
          <w:cols w:space="708"/>
        </w:sectPr>
      </w:pPr>
    </w:p>
    <w:tbl>
      <w:tblPr>
        <w:tblStyle w:val="TableGrid"/>
        <w:tblW w:w="7162" w:type="dxa"/>
        <w:tblInd w:w="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52"/>
        <w:gridCol w:w="110"/>
      </w:tblGrid>
      <w:tr w:rsidR="005073E4">
        <w:trPr>
          <w:trHeight w:val="598"/>
        </w:trPr>
        <w:tc>
          <w:tcPr>
            <w:tcW w:w="70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073E4" w:rsidRDefault="005073E4">
            <w:pPr>
              <w:spacing w:after="0" w:line="259" w:lineRule="auto"/>
              <w:ind w:left="-2007" w:right="5"/>
              <w:jc w:val="left"/>
            </w:pPr>
          </w:p>
          <w:tbl>
            <w:tblPr>
              <w:tblStyle w:val="TableGrid"/>
              <w:tblW w:w="7047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3"/>
              <w:gridCol w:w="4287"/>
              <w:gridCol w:w="547"/>
            </w:tblGrid>
            <w:tr w:rsidR="005073E4">
              <w:trPr>
                <w:trHeight w:val="320"/>
              </w:trPr>
              <w:tc>
                <w:tcPr>
                  <w:tcW w:w="22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EC4BE1">
                  <w:pPr>
                    <w:spacing w:after="0" w:line="259" w:lineRule="auto"/>
                    <w:ind w:left="10"/>
                    <w:jc w:val="left"/>
                  </w:pPr>
                  <w:r>
                    <w:t>Za Poradce:</w:t>
                  </w:r>
                </w:p>
              </w:tc>
              <w:tc>
                <w:tcPr>
                  <w:tcW w:w="4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EC4BE1">
                  <w:pPr>
                    <w:spacing w:after="0" w:line="259" w:lineRule="auto"/>
                    <w:ind w:left="2539"/>
                    <w:jc w:val="left"/>
                  </w:pPr>
                  <w:r>
                    <w:t>Za Klienta: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5073E4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5073E4">
              <w:trPr>
                <w:trHeight w:val="328"/>
              </w:trPr>
              <w:tc>
                <w:tcPr>
                  <w:tcW w:w="22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EC4BE1">
                  <w:pPr>
                    <w:tabs>
                      <w:tab w:val="center" w:pos="1651"/>
                      <w:tab w:val="center" w:pos="1769"/>
                    </w:tabs>
                    <w:spacing w:after="0" w:line="259" w:lineRule="auto"/>
                    <w:ind w:left="0"/>
                    <w:jc w:val="left"/>
                  </w:pPr>
                  <w:r>
                    <w:t>V Praze, dne</w:t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193" cy="21337"/>
                        <wp:effectExtent l="0" t="0" r="0" b="0"/>
                        <wp:docPr id="9120" name="Picture 91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20" name="Picture 912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93" cy="21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145" cy="9144"/>
                        <wp:effectExtent l="0" t="0" r="0" b="0"/>
                        <wp:docPr id="9118" name="Picture 911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18" name="Picture 9118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5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5073E4" w:rsidRDefault="00EC4BE1">
                  <w:pPr>
                    <w:spacing w:after="0" w:line="259" w:lineRule="auto"/>
                    <w:ind w:left="2535"/>
                    <w:jc w:val="left"/>
                  </w:pPr>
                  <w:r>
                    <w:t>V Praze, dne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5073E4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5073E4">
              <w:trPr>
                <w:trHeight w:val="228"/>
              </w:trPr>
              <w:tc>
                <w:tcPr>
                  <w:tcW w:w="22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EC4BE1">
                  <w:pPr>
                    <w:spacing w:after="0" w:line="259" w:lineRule="auto"/>
                    <w:jc w:val="left"/>
                  </w:pPr>
                  <w:r>
                    <w:t>Ing. Radovan Hauk</w:t>
                  </w:r>
                </w:p>
              </w:tc>
              <w:tc>
                <w:tcPr>
                  <w:tcW w:w="4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EC4BE1">
                  <w:pPr>
                    <w:spacing w:after="0" w:line="259" w:lineRule="auto"/>
                    <w:ind w:left="0" w:right="374"/>
                    <w:jc w:val="right"/>
                  </w:pPr>
                  <w:r>
                    <w:rPr>
                      <w:sz w:val="20"/>
                    </w:rPr>
                    <w:t>Mgr. Miloš Tichý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5073E4">
                  <w:pPr>
                    <w:spacing w:after="0" w:line="259" w:lineRule="auto"/>
                    <w:ind w:left="0"/>
                    <w:jc w:val="left"/>
                  </w:pPr>
                </w:p>
              </w:tc>
            </w:tr>
            <w:tr w:rsidR="005073E4">
              <w:trPr>
                <w:trHeight w:val="223"/>
              </w:trPr>
              <w:tc>
                <w:tcPr>
                  <w:tcW w:w="221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EC4BE1">
                  <w:pPr>
                    <w:spacing w:after="0" w:line="259" w:lineRule="auto"/>
                    <w:ind w:left="0"/>
                    <w:jc w:val="left"/>
                  </w:pPr>
                  <w:r>
                    <w:t>jednatel</w:t>
                  </w:r>
                </w:p>
              </w:tc>
              <w:tc>
                <w:tcPr>
                  <w:tcW w:w="428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EC4BE1">
                  <w:pPr>
                    <w:spacing w:after="0" w:line="259" w:lineRule="auto"/>
                    <w:ind w:left="2539"/>
                    <w:jc w:val="left"/>
                  </w:pPr>
                  <w:r>
                    <w:t>ředitel školy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073E4" w:rsidRDefault="005073E4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</w:tbl>
          <w:p w:rsidR="005073E4" w:rsidRDefault="005073E4">
            <w:pPr>
              <w:spacing w:after="160" w:line="259" w:lineRule="auto"/>
              <w:ind w:left="0"/>
              <w:jc w:val="left"/>
            </w:pP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73E4" w:rsidRDefault="00EC4BE1">
            <w:pPr>
              <w:spacing w:after="0" w:line="259" w:lineRule="auto"/>
              <w:ind w:left="72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097" cy="3048"/>
                  <wp:effectExtent l="0" t="0" r="0" b="0"/>
                  <wp:docPr id="9121" name="Picture 9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1" name="Picture 912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" cy="3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E4">
        <w:trPr>
          <w:trHeight w:val="50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073E4" w:rsidRDefault="005073E4">
            <w:pPr>
              <w:spacing w:after="160" w:line="259" w:lineRule="auto"/>
              <w:ind w:left="0"/>
              <w:jc w:val="left"/>
            </w:pP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:rsidR="005073E4" w:rsidRDefault="005073E4">
            <w:pPr>
              <w:spacing w:after="0" w:line="259" w:lineRule="auto"/>
              <w:ind w:left="5"/>
              <w:jc w:val="left"/>
            </w:pPr>
          </w:p>
        </w:tc>
      </w:tr>
    </w:tbl>
    <w:p w:rsidR="005073E4" w:rsidRDefault="005073E4">
      <w:pPr>
        <w:spacing w:after="0" w:line="259" w:lineRule="auto"/>
        <w:ind w:left="5"/>
        <w:jc w:val="left"/>
      </w:pPr>
    </w:p>
    <w:sectPr w:rsidR="005073E4">
      <w:type w:val="continuous"/>
      <w:pgSz w:w="11900" w:h="16820"/>
      <w:pgMar w:top="1835" w:right="2799" w:bottom="3610" w:left="200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4BE1" w:rsidRDefault="00EC4BE1">
      <w:pPr>
        <w:spacing w:after="0" w:line="240" w:lineRule="auto"/>
      </w:pPr>
      <w:r>
        <w:separator/>
      </w:r>
    </w:p>
  </w:endnote>
  <w:endnote w:type="continuationSeparator" w:id="0">
    <w:p w:rsidR="00EC4BE1" w:rsidRDefault="00EC4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3E4" w:rsidRDefault="00EC4BE1">
    <w:pPr>
      <w:spacing w:after="0" w:line="259" w:lineRule="auto"/>
      <w:ind w:left="0" w:right="1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2"/>
      </w:rPr>
      <w:t>1</w:t>
    </w:r>
    <w:r>
      <w:rPr>
        <w:sz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3E4" w:rsidRDefault="00EC4BE1">
    <w:pPr>
      <w:spacing w:after="0" w:line="259" w:lineRule="auto"/>
      <w:ind w:left="0" w:right="1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2"/>
      </w:rPr>
      <w:t>1</w:t>
    </w:r>
    <w:r>
      <w:rPr>
        <w:sz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3E4" w:rsidRDefault="00EC4BE1">
    <w:pPr>
      <w:spacing w:after="0" w:line="259" w:lineRule="auto"/>
      <w:ind w:left="0" w:right="1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2"/>
      </w:rPr>
      <w:t>1</w:t>
    </w:r>
    <w:r>
      <w:rPr>
        <w:sz w:val="1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3E4" w:rsidRDefault="005073E4">
    <w:pPr>
      <w:spacing w:after="160" w:line="259" w:lineRule="auto"/>
      <w:ind w:left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3E4" w:rsidRDefault="005073E4">
    <w:pPr>
      <w:spacing w:after="160" w:line="259" w:lineRule="auto"/>
      <w:ind w:left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3E4" w:rsidRDefault="005073E4">
    <w:pPr>
      <w:spacing w:after="160" w:line="259" w:lineRule="auto"/>
      <w:ind w:left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3E4" w:rsidRDefault="00EC4BE1">
    <w:pPr>
      <w:spacing w:after="0" w:line="259" w:lineRule="auto"/>
      <w:ind w:left="0" w:right="6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2"/>
      </w:rPr>
      <w:t>1</w:t>
    </w:r>
    <w:r>
      <w:rPr>
        <w:sz w:val="12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3E4" w:rsidRDefault="00EC4BE1">
    <w:pPr>
      <w:spacing w:after="0" w:line="259" w:lineRule="auto"/>
      <w:ind w:left="0" w:right="6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2"/>
      </w:rPr>
      <w:t>1</w:t>
    </w:r>
    <w:r>
      <w:rPr>
        <w:sz w:val="12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73E4" w:rsidRDefault="00EC4BE1">
    <w:pPr>
      <w:spacing w:after="0" w:line="259" w:lineRule="auto"/>
      <w:ind w:left="0" w:right="6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2"/>
      </w:rPr>
      <w:t>1</w:t>
    </w:r>
    <w:r>
      <w:rPr>
        <w:sz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4BE1" w:rsidRDefault="00EC4BE1">
      <w:pPr>
        <w:spacing w:after="0" w:line="240" w:lineRule="auto"/>
      </w:pPr>
      <w:r>
        <w:separator/>
      </w:r>
    </w:p>
  </w:footnote>
  <w:footnote w:type="continuationSeparator" w:id="0">
    <w:p w:rsidR="00EC4BE1" w:rsidRDefault="00EC4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6.75pt;height:24.3pt;visibility:visible;mso-wrap-style:square" o:bullet="t">
        <v:imagedata r:id="rId1" o:title=""/>
      </v:shape>
    </w:pict>
  </w:numPicBullet>
  <w:abstractNum w:abstractNumId="0" w15:restartNumberingAfterBreak="0">
    <w:nsid w:val="0E8E22FD"/>
    <w:multiLevelType w:val="hybridMultilevel"/>
    <w:tmpl w:val="146E0590"/>
    <w:lvl w:ilvl="0" w:tplc="0405001B">
      <w:start w:val="1"/>
      <w:numFmt w:val="lowerRoman"/>
      <w:lvlText w:val="%1."/>
      <w:lvlJc w:val="right"/>
      <w:pPr>
        <w:ind w:left="1666" w:hanging="360"/>
      </w:pPr>
    </w:lvl>
    <w:lvl w:ilvl="1" w:tplc="0405001B">
      <w:start w:val="1"/>
      <w:numFmt w:val="lowerRoman"/>
      <w:lvlText w:val="%2."/>
      <w:lvlJc w:val="right"/>
      <w:pPr>
        <w:ind w:left="2386" w:hanging="360"/>
      </w:pPr>
    </w:lvl>
    <w:lvl w:ilvl="2" w:tplc="0405001B" w:tentative="1">
      <w:start w:val="1"/>
      <w:numFmt w:val="lowerRoman"/>
      <w:lvlText w:val="%3."/>
      <w:lvlJc w:val="right"/>
      <w:pPr>
        <w:ind w:left="3106" w:hanging="180"/>
      </w:pPr>
    </w:lvl>
    <w:lvl w:ilvl="3" w:tplc="0405000F" w:tentative="1">
      <w:start w:val="1"/>
      <w:numFmt w:val="decimal"/>
      <w:lvlText w:val="%4."/>
      <w:lvlJc w:val="left"/>
      <w:pPr>
        <w:ind w:left="3826" w:hanging="360"/>
      </w:pPr>
    </w:lvl>
    <w:lvl w:ilvl="4" w:tplc="04050019" w:tentative="1">
      <w:start w:val="1"/>
      <w:numFmt w:val="lowerLetter"/>
      <w:lvlText w:val="%5."/>
      <w:lvlJc w:val="left"/>
      <w:pPr>
        <w:ind w:left="4546" w:hanging="360"/>
      </w:pPr>
    </w:lvl>
    <w:lvl w:ilvl="5" w:tplc="0405001B" w:tentative="1">
      <w:start w:val="1"/>
      <w:numFmt w:val="lowerRoman"/>
      <w:lvlText w:val="%6."/>
      <w:lvlJc w:val="right"/>
      <w:pPr>
        <w:ind w:left="5266" w:hanging="180"/>
      </w:pPr>
    </w:lvl>
    <w:lvl w:ilvl="6" w:tplc="0405000F" w:tentative="1">
      <w:start w:val="1"/>
      <w:numFmt w:val="decimal"/>
      <w:lvlText w:val="%7."/>
      <w:lvlJc w:val="left"/>
      <w:pPr>
        <w:ind w:left="5986" w:hanging="360"/>
      </w:pPr>
    </w:lvl>
    <w:lvl w:ilvl="7" w:tplc="04050019" w:tentative="1">
      <w:start w:val="1"/>
      <w:numFmt w:val="lowerLetter"/>
      <w:lvlText w:val="%8."/>
      <w:lvlJc w:val="left"/>
      <w:pPr>
        <w:ind w:left="6706" w:hanging="360"/>
      </w:pPr>
    </w:lvl>
    <w:lvl w:ilvl="8" w:tplc="0405001B" w:tentative="1">
      <w:start w:val="1"/>
      <w:numFmt w:val="lowerRoman"/>
      <w:lvlText w:val="%9."/>
      <w:lvlJc w:val="right"/>
      <w:pPr>
        <w:ind w:left="7426" w:hanging="180"/>
      </w:pPr>
    </w:lvl>
  </w:abstractNum>
  <w:abstractNum w:abstractNumId="1" w15:restartNumberingAfterBreak="0">
    <w:nsid w:val="11337FCF"/>
    <w:multiLevelType w:val="hybridMultilevel"/>
    <w:tmpl w:val="0870F930"/>
    <w:lvl w:ilvl="0" w:tplc="38384568">
      <w:start w:val="2"/>
      <w:numFmt w:val="decimal"/>
      <w:lvlText w:val="%1."/>
      <w:lvlJc w:val="left"/>
      <w:pPr>
        <w:ind w:left="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B40654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24025A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EAA29EC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18E3D4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E88FEA4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8A2252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54B9D4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8C097A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026CCB"/>
    <w:multiLevelType w:val="hybridMultilevel"/>
    <w:tmpl w:val="044E87A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3D4827"/>
    <w:multiLevelType w:val="hybridMultilevel"/>
    <w:tmpl w:val="9F66865A"/>
    <w:lvl w:ilvl="0" w:tplc="A09870E8">
      <w:start w:val="2"/>
      <w:numFmt w:val="decimal"/>
      <w:lvlText w:val="%1."/>
      <w:lvlJc w:val="left"/>
      <w:pPr>
        <w:ind w:left="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11A6410">
      <w:start w:val="1"/>
      <w:numFmt w:val="lowerLetter"/>
      <w:lvlText w:val="%2"/>
      <w:lvlJc w:val="left"/>
      <w:pPr>
        <w:ind w:left="1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E8A452">
      <w:start w:val="1"/>
      <w:numFmt w:val="lowerRoman"/>
      <w:lvlText w:val="%3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404820">
      <w:start w:val="1"/>
      <w:numFmt w:val="decimal"/>
      <w:lvlText w:val="%4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646136">
      <w:start w:val="1"/>
      <w:numFmt w:val="lowerLetter"/>
      <w:lvlText w:val="%5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322E1C">
      <w:start w:val="1"/>
      <w:numFmt w:val="lowerRoman"/>
      <w:lvlText w:val="%6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008E66">
      <w:start w:val="1"/>
      <w:numFmt w:val="decimal"/>
      <w:lvlText w:val="%7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10BC70">
      <w:start w:val="1"/>
      <w:numFmt w:val="lowerLetter"/>
      <w:lvlText w:val="%8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5E7738">
      <w:start w:val="1"/>
      <w:numFmt w:val="lowerRoman"/>
      <w:lvlText w:val="%9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B12F86"/>
    <w:multiLevelType w:val="hybridMultilevel"/>
    <w:tmpl w:val="D666A7DC"/>
    <w:lvl w:ilvl="0" w:tplc="0405001B">
      <w:start w:val="1"/>
      <w:numFmt w:val="lowerRoman"/>
      <w:lvlText w:val="%1."/>
      <w:lvlJc w:val="right"/>
      <w:pPr>
        <w:ind w:left="1666" w:hanging="360"/>
      </w:pPr>
    </w:lvl>
    <w:lvl w:ilvl="1" w:tplc="04050019" w:tentative="1">
      <w:start w:val="1"/>
      <w:numFmt w:val="lowerLetter"/>
      <w:lvlText w:val="%2."/>
      <w:lvlJc w:val="left"/>
      <w:pPr>
        <w:ind w:left="2386" w:hanging="360"/>
      </w:pPr>
    </w:lvl>
    <w:lvl w:ilvl="2" w:tplc="0405001B" w:tentative="1">
      <w:start w:val="1"/>
      <w:numFmt w:val="lowerRoman"/>
      <w:lvlText w:val="%3."/>
      <w:lvlJc w:val="right"/>
      <w:pPr>
        <w:ind w:left="3106" w:hanging="180"/>
      </w:pPr>
    </w:lvl>
    <w:lvl w:ilvl="3" w:tplc="0405000F" w:tentative="1">
      <w:start w:val="1"/>
      <w:numFmt w:val="decimal"/>
      <w:lvlText w:val="%4."/>
      <w:lvlJc w:val="left"/>
      <w:pPr>
        <w:ind w:left="3826" w:hanging="360"/>
      </w:pPr>
    </w:lvl>
    <w:lvl w:ilvl="4" w:tplc="04050019" w:tentative="1">
      <w:start w:val="1"/>
      <w:numFmt w:val="lowerLetter"/>
      <w:lvlText w:val="%5."/>
      <w:lvlJc w:val="left"/>
      <w:pPr>
        <w:ind w:left="4546" w:hanging="360"/>
      </w:pPr>
    </w:lvl>
    <w:lvl w:ilvl="5" w:tplc="0405001B" w:tentative="1">
      <w:start w:val="1"/>
      <w:numFmt w:val="lowerRoman"/>
      <w:lvlText w:val="%6."/>
      <w:lvlJc w:val="right"/>
      <w:pPr>
        <w:ind w:left="5266" w:hanging="180"/>
      </w:pPr>
    </w:lvl>
    <w:lvl w:ilvl="6" w:tplc="0405000F" w:tentative="1">
      <w:start w:val="1"/>
      <w:numFmt w:val="decimal"/>
      <w:lvlText w:val="%7."/>
      <w:lvlJc w:val="left"/>
      <w:pPr>
        <w:ind w:left="5986" w:hanging="360"/>
      </w:pPr>
    </w:lvl>
    <w:lvl w:ilvl="7" w:tplc="04050019" w:tentative="1">
      <w:start w:val="1"/>
      <w:numFmt w:val="lowerLetter"/>
      <w:lvlText w:val="%8."/>
      <w:lvlJc w:val="left"/>
      <w:pPr>
        <w:ind w:left="6706" w:hanging="360"/>
      </w:pPr>
    </w:lvl>
    <w:lvl w:ilvl="8" w:tplc="0405001B" w:tentative="1">
      <w:start w:val="1"/>
      <w:numFmt w:val="lowerRoman"/>
      <w:lvlText w:val="%9."/>
      <w:lvlJc w:val="right"/>
      <w:pPr>
        <w:ind w:left="7426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3E4"/>
    <w:rsid w:val="005073E4"/>
    <w:rsid w:val="0066631E"/>
    <w:rsid w:val="00D04E89"/>
    <w:rsid w:val="00EC4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CCB38"/>
  <w15:docId w15:val="{CC41E5D4-4E69-400E-9D13-C3080B4AC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0" w:line="218" w:lineRule="auto"/>
      <w:ind w:left="14"/>
      <w:jc w:val="both"/>
    </w:pPr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65"/>
      <w:ind w:right="14"/>
      <w:jc w:val="right"/>
      <w:outlineLvl w:val="0"/>
    </w:pPr>
    <w:rPr>
      <w:rFonts w:ascii="Calibri" w:eastAsia="Calibri" w:hAnsi="Calibri" w:cs="Calibri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04E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4E89"/>
    <w:rPr>
      <w:rFonts w:ascii="Segoe UI" w:eastAsia="Calibri" w:hAnsi="Segoe UI" w:cs="Segoe UI"/>
      <w:color w:val="000000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D04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3.xml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5" Type="http://schemas.openxmlformats.org/officeDocument/2006/relationships/image" Target="media/image14.jpg"/><Relationship Id="rId33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9.jpg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jpg"/><Relationship Id="rId32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2.jpg"/><Relationship Id="rId28" Type="http://schemas.openxmlformats.org/officeDocument/2006/relationships/footer" Target="footer7.xml"/><Relationship Id="rId10" Type="http://schemas.openxmlformats.org/officeDocument/2006/relationships/image" Target="media/image5.jpg"/><Relationship Id="rId19" Type="http://schemas.openxmlformats.org/officeDocument/2006/relationships/image" Target="media/image8.jpg"/><Relationship Id="rId31" Type="http://schemas.openxmlformats.org/officeDocument/2006/relationships/image" Target="media/image17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footer" Target="footer9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1183</Words>
  <Characters>6986</Characters>
  <Application>Microsoft Office Word</Application>
  <DocSecurity>0</DocSecurity>
  <Lines>58</Lines>
  <Paragraphs>16</Paragraphs>
  <ScaleCrop>false</ScaleCrop>
  <Company/>
  <LinksUpToDate>false</LinksUpToDate>
  <CharactersWithSpaces>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KM_C558-20190125142806</dc:title>
  <dc:subject/>
  <dc:creator>admin admin</dc:creator>
  <cp:keywords/>
  <cp:lastModifiedBy>admin admin</cp:lastModifiedBy>
  <cp:revision>3</cp:revision>
  <dcterms:created xsi:type="dcterms:W3CDTF">2019-04-24T10:24:00Z</dcterms:created>
  <dcterms:modified xsi:type="dcterms:W3CDTF">2019-04-24T10:25:00Z</dcterms:modified>
</cp:coreProperties>
</file>