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0D17" w14:textId="77777777" w:rsidR="00AF2122" w:rsidRDefault="00337BED">
      <w:pPr>
        <w:pStyle w:val="Vcho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5370E3DA" w14:textId="77777777" w:rsidR="00AF2122" w:rsidRDefault="00337BED">
      <w:pPr>
        <w:pStyle w:val="Vcho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1007/III, 377 01 Jindřichův Hradec</w:t>
      </w:r>
    </w:p>
    <w:p w14:paraId="2CE1FA63" w14:textId="77777777" w:rsidR="00AF2122" w:rsidRDefault="00337BED">
      <w:pPr>
        <w:pStyle w:val="Vchoz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744F79C9" w14:textId="22776809" w:rsidR="00AF2122" w:rsidRDefault="00337BED">
      <w:pPr>
        <w:pStyle w:val="Vchoz"/>
      </w:pPr>
      <w:r>
        <w:rPr>
          <w:b/>
          <w:sz w:val="20"/>
          <w:szCs w:val="20"/>
        </w:rPr>
        <w:t>e-mail:</w:t>
      </w:r>
      <w:r>
        <w:rPr>
          <w:rStyle w:val="Internetovodkaz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14:paraId="27FFFB59" w14:textId="77777777" w:rsidR="00AF2122" w:rsidRDefault="00AF2122">
      <w:pPr>
        <w:pStyle w:val="Vchoz"/>
      </w:pPr>
    </w:p>
    <w:p w14:paraId="225A4B64" w14:textId="59DEEC92" w:rsidR="00AF2122" w:rsidRDefault="00337BED">
      <w:pPr>
        <w:pStyle w:val="Vchoz"/>
      </w:pPr>
      <w:r>
        <w:rPr>
          <w:b/>
          <w:sz w:val="20"/>
          <w:szCs w:val="20"/>
        </w:rPr>
        <w:t xml:space="preserve">Vyřizuje: </w:t>
      </w:r>
      <w:bookmarkStart w:id="0" w:name="_GoBack"/>
      <w:bookmarkEnd w:id="0"/>
    </w:p>
    <w:p w14:paraId="7D0B0ECB" w14:textId="77777777" w:rsidR="00AF2122" w:rsidRDefault="00337BED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Plavecký bazén a aquapark</w:t>
      </w:r>
    </w:p>
    <w:p w14:paraId="2C438F4A" w14:textId="77777777" w:rsidR="00AF2122" w:rsidRDefault="00337BED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Jáchymova 865/III.</w:t>
      </w:r>
    </w:p>
    <w:p w14:paraId="36DCC201" w14:textId="77777777" w:rsidR="00AF2122" w:rsidRDefault="00337BED">
      <w:pPr>
        <w:pStyle w:val="Vchoz"/>
      </w:pPr>
      <w:r>
        <w:rPr>
          <w:b/>
          <w:sz w:val="20"/>
          <w:szCs w:val="20"/>
        </w:rPr>
        <w:tab/>
        <w:t xml:space="preserve">   377 01 Jindřichův Hradec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V Jindřichově Hradci, dne </w:t>
      </w:r>
      <w:r w:rsidR="008669BE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. 04. 2019   </w:t>
      </w:r>
    </w:p>
    <w:p w14:paraId="4E0B7C13" w14:textId="77777777" w:rsidR="00AF2122" w:rsidRDefault="00337BED">
      <w:pPr>
        <w:pStyle w:val="Vchoz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14:paraId="29A3CB55" w14:textId="77777777" w:rsidR="00AF2122" w:rsidRDefault="00337BED">
      <w:r>
        <w:t xml:space="preserve"> </w:t>
      </w:r>
      <w:r>
        <w:rPr>
          <w:rFonts w:ascii="Times New Roman" w:hAnsi="Times New Roman"/>
          <w:b/>
          <w:sz w:val="20"/>
        </w:rPr>
        <w:t>Dodavatel:</w:t>
      </w:r>
    </w:p>
    <w:p w14:paraId="0BBC3AF9" w14:textId="77777777" w:rsidR="00AF2122" w:rsidRDefault="00337BED">
      <w:r>
        <w:t>BAZENSERVIS s.r.o.</w:t>
      </w:r>
    </w:p>
    <w:p w14:paraId="4F2F13AF" w14:textId="77777777" w:rsidR="00AF2122" w:rsidRDefault="00337BED">
      <w:pPr>
        <w:tabs>
          <w:tab w:val="left" w:pos="5148"/>
        </w:tabs>
      </w:pPr>
      <w:r>
        <w:t>Čapkova 538</w:t>
      </w:r>
    </w:p>
    <w:p w14:paraId="5C130760" w14:textId="77777777" w:rsidR="00AF2122" w:rsidRDefault="00337BED">
      <w:pPr>
        <w:tabs>
          <w:tab w:val="left" w:pos="5148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517 21 Týniště nad Orlicí</w:t>
      </w:r>
    </w:p>
    <w:p w14:paraId="610ECFCE" w14:textId="77777777" w:rsidR="00AF2122" w:rsidRDefault="00AF2122">
      <w:pPr>
        <w:pStyle w:val="Vchoz"/>
      </w:pPr>
    </w:p>
    <w:tbl>
      <w:tblPr>
        <w:tblW w:w="10226" w:type="dxa"/>
        <w:tblInd w:w="-304" w:type="dxa"/>
        <w:tblLook w:val="0000" w:firstRow="0" w:lastRow="0" w:firstColumn="0" w:lastColumn="0" w:noHBand="0" w:noVBand="0"/>
      </w:tblPr>
      <w:tblGrid>
        <w:gridCol w:w="2483"/>
        <w:gridCol w:w="7743"/>
      </w:tblGrid>
      <w:tr w:rsidR="00AF2122" w14:paraId="5B84F012" w14:textId="77777777">
        <w:trPr>
          <w:trHeight w:val="458"/>
        </w:trPr>
        <w:tc>
          <w:tcPr>
            <w:tcW w:w="24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1046FB30" w14:textId="77777777" w:rsidR="00AF2122" w:rsidRDefault="00337BED">
            <w:pPr>
              <w:pStyle w:val="Vchoz"/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774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14:paraId="0E1F22C1" w14:textId="77777777" w:rsidR="00AF2122" w:rsidRDefault="00337BED">
            <w:pPr>
              <w:pStyle w:val="Vchoz"/>
              <w:jc w:val="center"/>
              <w:rPr>
                <w:b/>
              </w:rPr>
            </w:pPr>
            <w:r>
              <w:rPr>
                <w:b/>
              </w:rPr>
              <w:t>Název zboží, služby</w:t>
            </w:r>
          </w:p>
        </w:tc>
      </w:tr>
      <w:tr w:rsidR="00AF2122" w14:paraId="39F44CE2" w14:textId="77777777">
        <w:trPr>
          <w:trHeight w:val="1089"/>
        </w:trPr>
        <w:tc>
          <w:tcPr>
            <w:tcW w:w="2483" w:type="dxa"/>
            <w:tcBorders>
              <w:top w:val="thinThickSmallGap" w:sz="2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14:paraId="15FAD7F4" w14:textId="77777777" w:rsidR="00AF2122" w:rsidRDefault="00AF2122">
            <w:pPr>
              <w:pStyle w:val="Vchoz"/>
              <w:spacing w:line="240" w:lineRule="auto"/>
              <w:jc w:val="center"/>
              <w:rPr>
                <w:b/>
                <w:bCs/>
              </w:rPr>
            </w:pPr>
          </w:p>
          <w:p w14:paraId="533B7751" w14:textId="77777777" w:rsidR="00AF2122" w:rsidRDefault="00AF2122">
            <w:pPr>
              <w:pStyle w:val="Vchoz"/>
              <w:spacing w:line="240" w:lineRule="auto"/>
              <w:jc w:val="center"/>
              <w:rPr>
                <w:b/>
                <w:bCs/>
              </w:rPr>
            </w:pPr>
          </w:p>
          <w:p w14:paraId="2B5D49CD" w14:textId="77777777" w:rsidR="00AF2122" w:rsidRPr="00F121A9" w:rsidRDefault="00F121A9" w:rsidP="00F121A9">
            <w:pPr>
              <w:pStyle w:val="Vchoz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21A9">
              <w:rPr>
                <w:rFonts w:asciiTheme="minorHAnsi" w:hAnsiTheme="minorHAnsi" w:cstheme="minorHAnsi"/>
                <w:b/>
                <w:bCs/>
              </w:rPr>
              <w:t>1x</w:t>
            </w:r>
          </w:p>
          <w:p w14:paraId="34E4FC1D" w14:textId="77777777" w:rsidR="00F121A9" w:rsidRPr="00F121A9" w:rsidRDefault="00F121A9" w:rsidP="00F121A9">
            <w:pPr>
              <w:pStyle w:val="Vchoz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21A9">
              <w:rPr>
                <w:rFonts w:asciiTheme="minorHAnsi" w:hAnsiTheme="minorHAnsi" w:cstheme="minorHAnsi"/>
                <w:b/>
                <w:bCs/>
              </w:rPr>
              <w:t>1x</w:t>
            </w:r>
          </w:p>
          <w:p w14:paraId="4FA8B8AE" w14:textId="77777777" w:rsidR="00F121A9" w:rsidRPr="00F121A9" w:rsidRDefault="00F121A9" w:rsidP="00F121A9">
            <w:pPr>
              <w:pStyle w:val="Vchoz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21A9">
              <w:rPr>
                <w:rFonts w:asciiTheme="minorHAnsi" w:hAnsiTheme="minorHAnsi" w:cstheme="minorHAnsi"/>
                <w:b/>
                <w:bCs/>
              </w:rPr>
              <w:t>1x</w:t>
            </w:r>
          </w:p>
          <w:p w14:paraId="16C1C461" w14:textId="77777777" w:rsidR="00F121A9" w:rsidRPr="00F121A9" w:rsidRDefault="00F121A9" w:rsidP="00F121A9">
            <w:pPr>
              <w:pStyle w:val="Vchoz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21A9">
              <w:rPr>
                <w:rFonts w:asciiTheme="minorHAnsi" w:hAnsiTheme="minorHAnsi" w:cstheme="minorHAnsi"/>
                <w:b/>
                <w:bCs/>
              </w:rPr>
              <w:t>1x</w:t>
            </w:r>
          </w:p>
          <w:p w14:paraId="22977690" w14:textId="77777777" w:rsidR="00F121A9" w:rsidRPr="00F121A9" w:rsidRDefault="00F121A9" w:rsidP="00F121A9">
            <w:pPr>
              <w:pStyle w:val="Vchoz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21A9">
              <w:rPr>
                <w:rFonts w:asciiTheme="minorHAnsi" w:hAnsiTheme="minorHAnsi" w:cstheme="minorHAnsi"/>
                <w:b/>
                <w:bCs/>
              </w:rPr>
              <w:t>1x</w:t>
            </w:r>
          </w:p>
          <w:p w14:paraId="27AC2411" w14:textId="77777777" w:rsidR="00F121A9" w:rsidRPr="00F121A9" w:rsidRDefault="00F121A9" w:rsidP="00F121A9">
            <w:pPr>
              <w:pStyle w:val="Vchoz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21A9">
              <w:rPr>
                <w:rFonts w:asciiTheme="minorHAnsi" w:hAnsiTheme="minorHAnsi" w:cstheme="minorHAnsi"/>
                <w:b/>
                <w:bCs/>
              </w:rPr>
              <w:t>1x</w:t>
            </w:r>
          </w:p>
          <w:p w14:paraId="11F06B08" w14:textId="77777777" w:rsidR="00F121A9" w:rsidRPr="00F121A9" w:rsidRDefault="00F121A9" w:rsidP="00F121A9">
            <w:pPr>
              <w:pStyle w:val="Vchoz"/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121A9">
              <w:rPr>
                <w:rFonts w:asciiTheme="minorHAnsi" w:hAnsiTheme="minorHAnsi" w:cstheme="minorHAnsi"/>
                <w:b/>
                <w:bCs/>
              </w:rPr>
              <w:t>1x</w:t>
            </w:r>
          </w:p>
          <w:p w14:paraId="4F46D6FD" w14:textId="77777777" w:rsidR="00F121A9" w:rsidRDefault="00F121A9" w:rsidP="00F121A9">
            <w:pPr>
              <w:pStyle w:val="Vchoz"/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7743" w:type="dxa"/>
            <w:tcBorders>
              <w:top w:val="thinThickSmallGap" w:sz="2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14:paraId="6BB293E1" w14:textId="77777777" w:rsidR="00AF2122" w:rsidRDefault="00337BED">
            <w:pPr>
              <w:spacing w:after="0" w:line="240" w:lineRule="auto"/>
              <w:rPr>
                <w:rFonts w:eastAsia="Microsoft YaHei" w:cs="Mangal"/>
                <w:b/>
                <w:bCs/>
                <w:sz w:val="24"/>
                <w:szCs w:val="24"/>
              </w:rPr>
            </w:pPr>
            <w:r>
              <w:rPr>
                <w:rFonts w:eastAsia="Microsoft YaHei" w:cs="Mangal"/>
                <w:b/>
                <w:bCs/>
                <w:sz w:val="24"/>
                <w:szCs w:val="24"/>
              </w:rPr>
              <w:t>Objednáváme, u Vás</w:t>
            </w:r>
            <w:r w:rsidR="00686569">
              <w:rPr>
                <w:rFonts w:eastAsia="Microsoft YaHei" w:cs="Mangal"/>
                <w:b/>
                <w:bCs/>
                <w:sz w:val="24"/>
                <w:szCs w:val="24"/>
              </w:rPr>
              <w:t xml:space="preserve"> dodání čerpadel dle seznamu</w:t>
            </w:r>
          </w:p>
          <w:p w14:paraId="3CE01520" w14:textId="77777777" w:rsidR="008669BE" w:rsidRDefault="008669BE">
            <w:pPr>
              <w:spacing w:after="0" w:line="240" w:lineRule="auto"/>
              <w:rPr>
                <w:rFonts w:eastAsia="Microsoft YaHei" w:cs="Mangal"/>
                <w:b/>
                <w:bCs/>
                <w:sz w:val="24"/>
                <w:szCs w:val="24"/>
              </w:rPr>
            </w:pPr>
          </w:p>
          <w:p w14:paraId="7B974629" w14:textId="77777777" w:rsidR="008669BE" w:rsidRDefault="008669BE">
            <w:pPr>
              <w:spacing w:after="0" w:line="24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vkovac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erpadlo </w:t>
            </w:r>
            <w:proofErr w:type="spellStart"/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Tekna</w:t>
            </w:r>
            <w:proofErr w:type="spellEnd"/>
          </w:p>
          <w:p w14:paraId="756B956B" w14:textId="77777777" w:rsidR="008669BE" w:rsidRDefault="008669BE">
            <w:pPr>
              <w:spacing w:after="0" w:line="24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Dmychadlo 1,6kW</w:t>
            </w:r>
          </w:p>
          <w:p w14:paraId="3B5013E5" w14:textId="77777777" w:rsidR="008669BE" w:rsidRDefault="00F121A9">
            <w:pPr>
              <w:spacing w:after="0" w:line="24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erpadlo AV150 / 400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  <w:p w14:paraId="0A1812EF" w14:textId="77777777" w:rsidR="00F121A9" w:rsidRDefault="00F121A9">
            <w:pPr>
              <w:spacing w:after="0" w:line="24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erpadlo AV200 / 400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  <w:p w14:paraId="589B0D06" w14:textId="77777777" w:rsidR="00F121A9" w:rsidRDefault="00F121A9">
            <w:pPr>
              <w:spacing w:after="0" w:line="24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erpadlo AV250 / 400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F4EA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  <w:p w14:paraId="4F4F93D8" w14:textId="77777777" w:rsidR="00F121A9" w:rsidRDefault="00F121A9">
            <w:pPr>
              <w:spacing w:after="0" w:line="240" w:lineRule="auto"/>
              <w:rPr>
                <w:rFonts w:eastAsia="Microsoft YaHei" w:cs="Mangal"/>
                <w:b/>
                <w:bCs/>
                <w:sz w:val="24"/>
                <w:szCs w:val="24"/>
              </w:rPr>
            </w:pPr>
            <w:r>
              <w:t>Čerpadlo JP6 / 230 V</w:t>
            </w:r>
          </w:p>
          <w:p w14:paraId="3AE79831" w14:textId="77777777" w:rsidR="00AF2122" w:rsidRDefault="00F121A9">
            <w:pPr>
              <w:spacing w:after="0" w:line="240" w:lineRule="auto"/>
            </w:pPr>
            <w:r>
              <w:t>Čerpadlo CM54 / 400 V</w:t>
            </w:r>
          </w:p>
          <w:p w14:paraId="61C657A8" w14:textId="77777777" w:rsidR="00AF2122" w:rsidRDefault="00AF2122">
            <w:pPr>
              <w:spacing w:after="0" w:line="240" w:lineRule="auto"/>
            </w:pPr>
          </w:p>
          <w:p w14:paraId="111DA94B" w14:textId="77777777" w:rsidR="00AF2122" w:rsidRDefault="00337BED">
            <w:pPr>
              <w:spacing w:after="0" w:line="240" w:lineRule="auto"/>
            </w:pPr>
            <w:r>
              <w:rPr>
                <w:b/>
                <w:bCs/>
              </w:rPr>
              <w:t xml:space="preserve">V celkové maximální ceně: </w:t>
            </w:r>
            <w:r w:rsidR="00F121A9">
              <w:rPr>
                <w:b/>
                <w:bCs/>
              </w:rPr>
              <w:t>100 000</w:t>
            </w:r>
            <w:r>
              <w:rPr>
                <w:b/>
                <w:bCs/>
              </w:rPr>
              <w:t>,- Kč bez DPH.</w:t>
            </w:r>
          </w:p>
        </w:tc>
      </w:tr>
      <w:tr w:rsidR="00AF2122" w14:paraId="6FA2BF39" w14:textId="77777777">
        <w:trPr>
          <w:trHeight w:val="1228"/>
        </w:trPr>
        <w:tc>
          <w:tcPr>
            <w:tcW w:w="24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14:paraId="6C363B23" w14:textId="77777777" w:rsidR="00AF2122" w:rsidRDefault="00337BED">
            <w:pPr>
              <w:pStyle w:val="Vchoz"/>
              <w:spacing w:line="360" w:lineRule="auto"/>
            </w:pPr>
            <w:r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7787A107" w14:textId="77777777" w:rsidR="00AF2122" w:rsidRDefault="00337BED">
            <w:pPr>
              <w:pStyle w:val="Vchoz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Služby města Jindřichův Hradec s.r.o.</w:t>
            </w:r>
          </w:p>
          <w:p w14:paraId="2939785D" w14:textId="77777777" w:rsidR="00AF2122" w:rsidRDefault="00337BED">
            <w:pPr>
              <w:pStyle w:val="Vchoz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Jiráskovo předměstí 1007/III</w:t>
            </w:r>
            <w:r>
              <w:rPr>
                <w:sz w:val="21"/>
                <w:szCs w:val="21"/>
              </w:rPr>
              <w:t xml:space="preserve"> </w:t>
            </w:r>
          </w:p>
          <w:p w14:paraId="1CCB5424" w14:textId="77777777" w:rsidR="00AF2122" w:rsidRDefault="00337BED">
            <w:pPr>
              <w:pStyle w:val="Vchoz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377 01 Jindřichův Hradec   </w:t>
            </w:r>
          </w:p>
          <w:p w14:paraId="3F67A013" w14:textId="77777777" w:rsidR="00AF2122" w:rsidRDefault="00337BED">
            <w:pPr>
              <w:pStyle w:val="Vchoz"/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IČO: 260 43 335                           DIČ: CZ26043335</w:t>
            </w:r>
          </w:p>
        </w:tc>
        <w:tc>
          <w:tcPr>
            <w:tcW w:w="7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14:paraId="0574DF2F" w14:textId="77777777" w:rsidR="00AF2122" w:rsidRDefault="00337BED">
            <w:pPr>
              <w:pStyle w:val="Vchoz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Razítko a podpis:</w:t>
            </w:r>
          </w:p>
        </w:tc>
      </w:tr>
    </w:tbl>
    <w:p w14:paraId="518EF3E7" w14:textId="77777777" w:rsidR="00AF2122" w:rsidRDefault="00AF2122">
      <w:pPr>
        <w:pStyle w:val="Vchoz"/>
      </w:pPr>
    </w:p>
    <w:p w14:paraId="742FCB0B" w14:textId="77777777" w:rsidR="00AF2122" w:rsidRDefault="00337BED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>Za dodavatele:</w:t>
      </w:r>
    </w:p>
    <w:sectPr w:rsidR="00AF2122">
      <w:pgSz w:w="11906" w:h="16838"/>
      <w:pgMar w:top="1021" w:right="964" w:bottom="737" w:left="964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22"/>
    <w:rsid w:val="00337BED"/>
    <w:rsid w:val="00686569"/>
    <w:rsid w:val="008669BE"/>
    <w:rsid w:val="00A7562F"/>
    <w:rsid w:val="00AF2122"/>
    <w:rsid w:val="00F121A9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DEB2"/>
  <w15:docId w15:val="{CB8E915A-A2DE-4A80-9275-DDDCB86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Vchoz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Vchoz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Vchoz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qFormat/>
    <w:pPr>
      <w:suppressLineNumbers/>
    </w:pPr>
    <w:rPr>
      <w:rFonts w:cs="Mangal"/>
    </w:rPr>
  </w:style>
  <w:style w:type="paragraph" w:customStyle="1" w:styleId="Vchoz">
    <w:name w:val="Výchozí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bubliny">
    <w:name w:val="Balloon Text"/>
    <w:basedOn w:val="Vchoz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qFormat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paragraph" w:customStyle="1" w:styleId="DocumentMap">
    <w:name w:val="DocumentMap"/>
    <w:qFormat/>
    <w:pPr>
      <w:spacing w:after="200"/>
    </w:pPr>
    <w:rPr>
      <w:rFonts w:ascii="Times New Roman" w:eastAsia="Cambria Math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subject/>
  <dc:creator>Mihos</dc:creator>
  <dc:description/>
  <cp:lastModifiedBy>uzivatel</cp:lastModifiedBy>
  <cp:revision>2</cp:revision>
  <cp:lastPrinted>2019-04-17T05:03:00Z</cp:lastPrinted>
  <dcterms:created xsi:type="dcterms:W3CDTF">2019-04-23T12:13:00Z</dcterms:created>
  <dcterms:modified xsi:type="dcterms:W3CDTF">2019-04-23T12:13:00Z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