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bookmarkStart w:id="0" w:name="_GoBack"/>
            <w:r>
              <w:t>9-219/F5005/19/RS</w:t>
            </w:r>
            <w:bookmarkEnd w:id="0"/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Energie - stavební a báňská a.s.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Vašíčkova 3081/, -Kladno, 27204Kladno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45146802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CZ45146802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06/2019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09.04.2019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ÚČOV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akce:1/2/F50/05</w:t>
            </w:r>
          </w:p>
          <w:p w:rsidR="00716005" w:rsidRDefault="001E58F7">
            <w:r>
              <w:t>Název akce:Celková přestavba ÚČOV na Císařském ostrově, etapa 007 - nátoky na ÚČOV - II. etapa</w:t>
            </w:r>
          </w:p>
          <w:p w:rsidR="00716005" w:rsidRDefault="00716005"/>
          <w:p w:rsidR="00716005" w:rsidRDefault="001E58F7">
            <w:r>
              <w:t xml:space="preserve">Na základě průběhu </w:t>
            </w:r>
            <w:r>
              <w:t>zkušebního provozu HČS u Vás objednáváme doplnění algoritmů pro čištění čerpadel hydroejektorů do ŘS HČS včetně souvisejí kabeláže a úprav elektrotechnické části HČS. Dle Vaší nabídky a DPS z 02/2019 zpracované Sweco Hydroprojekt a.s. pod č. zakázky 11-424</w:t>
            </w:r>
            <w:r>
              <w:t>2-54-01.</w:t>
            </w:r>
          </w:p>
          <w:p w:rsidR="00716005" w:rsidRDefault="00716005"/>
          <w:p w:rsidR="00716005" w:rsidRDefault="001E58F7">
            <w:r>
              <w:t>Celková cena:            nepřekročí 495.000,- Kč a bude doložena kalkulací</w:t>
            </w:r>
          </w:p>
          <w:p w:rsidR="00716005" w:rsidRDefault="00716005"/>
          <w:p w:rsidR="00716005" w:rsidRDefault="001E58F7">
            <w:r>
              <w:t>Termín:       do 10 týdnů od zahájení přípravných prací, nejpozději do 15.6.2019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1E58F7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E58F7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16005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AA50-6A69-4650-8421-6DA67DB0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2019-04-23T12:59:00Z</dcterms:created>
  <dcterms:modified xsi:type="dcterms:W3CDTF">2019-04-23T12:59:00Z</dcterms:modified>
</cp:coreProperties>
</file>