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A4" w:rsidRPr="00C82754" w:rsidRDefault="00AA55A4" w:rsidP="00AA55A4">
      <w:pPr>
        <w:jc w:val="center"/>
        <w:rPr>
          <w:rFonts w:ascii="Tahoma" w:hAnsi="Tahoma" w:cs="Tahoma"/>
          <w:b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b/>
          <w:sz w:val="19"/>
          <w:szCs w:val="19"/>
        </w:rPr>
        <w:t xml:space="preserve">Dohoda o ukončení </w:t>
      </w:r>
      <w:r w:rsidR="00A415AB">
        <w:rPr>
          <w:rFonts w:ascii="Tahoma" w:hAnsi="Tahoma" w:cs="Tahoma"/>
          <w:b/>
          <w:sz w:val="19"/>
          <w:szCs w:val="19"/>
        </w:rPr>
        <w:t>smluv</w:t>
      </w:r>
    </w:p>
    <w:p w:rsidR="00AA55A4" w:rsidRPr="00C82754" w:rsidRDefault="00AA55A4" w:rsidP="00AA55A4">
      <w:pPr>
        <w:jc w:val="center"/>
        <w:rPr>
          <w:rFonts w:ascii="Tahoma" w:hAnsi="Tahoma" w:cs="Tahoma"/>
          <w:b/>
          <w:sz w:val="19"/>
          <w:szCs w:val="19"/>
        </w:rPr>
      </w:pPr>
    </w:p>
    <w:p w:rsidR="00AA55A4" w:rsidRPr="00C82754" w:rsidRDefault="00AA55A4" w:rsidP="00AA55A4">
      <w:pPr>
        <w:jc w:val="center"/>
        <w:rPr>
          <w:rFonts w:ascii="Tahoma" w:hAnsi="Tahoma" w:cs="Tahoma"/>
          <w:b/>
          <w:sz w:val="19"/>
          <w:szCs w:val="19"/>
        </w:rPr>
      </w:pPr>
      <w:r w:rsidRPr="00C82754">
        <w:rPr>
          <w:rFonts w:ascii="Tahoma" w:hAnsi="Tahoma" w:cs="Tahoma"/>
          <w:b/>
          <w:sz w:val="19"/>
          <w:szCs w:val="19"/>
        </w:rPr>
        <w:t>(dále jen „</w:t>
      </w:r>
      <w:r>
        <w:rPr>
          <w:rFonts w:ascii="Tahoma" w:hAnsi="Tahoma" w:cs="Tahoma"/>
          <w:b/>
          <w:sz w:val="19"/>
          <w:szCs w:val="19"/>
        </w:rPr>
        <w:t>Dohoda</w:t>
      </w:r>
      <w:r w:rsidRPr="00C82754">
        <w:rPr>
          <w:rFonts w:ascii="Tahoma" w:hAnsi="Tahoma" w:cs="Tahoma"/>
          <w:b/>
          <w:sz w:val="19"/>
          <w:szCs w:val="19"/>
        </w:rPr>
        <w:t>“)</w:t>
      </w:r>
    </w:p>
    <w:p w:rsidR="00AA55A4" w:rsidRPr="00C82754" w:rsidRDefault="00AA55A4" w:rsidP="00AA55A4">
      <w:pPr>
        <w:jc w:val="center"/>
        <w:rPr>
          <w:rFonts w:ascii="Tahoma" w:hAnsi="Tahoma" w:cs="Tahoma"/>
          <w:i/>
          <w:sz w:val="19"/>
          <w:szCs w:val="19"/>
        </w:rPr>
      </w:pPr>
    </w:p>
    <w:p w:rsidR="00AA55A4" w:rsidRPr="00C82754" w:rsidRDefault="00AA55A4" w:rsidP="00AA55A4">
      <w:pPr>
        <w:jc w:val="center"/>
        <w:rPr>
          <w:rFonts w:ascii="Tahoma" w:hAnsi="Tahoma" w:cs="Tahoma"/>
          <w:i/>
          <w:sz w:val="19"/>
          <w:szCs w:val="19"/>
        </w:rPr>
      </w:pPr>
      <w:r w:rsidRPr="00C82754">
        <w:rPr>
          <w:rFonts w:ascii="Tahoma" w:hAnsi="Tahoma" w:cs="Tahoma"/>
          <w:i/>
          <w:sz w:val="19"/>
          <w:szCs w:val="19"/>
        </w:rPr>
        <w:t xml:space="preserve">uzavřená podle § </w:t>
      </w:r>
      <w:r>
        <w:rPr>
          <w:rFonts w:ascii="Tahoma" w:hAnsi="Tahoma" w:cs="Tahoma"/>
          <w:i/>
          <w:sz w:val="19"/>
          <w:szCs w:val="19"/>
        </w:rPr>
        <w:t>1981</w:t>
      </w:r>
      <w:r w:rsidRPr="00C82754">
        <w:rPr>
          <w:rFonts w:ascii="Tahoma" w:hAnsi="Tahoma" w:cs="Tahoma"/>
          <w:i/>
          <w:sz w:val="19"/>
          <w:szCs w:val="19"/>
        </w:rPr>
        <w:t xml:space="preserve"> zákona č. 89/2012 Sb., ve znění pozdějších předpisů (dále jen „</w:t>
      </w:r>
      <w:r w:rsidRPr="00C82754">
        <w:rPr>
          <w:rFonts w:ascii="Tahoma" w:hAnsi="Tahoma" w:cs="Tahoma"/>
          <w:b/>
          <w:i/>
          <w:sz w:val="19"/>
          <w:szCs w:val="19"/>
        </w:rPr>
        <w:t>občanský zákoník</w:t>
      </w:r>
      <w:r w:rsidRPr="00C82754">
        <w:rPr>
          <w:rFonts w:ascii="Tahoma" w:hAnsi="Tahoma" w:cs="Tahoma"/>
          <w:i/>
          <w:sz w:val="19"/>
          <w:szCs w:val="19"/>
        </w:rPr>
        <w:t>“)</w:t>
      </w:r>
    </w:p>
    <w:p w:rsidR="00AA55A4" w:rsidRPr="00C82754" w:rsidRDefault="00AA55A4" w:rsidP="00AA55A4">
      <w:pPr>
        <w:rPr>
          <w:rFonts w:ascii="Tahoma" w:hAnsi="Tahoma" w:cs="Tahoma"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b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b/>
          <w:sz w:val="19"/>
          <w:szCs w:val="19"/>
        </w:rPr>
      </w:pPr>
      <w:r w:rsidRPr="00C82754">
        <w:rPr>
          <w:rFonts w:ascii="Tahoma" w:hAnsi="Tahoma" w:cs="Tahoma"/>
          <w:b/>
          <w:sz w:val="19"/>
          <w:szCs w:val="19"/>
        </w:rPr>
        <w:t xml:space="preserve">1) </w:t>
      </w:r>
      <w:r>
        <w:rPr>
          <w:rFonts w:ascii="Tahoma" w:hAnsi="Tahoma" w:cs="Tahoma"/>
          <w:b/>
          <w:sz w:val="19"/>
          <w:szCs w:val="19"/>
        </w:rPr>
        <w:t>MERO ČR, a.s.</w:t>
      </w:r>
    </w:p>
    <w:p w:rsidR="00AA55A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 xml:space="preserve">se sídlem </w:t>
      </w:r>
      <w:r>
        <w:rPr>
          <w:rFonts w:ascii="Tahoma" w:hAnsi="Tahoma" w:cs="Tahoma"/>
          <w:sz w:val="19"/>
          <w:szCs w:val="19"/>
        </w:rPr>
        <w:t>Veltruská 748, 278 01 Kralupy nad Vltavou</w:t>
      </w:r>
    </w:p>
    <w:p w:rsidR="00F062B1" w:rsidRPr="00F062B1" w:rsidRDefault="00F062B1" w:rsidP="00F062B1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F062B1">
        <w:rPr>
          <w:rFonts w:ascii="Tahoma" w:hAnsi="Tahoma" w:cs="Tahoma"/>
          <w:sz w:val="19"/>
          <w:szCs w:val="19"/>
        </w:rPr>
        <w:t xml:space="preserve">zapsaná v obchodním rejstříku vedeném Městským soudem v Praze pod </w:t>
      </w:r>
      <w:proofErr w:type="spellStart"/>
      <w:r w:rsidRPr="00F062B1">
        <w:rPr>
          <w:rFonts w:ascii="Tahoma" w:hAnsi="Tahoma" w:cs="Tahoma"/>
          <w:sz w:val="19"/>
          <w:szCs w:val="19"/>
        </w:rPr>
        <w:t>sp</w:t>
      </w:r>
      <w:proofErr w:type="spellEnd"/>
      <w:r w:rsidRPr="00F062B1">
        <w:rPr>
          <w:rFonts w:ascii="Tahoma" w:hAnsi="Tahoma" w:cs="Tahoma"/>
          <w:sz w:val="19"/>
          <w:szCs w:val="19"/>
        </w:rPr>
        <w:t>. zn. B 2334</w:t>
      </w:r>
      <w:r w:rsidRPr="00F062B1" w:rsidDel="00FE7F5B">
        <w:rPr>
          <w:rFonts w:ascii="Tahoma" w:hAnsi="Tahoma" w:cs="Tahoma"/>
          <w:sz w:val="19"/>
          <w:szCs w:val="19"/>
        </w:rPr>
        <w:t xml:space="preserve"> </w:t>
      </w:r>
    </w:p>
    <w:p w:rsidR="00AA55A4" w:rsidRPr="00C82754" w:rsidRDefault="00AA55A4" w:rsidP="00412A34">
      <w:pPr>
        <w:spacing w:after="0" w:line="276" w:lineRule="auto"/>
        <w:jc w:val="both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 xml:space="preserve">zastoupená Ing. </w:t>
      </w:r>
      <w:r>
        <w:rPr>
          <w:rFonts w:ascii="Tahoma" w:hAnsi="Tahoma" w:cs="Tahoma"/>
          <w:sz w:val="19"/>
          <w:szCs w:val="19"/>
        </w:rPr>
        <w:t>Otakarem Krejsou, místopředsedou představenstva, a Ing. Milanem Hořákem, členem představenstva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>DIČ: CZ</w:t>
      </w:r>
      <w:r>
        <w:rPr>
          <w:rFonts w:ascii="Tahoma" w:hAnsi="Tahoma" w:cs="Tahoma"/>
          <w:sz w:val="19"/>
          <w:szCs w:val="19"/>
        </w:rPr>
        <w:t>60193468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 xml:space="preserve">IČO: </w:t>
      </w:r>
      <w:r>
        <w:rPr>
          <w:rFonts w:ascii="Tahoma" w:hAnsi="Tahoma" w:cs="Tahoma"/>
          <w:sz w:val="19"/>
          <w:szCs w:val="19"/>
        </w:rPr>
        <w:t>60193468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>(dále jen „</w:t>
      </w:r>
      <w:r w:rsidR="00DC3239">
        <w:rPr>
          <w:rFonts w:ascii="Tahoma" w:hAnsi="Tahoma" w:cs="Tahoma"/>
          <w:b/>
          <w:sz w:val="19"/>
          <w:szCs w:val="19"/>
        </w:rPr>
        <w:t>Klient</w:t>
      </w:r>
      <w:r w:rsidRPr="00C82754">
        <w:rPr>
          <w:rFonts w:ascii="Tahoma" w:hAnsi="Tahoma" w:cs="Tahoma"/>
          <w:sz w:val="19"/>
          <w:szCs w:val="19"/>
        </w:rPr>
        <w:t>“)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>a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b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b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b/>
          <w:sz w:val="19"/>
          <w:szCs w:val="19"/>
        </w:rPr>
      </w:pPr>
      <w:r w:rsidRPr="00C82754">
        <w:rPr>
          <w:rFonts w:ascii="Tahoma" w:hAnsi="Tahoma" w:cs="Tahoma"/>
          <w:b/>
          <w:sz w:val="19"/>
          <w:szCs w:val="19"/>
        </w:rPr>
        <w:t xml:space="preserve">2) </w:t>
      </w:r>
      <w:r>
        <w:rPr>
          <w:rFonts w:ascii="Tahoma" w:hAnsi="Tahoma" w:cs="Tahoma"/>
          <w:b/>
          <w:sz w:val="19"/>
          <w:szCs w:val="19"/>
        </w:rPr>
        <w:t>CÍSAŘ, ČEŠKA, SMUTNÝ s.r.o., advokátní kancelář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 xml:space="preserve">se sídlem </w:t>
      </w:r>
      <w:r>
        <w:rPr>
          <w:rFonts w:ascii="Tahoma" w:hAnsi="Tahoma" w:cs="Tahoma"/>
          <w:sz w:val="19"/>
          <w:szCs w:val="19"/>
        </w:rPr>
        <w:t>Hvězdova 1716/2b</w:t>
      </w:r>
      <w:r w:rsidRPr="00C82754">
        <w:rPr>
          <w:rFonts w:ascii="Tahoma" w:hAnsi="Tahoma" w:cs="Tahoma"/>
          <w:sz w:val="19"/>
          <w:szCs w:val="19"/>
        </w:rPr>
        <w:t>, 14</w:t>
      </w:r>
      <w:r>
        <w:rPr>
          <w:rFonts w:ascii="Tahoma" w:hAnsi="Tahoma" w:cs="Tahoma"/>
          <w:sz w:val="19"/>
          <w:szCs w:val="19"/>
        </w:rPr>
        <w:t>0 00</w:t>
      </w:r>
      <w:r w:rsidRPr="00C82754">
        <w:rPr>
          <w:rFonts w:ascii="Tahoma" w:hAnsi="Tahoma" w:cs="Tahoma"/>
          <w:sz w:val="19"/>
          <w:szCs w:val="19"/>
        </w:rPr>
        <w:t xml:space="preserve"> Praha 4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 xml:space="preserve">zastoupená </w:t>
      </w:r>
      <w:r>
        <w:rPr>
          <w:rFonts w:ascii="Tahoma" w:hAnsi="Tahoma" w:cs="Tahoma"/>
          <w:sz w:val="19"/>
          <w:szCs w:val="19"/>
        </w:rPr>
        <w:t>JUDr. Petrem Michalem, jednatelem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>DIČ: CZ</w:t>
      </w:r>
      <w:r>
        <w:rPr>
          <w:rFonts w:ascii="Tahoma" w:hAnsi="Tahoma" w:cs="Tahoma"/>
          <w:sz w:val="19"/>
          <w:szCs w:val="19"/>
        </w:rPr>
        <w:t>48118753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 xml:space="preserve">IČO: </w:t>
      </w:r>
      <w:r>
        <w:rPr>
          <w:rFonts w:ascii="Tahoma" w:hAnsi="Tahoma" w:cs="Tahoma"/>
          <w:sz w:val="19"/>
          <w:szCs w:val="19"/>
        </w:rPr>
        <w:t>481</w:t>
      </w:r>
      <w:r w:rsidR="00DC3239">
        <w:rPr>
          <w:rFonts w:ascii="Tahoma" w:hAnsi="Tahoma" w:cs="Tahoma"/>
          <w:sz w:val="19"/>
          <w:szCs w:val="19"/>
        </w:rPr>
        <w:t>18753</w:t>
      </w:r>
    </w:p>
    <w:p w:rsidR="00AA55A4" w:rsidRPr="00C82754" w:rsidRDefault="00AA55A4" w:rsidP="00AA55A4">
      <w:pPr>
        <w:spacing w:after="120"/>
        <w:rPr>
          <w:rFonts w:ascii="Tahoma" w:hAnsi="Tahoma" w:cs="Tahoma"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>(dále jen „</w:t>
      </w:r>
      <w:r w:rsidR="00DC3239">
        <w:rPr>
          <w:rFonts w:ascii="Tahoma" w:hAnsi="Tahoma" w:cs="Tahoma"/>
          <w:b/>
          <w:sz w:val="19"/>
          <w:szCs w:val="19"/>
        </w:rPr>
        <w:t>Advokát</w:t>
      </w:r>
      <w:r w:rsidRPr="00C82754">
        <w:rPr>
          <w:rFonts w:ascii="Tahoma" w:hAnsi="Tahoma" w:cs="Tahoma"/>
          <w:sz w:val="19"/>
          <w:szCs w:val="19"/>
        </w:rPr>
        <w:t>“)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>(dále společně také jen „</w:t>
      </w:r>
      <w:r w:rsidRPr="00C82754">
        <w:rPr>
          <w:rFonts w:ascii="Tahoma" w:hAnsi="Tahoma" w:cs="Tahoma"/>
          <w:b/>
          <w:sz w:val="19"/>
          <w:szCs w:val="19"/>
        </w:rPr>
        <w:t>Smluvní strany</w:t>
      </w:r>
      <w:r w:rsidRPr="00C82754">
        <w:rPr>
          <w:rFonts w:ascii="Tahoma" w:hAnsi="Tahoma" w:cs="Tahoma"/>
          <w:sz w:val="19"/>
          <w:szCs w:val="19"/>
        </w:rPr>
        <w:t>“, nebo jednotlivě „</w:t>
      </w:r>
      <w:r w:rsidRPr="00C82754">
        <w:rPr>
          <w:rFonts w:ascii="Tahoma" w:hAnsi="Tahoma" w:cs="Tahoma"/>
          <w:b/>
          <w:sz w:val="19"/>
          <w:szCs w:val="19"/>
        </w:rPr>
        <w:t>Smluvní strana</w:t>
      </w:r>
      <w:r w:rsidRPr="00C82754">
        <w:rPr>
          <w:rFonts w:ascii="Tahoma" w:hAnsi="Tahoma" w:cs="Tahoma"/>
          <w:sz w:val="19"/>
          <w:szCs w:val="19"/>
        </w:rPr>
        <w:t xml:space="preserve">“) </w:t>
      </w: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>uzavřely níže uvedeného dne, měsíce a roku tuto</w:t>
      </w:r>
    </w:p>
    <w:p w:rsidR="00AA55A4" w:rsidRPr="00C82754" w:rsidRDefault="00AA55A4" w:rsidP="00AA55A4">
      <w:pPr>
        <w:spacing w:after="0" w:line="276" w:lineRule="auto"/>
        <w:jc w:val="center"/>
        <w:rPr>
          <w:rFonts w:ascii="Tahoma" w:hAnsi="Tahoma" w:cs="Tahoma"/>
          <w:b/>
          <w:spacing w:val="20"/>
          <w:sz w:val="19"/>
          <w:szCs w:val="19"/>
        </w:rPr>
      </w:pPr>
    </w:p>
    <w:p w:rsidR="00AA55A4" w:rsidRPr="00C82754" w:rsidRDefault="00AA55A4" w:rsidP="00AA55A4">
      <w:pPr>
        <w:spacing w:after="0" w:line="276" w:lineRule="auto"/>
        <w:jc w:val="center"/>
        <w:rPr>
          <w:rFonts w:ascii="Tahoma" w:hAnsi="Tahoma" w:cs="Tahoma"/>
          <w:b/>
          <w:spacing w:val="20"/>
          <w:sz w:val="19"/>
          <w:szCs w:val="19"/>
        </w:rPr>
      </w:pPr>
    </w:p>
    <w:p w:rsidR="00AA55A4" w:rsidRDefault="00AA55A4" w:rsidP="00AA55A4">
      <w:pPr>
        <w:spacing w:after="0" w:line="276" w:lineRule="auto"/>
        <w:jc w:val="center"/>
        <w:rPr>
          <w:rFonts w:ascii="Tahoma" w:hAnsi="Tahoma" w:cs="Tahoma"/>
          <w:b/>
          <w:spacing w:val="20"/>
          <w:sz w:val="19"/>
          <w:szCs w:val="19"/>
        </w:rPr>
      </w:pPr>
    </w:p>
    <w:p w:rsidR="00AA55A4" w:rsidRPr="00C82754" w:rsidRDefault="00DC3239" w:rsidP="00AA55A4">
      <w:pPr>
        <w:spacing w:after="0" w:line="276" w:lineRule="auto"/>
        <w:jc w:val="center"/>
        <w:rPr>
          <w:rFonts w:ascii="Tahoma" w:hAnsi="Tahoma" w:cs="Tahoma"/>
          <w:b/>
          <w:spacing w:val="20"/>
          <w:sz w:val="19"/>
          <w:szCs w:val="19"/>
        </w:rPr>
      </w:pPr>
      <w:r>
        <w:rPr>
          <w:rFonts w:ascii="Tahoma" w:hAnsi="Tahoma" w:cs="Tahoma"/>
          <w:b/>
          <w:spacing w:val="20"/>
          <w:sz w:val="19"/>
          <w:szCs w:val="19"/>
        </w:rPr>
        <w:t>DOHODU</w:t>
      </w:r>
      <w:r w:rsidR="00AA55A4" w:rsidRPr="00C82754">
        <w:rPr>
          <w:rFonts w:ascii="Tahoma" w:hAnsi="Tahoma" w:cs="Tahoma"/>
          <w:b/>
          <w:spacing w:val="20"/>
          <w:sz w:val="19"/>
          <w:szCs w:val="19"/>
        </w:rPr>
        <w:t>:</w:t>
      </w:r>
    </w:p>
    <w:p w:rsidR="00A829A3" w:rsidRDefault="00A829A3">
      <w:pPr>
        <w:rPr>
          <w:rFonts w:ascii="Tahoma" w:hAnsi="Tahoma" w:cs="Tahoma"/>
          <w:sz w:val="28"/>
          <w:szCs w:val="28"/>
        </w:rPr>
      </w:pPr>
    </w:p>
    <w:p w:rsidR="00DC3239" w:rsidRDefault="00DC3239">
      <w:pPr>
        <w:rPr>
          <w:rFonts w:ascii="Tahoma" w:hAnsi="Tahoma" w:cs="Tahoma"/>
          <w:sz w:val="28"/>
          <w:szCs w:val="28"/>
        </w:rPr>
      </w:pPr>
    </w:p>
    <w:p w:rsidR="00DC3239" w:rsidRDefault="00DC3239">
      <w:pPr>
        <w:rPr>
          <w:rFonts w:ascii="Tahoma" w:hAnsi="Tahoma" w:cs="Tahoma"/>
          <w:sz w:val="28"/>
          <w:szCs w:val="28"/>
        </w:rPr>
      </w:pPr>
    </w:p>
    <w:p w:rsidR="00DC3239" w:rsidRDefault="00DC3239">
      <w:pPr>
        <w:rPr>
          <w:rFonts w:ascii="Tahoma" w:hAnsi="Tahoma" w:cs="Tahoma"/>
          <w:sz w:val="28"/>
          <w:szCs w:val="28"/>
        </w:rPr>
      </w:pPr>
    </w:p>
    <w:p w:rsidR="00DC3239" w:rsidRDefault="00DC3239">
      <w:pPr>
        <w:rPr>
          <w:rFonts w:ascii="Tahoma" w:hAnsi="Tahoma" w:cs="Tahoma"/>
          <w:sz w:val="28"/>
          <w:szCs w:val="28"/>
        </w:rPr>
      </w:pPr>
    </w:p>
    <w:p w:rsidR="00DC3239" w:rsidRPr="00DC3239" w:rsidRDefault="00DC3239" w:rsidP="00DC3239">
      <w:pPr>
        <w:pStyle w:val="Nadpis1"/>
        <w:spacing w:after="240"/>
        <w:jc w:val="center"/>
        <w:rPr>
          <w:rFonts w:ascii="Tahoma" w:eastAsiaTheme="minorHAnsi" w:hAnsi="Tahoma" w:cs="Tahoma"/>
          <w:b/>
          <w:color w:val="auto"/>
          <w:sz w:val="19"/>
          <w:szCs w:val="19"/>
        </w:rPr>
      </w:pPr>
      <w:r w:rsidRPr="00DC3239">
        <w:rPr>
          <w:rFonts w:ascii="Tahoma" w:eastAsiaTheme="minorHAnsi" w:hAnsi="Tahoma" w:cs="Tahoma"/>
          <w:b/>
          <w:color w:val="auto"/>
          <w:sz w:val="19"/>
          <w:szCs w:val="19"/>
        </w:rPr>
        <w:lastRenderedPageBreak/>
        <w:t>Úvodní ustanovení</w:t>
      </w:r>
    </w:p>
    <w:p w:rsidR="00DC3239" w:rsidRDefault="00DC3239" w:rsidP="00F062B1">
      <w:pPr>
        <w:pStyle w:val="Odstavecseseznamem"/>
        <w:numPr>
          <w:ilvl w:val="0"/>
          <w:numId w:val="2"/>
        </w:numPr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DC3239">
        <w:rPr>
          <w:rFonts w:ascii="Tahoma" w:hAnsi="Tahoma" w:cs="Tahoma"/>
          <w:sz w:val="19"/>
          <w:szCs w:val="19"/>
        </w:rPr>
        <w:t xml:space="preserve">Smluvní strany </w:t>
      </w:r>
      <w:r>
        <w:rPr>
          <w:rFonts w:ascii="Tahoma" w:hAnsi="Tahoma" w:cs="Tahoma"/>
          <w:sz w:val="19"/>
          <w:szCs w:val="19"/>
        </w:rPr>
        <w:t xml:space="preserve">spolu uzavřely následující smlouvy: </w:t>
      </w:r>
    </w:p>
    <w:p w:rsidR="00800820" w:rsidRDefault="00800820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7A12D6">
        <w:rPr>
          <w:rFonts w:ascii="Tahoma" w:hAnsi="Tahoma" w:cs="Tahoma"/>
          <w:b/>
          <w:sz w:val="19"/>
          <w:szCs w:val="19"/>
        </w:rPr>
        <w:t>Smlouva o poskytování právních služeb ze dne 24. 2. 2015</w:t>
      </w:r>
      <w:r w:rsidR="001C14CB" w:rsidRPr="00441245">
        <w:rPr>
          <w:rFonts w:ascii="Tahoma" w:hAnsi="Tahoma" w:cs="Tahoma"/>
          <w:b/>
          <w:sz w:val="19"/>
          <w:szCs w:val="19"/>
        </w:rPr>
        <w:t>,</w:t>
      </w:r>
      <w:r w:rsidR="00441245" w:rsidRPr="00441245">
        <w:rPr>
          <w:rFonts w:ascii="Tahoma" w:hAnsi="Tahoma" w:cs="Tahoma"/>
          <w:b/>
          <w:sz w:val="19"/>
          <w:szCs w:val="19"/>
        </w:rPr>
        <w:t xml:space="preserve"> č. O/0981</w:t>
      </w:r>
      <w:r w:rsidR="00441245">
        <w:rPr>
          <w:rFonts w:ascii="Tahoma" w:hAnsi="Tahoma" w:cs="Tahoma"/>
          <w:sz w:val="19"/>
          <w:szCs w:val="19"/>
        </w:rPr>
        <w:t>,</w:t>
      </w:r>
      <w:r w:rsidR="001C14CB">
        <w:rPr>
          <w:rFonts w:ascii="Tahoma" w:hAnsi="Tahoma" w:cs="Tahoma"/>
          <w:sz w:val="19"/>
          <w:szCs w:val="19"/>
        </w:rPr>
        <w:t xml:space="preserve"> jejímž předmětem je poskytování právních služeb a poradenství spočívajícím v právní analýze vybraných obchodních vztahů Klienta s třetími osobami s ohledem na technologická a jiná specifika obchodní činnosti klienta a právní analýze příslušné smluvní dokumentace</w:t>
      </w:r>
      <w:r w:rsidRPr="00800820">
        <w:rPr>
          <w:rFonts w:ascii="Tahoma" w:hAnsi="Tahoma" w:cs="Tahoma"/>
          <w:sz w:val="19"/>
          <w:szCs w:val="19"/>
        </w:rPr>
        <w:t>;</w:t>
      </w:r>
    </w:p>
    <w:p w:rsidR="00800820" w:rsidRDefault="00800820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D26927">
        <w:rPr>
          <w:rFonts w:ascii="Tahoma" w:hAnsi="Tahoma" w:cs="Tahoma"/>
          <w:b/>
          <w:sz w:val="19"/>
          <w:szCs w:val="19"/>
        </w:rPr>
        <w:t>Smlouva o poskytování právních služeb ze dne 27. 3. 2015</w:t>
      </w:r>
      <w:r w:rsidR="00D26927" w:rsidRPr="00441245">
        <w:rPr>
          <w:rFonts w:ascii="Tahoma" w:hAnsi="Tahoma" w:cs="Tahoma"/>
          <w:b/>
          <w:sz w:val="19"/>
          <w:szCs w:val="19"/>
        </w:rPr>
        <w:t>,</w:t>
      </w:r>
      <w:r w:rsidR="00441245" w:rsidRPr="00441245">
        <w:rPr>
          <w:rFonts w:ascii="Tahoma" w:hAnsi="Tahoma" w:cs="Tahoma"/>
          <w:b/>
          <w:sz w:val="19"/>
          <w:szCs w:val="19"/>
        </w:rPr>
        <w:t xml:space="preserve"> č. O/1012</w:t>
      </w:r>
      <w:r w:rsidR="00441245">
        <w:rPr>
          <w:rFonts w:ascii="Tahoma" w:hAnsi="Tahoma" w:cs="Tahoma"/>
          <w:sz w:val="19"/>
          <w:szCs w:val="19"/>
        </w:rPr>
        <w:t xml:space="preserve">, </w:t>
      </w:r>
      <w:r w:rsidR="00D26927">
        <w:rPr>
          <w:rFonts w:ascii="Tahoma" w:hAnsi="Tahoma" w:cs="Tahoma"/>
          <w:sz w:val="19"/>
          <w:szCs w:val="19"/>
        </w:rPr>
        <w:t>jejímž předmětem jsou právní služby a poradenství v souvislosti s řízeními a šetřeními vedenými u Úřadu pro ochranu hospodářské soutěže</w:t>
      </w:r>
      <w:r w:rsidRPr="00800820">
        <w:rPr>
          <w:rFonts w:ascii="Tahoma" w:hAnsi="Tahoma" w:cs="Tahoma"/>
          <w:sz w:val="19"/>
          <w:szCs w:val="19"/>
        </w:rPr>
        <w:t>;</w:t>
      </w:r>
    </w:p>
    <w:p w:rsidR="00800820" w:rsidRPr="00800820" w:rsidRDefault="00800820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D26927">
        <w:rPr>
          <w:rFonts w:ascii="Tahoma" w:hAnsi="Tahoma" w:cs="Tahoma"/>
          <w:b/>
          <w:sz w:val="19"/>
          <w:szCs w:val="19"/>
        </w:rPr>
        <w:t>Smlouva o poskytování právních služeb ze dne 27. 3. 2015</w:t>
      </w:r>
      <w:r w:rsidR="00441245">
        <w:rPr>
          <w:rFonts w:ascii="Tahoma" w:hAnsi="Tahoma" w:cs="Tahoma"/>
          <w:b/>
          <w:sz w:val="19"/>
          <w:szCs w:val="19"/>
        </w:rPr>
        <w:t>, č. O/1013</w:t>
      </w:r>
      <w:r w:rsidR="004B7FF3">
        <w:rPr>
          <w:rFonts w:ascii="Tahoma" w:hAnsi="Tahoma" w:cs="Tahoma"/>
          <w:sz w:val="19"/>
          <w:szCs w:val="19"/>
        </w:rPr>
        <w:t>, jejímž předmětem j</w:t>
      </w:r>
      <w:r w:rsidR="00D26927">
        <w:rPr>
          <w:rFonts w:ascii="Tahoma" w:hAnsi="Tahoma" w:cs="Tahoma"/>
          <w:sz w:val="19"/>
          <w:szCs w:val="19"/>
        </w:rPr>
        <w:t>sou právní služby spočívající ve zpracování právního stanoviska, jehož předmětem je rozbor postavení Klienta v kontextu právních předpisů na ochranu hospodářské soutěže, zejména posouzení limitů jednání Klienta z hlediska zákazu zneužití dominantního postavení podle ustanovení § 11 odst. 1 zákona č.</w:t>
      </w:r>
      <w:r w:rsidR="00441245">
        <w:rPr>
          <w:rFonts w:ascii="Tahoma" w:hAnsi="Tahoma" w:cs="Tahoma"/>
          <w:sz w:val="19"/>
          <w:szCs w:val="19"/>
        </w:rPr>
        <w:t> </w:t>
      </w:r>
      <w:r w:rsidR="00D26927">
        <w:rPr>
          <w:rFonts w:ascii="Tahoma" w:hAnsi="Tahoma" w:cs="Tahoma"/>
          <w:sz w:val="19"/>
          <w:szCs w:val="19"/>
        </w:rPr>
        <w:t>143/2001 Sb., o ochraně hospodářské soutěže a změně některých zákonů</w:t>
      </w:r>
      <w:r w:rsidRPr="00800820">
        <w:rPr>
          <w:rFonts w:ascii="Tahoma" w:hAnsi="Tahoma" w:cs="Tahoma"/>
          <w:sz w:val="19"/>
          <w:szCs w:val="19"/>
        </w:rPr>
        <w:t>;</w:t>
      </w:r>
    </w:p>
    <w:p w:rsidR="00800820" w:rsidRDefault="00800820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D26927">
        <w:rPr>
          <w:rFonts w:ascii="Tahoma" w:hAnsi="Tahoma" w:cs="Tahoma"/>
          <w:b/>
          <w:sz w:val="19"/>
          <w:szCs w:val="19"/>
        </w:rPr>
        <w:t>Smlouva o poskytování právních služeb ze dne 1. 6. 2015</w:t>
      </w:r>
      <w:r w:rsidR="00441245">
        <w:rPr>
          <w:rFonts w:ascii="Tahoma" w:hAnsi="Tahoma" w:cs="Tahoma"/>
          <w:b/>
          <w:sz w:val="19"/>
          <w:szCs w:val="19"/>
        </w:rPr>
        <w:t>, č. O/1010</w:t>
      </w:r>
      <w:r w:rsidR="00D26927">
        <w:rPr>
          <w:rFonts w:ascii="Tahoma" w:hAnsi="Tahoma" w:cs="Tahoma"/>
          <w:sz w:val="19"/>
          <w:szCs w:val="19"/>
        </w:rPr>
        <w:t>, jejímž předmětem jsou právní služby a poradenství zejména při uzavírání smlouvy o poskytování služeb úschovy a přepravy ropy ropovodem IKL a Družba a při uzavírání smlouvy o obstarání přepravy ropy ropovodem TAL, případně dalších souvisejících smluv</w:t>
      </w:r>
      <w:r w:rsidRPr="00800820">
        <w:rPr>
          <w:rFonts w:ascii="Tahoma" w:hAnsi="Tahoma" w:cs="Tahoma"/>
          <w:sz w:val="19"/>
          <w:szCs w:val="19"/>
        </w:rPr>
        <w:t>;</w:t>
      </w:r>
    </w:p>
    <w:p w:rsidR="00800820" w:rsidRDefault="00800820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7A12D6">
        <w:rPr>
          <w:rFonts w:ascii="Tahoma" w:hAnsi="Tahoma" w:cs="Tahoma"/>
          <w:b/>
          <w:sz w:val="19"/>
          <w:szCs w:val="19"/>
        </w:rPr>
        <w:t>Smlouva o poskytování právních služeb ze dne 1. 6. 2015</w:t>
      </w:r>
      <w:r w:rsidR="00441245">
        <w:rPr>
          <w:rFonts w:ascii="Tahoma" w:hAnsi="Tahoma" w:cs="Tahoma"/>
          <w:b/>
          <w:sz w:val="19"/>
          <w:szCs w:val="19"/>
        </w:rPr>
        <w:t xml:space="preserve">, </w:t>
      </w:r>
      <w:r w:rsidR="00E34241">
        <w:rPr>
          <w:rFonts w:ascii="Tahoma" w:hAnsi="Tahoma" w:cs="Tahoma"/>
          <w:b/>
          <w:sz w:val="19"/>
          <w:szCs w:val="19"/>
        </w:rPr>
        <w:t xml:space="preserve">č. </w:t>
      </w:r>
      <w:r w:rsidR="00441245">
        <w:rPr>
          <w:rFonts w:ascii="Tahoma" w:hAnsi="Tahoma" w:cs="Tahoma"/>
          <w:b/>
          <w:sz w:val="19"/>
          <w:szCs w:val="19"/>
        </w:rPr>
        <w:t xml:space="preserve">O/1011, </w:t>
      </w:r>
      <w:r w:rsidR="007A12D6">
        <w:rPr>
          <w:rFonts w:ascii="Tahoma" w:hAnsi="Tahoma" w:cs="Tahoma"/>
          <w:sz w:val="19"/>
          <w:szCs w:val="19"/>
        </w:rPr>
        <w:t>jejímž předmětem jsou právní služby a poradenství zejména při jednáních s Českou republikou – Správou státních hmotných rezerv o Smlouvě o ochraňování státních hmotných rezerv číslo 2/94 ze dne 11. srpna 1994, ve znění pozdějších dodatků, případně jednáních o dalších smlouvách</w:t>
      </w:r>
      <w:r w:rsidRPr="00800820">
        <w:rPr>
          <w:rFonts w:ascii="Tahoma" w:hAnsi="Tahoma" w:cs="Tahoma"/>
          <w:sz w:val="19"/>
          <w:szCs w:val="19"/>
        </w:rPr>
        <w:t>;</w:t>
      </w:r>
    </w:p>
    <w:p w:rsidR="00800820" w:rsidRPr="00800820" w:rsidRDefault="00800820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263A2C">
        <w:rPr>
          <w:rFonts w:ascii="Tahoma" w:hAnsi="Tahoma" w:cs="Tahoma"/>
          <w:b/>
          <w:sz w:val="19"/>
          <w:szCs w:val="19"/>
        </w:rPr>
        <w:t>Smlouva o poskytování právních služeb ze dne 2. 12. 2015</w:t>
      </w:r>
      <w:r w:rsidR="009B1645">
        <w:rPr>
          <w:rFonts w:ascii="Tahoma" w:hAnsi="Tahoma" w:cs="Tahoma"/>
          <w:b/>
          <w:sz w:val="19"/>
          <w:szCs w:val="19"/>
        </w:rPr>
        <w:t xml:space="preserve">, </w:t>
      </w:r>
      <w:r w:rsidR="00E34241">
        <w:rPr>
          <w:rFonts w:ascii="Tahoma" w:hAnsi="Tahoma" w:cs="Tahoma"/>
          <w:b/>
          <w:sz w:val="19"/>
          <w:szCs w:val="19"/>
        </w:rPr>
        <w:t xml:space="preserve">č. </w:t>
      </w:r>
      <w:r w:rsidR="009B1645">
        <w:rPr>
          <w:rFonts w:ascii="Tahoma" w:hAnsi="Tahoma" w:cs="Tahoma"/>
          <w:b/>
          <w:sz w:val="19"/>
          <w:szCs w:val="19"/>
        </w:rPr>
        <w:t>O/1122</w:t>
      </w:r>
      <w:r w:rsidR="00441245">
        <w:rPr>
          <w:rFonts w:ascii="Tahoma" w:hAnsi="Tahoma" w:cs="Tahoma"/>
          <w:b/>
          <w:sz w:val="19"/>
          <w:szCs w:val="19"/>
        </w:rPr>
        <w:t>,</w:t>
      </w:r>
      <w:r w:rsidR="009B1645">
        <w:rPr>
          <w:rFonts w:ascii="Tahoma" w:hAnsi="Tahoma" w:cs="Tahoma"/>
          <w:b/>
          <w:sz w:val="19"/>
          <w:szCs w:val="19"/>
        </w:rPr>
        <w:t xml:space="preserve"> </w:t>
      </w:r>
      <w:r w:rsidR="005443C8">
        <w:rPr>
          <w:rFonts w:ascii="Tahoma" w:hAnsi="Tahoma" w:cs="Tahoma"/>
          <w:sz w:val="19"/>
          <w:szCs w:val="19"/>
        </w:rPr>
        <w:t>jejímž předmětem j</w:t>
      </w:r>
      <w:r w:rsidR="00263A2C">
        <w:rPr>
          <w:rFonts w:ascii="Tahoma" w:hAnsi="Tahoma" w:cs="Tahoma"/>
          <w:sz w:val="19"/>
          <w:szCs w:val="19"/>
        </w:rPr>
        <w:t xml:space="preserve">sou právní služby a poradenství, vypracování posudků a stanovisek, příprava a soupis potřebných písemností právního charakteru ve věcech, které jsou Advokátovi Klientem svěřeny k vyřízení, a to zejména při zastupování Klienta při jednáních se členy dozorčí rady společnosti UNIPETROL, a.s., a se členy představenstva společnosti PKN Orlen </w:t>
      </w:r>
      <w:proofErr w:type="gramStart"/>
      <w:r w:rsidR="00263A2C">
        <w:rPr>
          <w:rFonts w:ascii="Tahoma" w:hAnsi="Tahoma" w:cs="Tahoma"/>
          <w:sz w:val="19"/>
          <w:szCs w:val="19"/>
        </w:rPr>
        <w:t>S.A.</w:t>
      </w:r>
      <w:proofErr w:type="gramEnd"/>
      <w:r w:rsidR="00263A2C">
        <w:rPr>
          <w:rFonts w:ascii="Tahoma" w:hAnsi="Tahoma" w:cs="Tahoma"/>
          <w:sz w:val="19"/>
          <w:szCs w:val="19"/>
        </w:rPr>
        <w:t>, ve věci uzavření smlouvy o poskytování služeb úschovy a</w:t>
      </w:r>
      <w:r w:rsidR="00441245">
        <w:rPr>
          <w:rFonts w:ascii="Tahoma" w:hAnsi="Tahoma" w:cs="Tahoma"/>
          <w:sz w:val="19"/>
          <w:szCs w:val="19"/>
        </w:rPr>
        <w:t> </w:t>
      </w:r>
      <w:r w:rsidR="00263A2C">
        <w:rPr>
          <w:rFonts w:ascii="Tahoma" w:hAnsi="Tahoma" w:cs="Tahoma"/>
          <w:sz w:val="19"/>
          <w:szCs w:val="19"/>
        </w:rPr>
        <w:t>přepravy ropy ropovodem IKL a Družba a dále smlouvy o obstarání přepravy ropy ropovodem TAL a dalších souvisejících služeb</w:t>
      </w:r>
      <w:r w:rsidRPr="00800820">
        <w:rPr>
          <w:rFonts w:ascii="Tahoma" w:hAnsi="Tahoma" w:cs="Tahoma"/>
          <w:sz w:val="19"/>
          <w:szCs w:val="19"/>
        </w:rPr>
        <w:t>;</w:t>
      </w:r>
    </w:p>
    <w:p w:rsidR="00800820" w:rsidRPr="00800820" w:rsidRDefault="00800820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D26927">
        <w:rPr>
          <w:rFonts w:ascii="Tahoma" w:hAnsi="Tahoma" w:cs="Tahoma"/>
          <w:b/>
          <w:sz w:val="19"/>
          <w:szCs w:val="19"/>
        </w:rPr>
        <w:t>Smlouva o poskytování právních služeb ze dne 2. 5. 2016</w:t>
      </w:r>
      <w:r w:rsidR="009B1645">
        <w:rPr>
          <w:rFonts w:ascii="Tahoma" w:hAnsi="Tahoma" w:cs="Tahoma"/>
          <w:b/>
          <w:sz w:val="19"/>
          <w:szCs w:val="19"/>
        </w:rPr>
        <w:t xml:space="preserve">, </w:t>
      </w:r>
      <w:r w:rsidR="00E34241">
        <w:rPr>
          <w:rFonts w:ascii="Tahoma" w:hAnsi="Tahoma" w:cs="Tahoma"/>
          <w:b/>
          <w:sz w:val="19"/>
          <w:szCs w:val="19"/>
        </w:rPr>
        <w:t>č. O/1119</w:t>
      </w:r>
      <w:r w:rsidR="00D26927">
        <w:rPr>
          <w:rFonts w:ascii="Tahoma" w:hAnsi="Tahoma" w:cs="Tahoma"/>
          <w:sz w:val="19"/>
          <w:szCs w:val="19"/>
        </w:rPr>
        <w:t>, jejímž předmětem jsou právní služby a poradenství, vypracování posudků a stanovisek, příprava a sepisování potřebných písemností právního charakteru ve věcech, které jsou Advokátovi Klientem svěřeny, zejména v souvislosti s Dodatkem č. 2 ke Smlouvě o poskytování služeb úschovy a přepravy ropy ropovodem IKL a ropovodem Družba ze dne 5. ledna 2016</w:t>
      </w:r>
      <w:r w:rsidRPr="00800820">
        <w:rPr>
          <w:rFonts w:ascii="Tahoma" w:hAnsi="Tahoma" w:cs="Tahoma"/>
          <w:sz w:val="19"/>
          <w:szCs w:val="19"/>
        </w:rPr>
        <w:t>;</w:t>
      </w:r>
    </w:p>
    <w:p w:rsidR="00DC3239" w:rsidRDefault="00DC3239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164381">
        <w:rPr>
          <w:rFonts w:ascii="Tahoma" w:hAnsi="Tahoma" w:cs="Tahoma"/>
          <w:b/>
          <w:sz w:val="19"/>
          <w:szCs w:val="19"/>
        </w:rPr>
        <w:t>Smlouva o poskytování právních služeb ze dne 10. 7. 2017</w:t>
      </w:r>
      <w:r w:rsidR="00E34241">
        <w:rPr>
          <w:rFonts w:ascii="Tahoma" w:hAnsi="Tahoma" w:cs="Tahoma"/>
          <w:b/>
          <w:sz w:val="19"/>
          <w:szCs w:val="19"/>
        </w:rPr>
        <w:t>, č. 00250/POR</w:t>
      </w:r>
      <w:r w:rsidR="00164381">
        <w:rPr>
          <w:rFonts w:ascii="Tahoma" w:hAnsi="Tahoma" w:cs="Tahoma"/>
          <w:sz w:val="19"/>
          <w:szCs w:val="19"/>
        </w:rPr>
        <w:t>, jejímž předmětem je poskytování právních služeb spočívajících v administraci veřejné zakázky s názvem „Rozšíření Centrálního tankoviště ropy – skladovací nádrž H13“</w:t>
      </w:r>
      <w:r w:rsidR="00800820" w:rsidRPr="00800820">
        <w:rPr>
          <w:rFonts w:ascii="Tahoma" w:hAnsi="Tahoma" w:cs="Tahoma"/>
          <w:sz w:val="19"/>
          <w:szCs w:val="19"/>
        </w:rPr>
        <w:t>;</w:t>
      </w:r>
    </w:p>
    <w:p w:rsidR="00DC3239" w:rsidRDefault="00DC3239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164381">
        <w:rPr>
          <w:rFonts w:ascii="Tahoma" w:hAnsi="Tahoma" w:cs="Tahoma"/>
          <w:b/>
          <w:sz w:val="19"/>
          <w:szCs w:val="19"/>
        </w:rPr>
        <w:t>Smlouva o poskytování právních služeb ze dne 16. 8. 2017</w:t>
      </w:r>
      <w:r w:rsidR="00E34241">
        <w:rPr>
          <w:rFonts w:ascii="Tahoma" w:hAnsi="Tahoma" w:cs="Tahoma"/>
          <w:b/>
          <w:sz w:val="19"/>
          <w:szCs w:val="19"/>
        </w:rPr>
        <w:t>, č. 00246/POR</w:t>
      </w:r>
      <w:r w:rsidR="00800820">
        <w:rPr>
          <w:rFonts w:ascii="Tahoma" w:hAnsi="Tahoma" w:cs="Tahoma"/>
          <w:sz w:val="19"/>
          <w:szCs w:val="19"/>
        </w:rPr>
        <w:t xml:space="preserve">, </w:t>
      </w:r>
      <w:r w:rsidR="00164381">
        <w:rPr>
          <w:rFonts w:ascii="Tahoma" w:hAnsi="Tahoma" w:cs="Tahoma"/>
          <w:sz w:val="19"/>
          <w:szCs w:val="19"/>
        </w:rPr>
        <w:t xml:space="preserve">jejímž předmětem je </w:t>
      </w:r>
      <w:r w:rsidR="00800820">
        <w:rPr>
          <w:rFonts w:ascii="Tahoma" w:hAnsi="Tahoma" w:cs="Tahoma"/>
          <w:sz w:val="19"/>
          <w:szCs w:val="19"/>
        </w:rPr>
        <w:t>komplexní a</w:t>
      </w:r>
      <w:r w:rsidR="00441245">
        <w:rPr>
          <w:rFonts w:ascii="Tahoma" w:hAnsi="Tahoma" w:cs="Tahoma"/>
          <w:sz w:val="19"/>
          <w:szCs w:val="19"/>
        </w:rPr>
        <w:t> </w:t>
      </w:r>
      <w:r w:rsidR="00800820">
        <w:rPr>
          <w:rFonts w:ascii="Tahoma" w:hAnsi="Tahoma" w:cs="Tahoma"/>
          <w:sz w:val="19"/>
          <w:szCs w:val="19"/>
        </w:rPr>
        <w:t>kompletní právní podpor</w:t>
      </w:r>
      <w:r w:rsidR="00164381">
        <w:rPr>
          <w:rFonts w:ascii="Tahoma" w:hAnsi="Tahoma" w:cs="Tahoma"/>
          <w:sz w:val="19"/>
          <w:szCs w:val="19"/>
        </w:rPr>
        <w:t>a</w:t>
      </w:r>
      <w:r w:rsidR="00800820">
        <w:rPr>
          <w:rFonts w:ascii="Tahoma" w:hAnsi="Tahoma" w:cs="Tahoma"/>
          <w:sz w:val="19"/>
          <w:szCs w:val="19"/>
        </w:rPr>
        <w:t xml:space="preserve"> v průběhu zadávacího řízení na veřejnou zakázku</w:t>
      </w:r>
      <w:r w:rsidR="00164381">
        <w:rPr>
          <w:rFonts w:ascii="Tahoma" w:hAnsi="Tahoma" w:cs="Tahoma"/>
          <w:sz w:val="19"/>
          <w:szCs w:val="19"/>
        </w:rPr>
        <w:t>, jejímž předmětem je zajištění technického dohledu při realizaci zakázky „Rozšíření Centrálního tankoviště ropy – skladovací nádrž H13“</w:t>
      </w:r>
      <w:r w:rsidR="00800820" w:rsidRPr="00800820">
        <w:rPr>
          <w:rFonts w:ascii="Tahoma" w:hAnsi="Tahoma" w:cs="Tahoma"/>
          <w:sz w:val="19"/>
          <w:szCs w:val="19"/>
        </w:rPr>
        <w:t>;</w:t>
      </w:r>
    </w:p>
    <w:p w:rsidR="00DC3239" w:rsidRDefault="00DC3239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164381">
        <w:rPr>
          <w:rFonts w:ascii="Tahoma" w:hAnsi="Tahoma" w:cs="Tahoma"/>
          <w:b/>
          <w:sz w:val="19"/>
          <w:szCs w:val="19"/>
        </w:rPr>
        <w:t>Smlouva o poskytování právních služeb ze dne 23. 8. 2017</w:t>
      </w:r>
      <w:r w:rsidR="003748F2">
        <w:rPr>
          <w:rFonts w:ascii="Tahoma" w:hAnsi="Tahoma" w:cs="Tahoma"/>
          <w:b/>
          <w:sz w:val="19"/>
          <w:szCs w:val="19"/>
        </w:rPr>
        <w:t>, č. 00247/POR</w:t>
      </w:r>
      <w:r w:rsidR="00164381">
        <w:rPr>
          <w:rFonts w:ascii="Tahoma" w:hAnsi="Tahoma" w:cs="Tahoma"/>
          <w:sz w:val="19"/>
          <w:szCs w:val="19"/>
        </w:rPr>
        <w:t>, jejímž předmětem je komplexní a</w:t>
      </w:r>
      <w:r w:rsidR="00441245">
        <w:rPr>
          <w:rFonts w:ascii="Tahoma" w:hAnsi="Tahoma" w:cs="Tahoma"/>
          <w:sz w:val="19"/>
          <w:szCs w:val="19"/>
        </w:rPr>
        <w:t> </w:t>
      </w:r>
      <w:r w:rsidR="00164381">
        <w:rPr>
          <w:rFonts w:ascii="Tahoma" w:hAnsi="Tahoma" w:cs="Tahoma"/>
          <w:sz w:val="19"/>
          <w:szCs w:val="19"/>
        </w:rPr>
        <w:t>kompletní právní podpora v průběhu zadávacích řízení na veřejné zakázky, jejímž předmětem je zajištění výběru technického dohledu pro oblast geotechnika, pro oblast geodezie a výběr koordinátora BOZP při realizaci veřejné zakázky „Rozšíření Centrálního tankoviště ropy – skladovací nádrž H13“</w:t>
      </w:r>
      <w:r w:rsidR="00800820" w:rsidRPr="00800820">
        <w:rPr>
          <w:rFonts w:ascii="Tahoma" w:hAnsi="Tahoma" w:cs="Tahoma"/>
          <w:sz w:val="19"/>
          <w:szCs w:val="19"/>
        </w:rPr>
        <w:t>;</w:t>
      </w:r>
    </w:p>
    <w:p w:rsidR="00800820" w:rsidRDefault="00800820" w:rsidP="00F062B1">
      <w:pPr>
        <w:pStyle w:val="Odstavecseseznamem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19"/>
          <w:szCs w:val="19"/>
        </w:rPr>
      </w:pPr>
      <w:r w:rsidRPr="001C14CB">
        <w:rPr>
          <w:rFonts w:ascii="Tahoma" w:hAnsi="Tahoma" w:cs="Tahoma"/>
          <w:b/>
          <w:sz w:val="19"/>
          <w:szCs w:val="19"/>
        </w:rPr>
        <w:t>Smlouva o poskytování právních služeb ze dne 18. 9. 2017</w:t>
      </w:r>
      <w:r w:rsidR="003748F2">
        <w:rPr>
          <w:rFonts w:ascii="Tahoma" w:hAnsi="Tahoma" w:cs="Tahoma"/>
          <w:b/>
          <w:sz w:val="19"/>
          <w:szCs w:val="19"/>
        </w:rPr>
        <w:t>, č. 00260/POR</w:t>
      </w:r>
      <w:r w:rsidR="00164381">
        <w:rPr>
          <w:rFonts w:ascii="Tahoma" w:hAnsi="Tahoma" w:cs="Tahoma"/>
          <w:sz w:val="19"/>
          <w:szCs w:val="19"/>
        </w:rPr>
        <w:t xml:space="preserve">, jejímž předmětem je </w:t>
      </w:r>
      <w:r w:rsidR="001C14CB">
        <w:rPr>
          <w:rFonts w:ascii="Tahoma" w:hAnsi="Tahoma" w:cs="Tahoma"/>
          <w:sz w:val="19"/>
          <w:szCs w:val="19"/>
        </w:rPr>
        <w:t>zpracování návrhu interní směrnice Klienta na nákup a její provázání s dalšími interními směrnicemi</w:t>
      </w:r>
    </w:p>
    <w:p w:rsidR="00800820" w:rsidRDefault="00D26927" w:rsidP="00F062B1">
      <w:pPr>
        <w:pStyle w:val="Odstavecseseznamem"/>
        <w:ind w:left="567" w:hanging="283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(dále jen „</w:t>
      </w:r>
      <w:r w:rsidRPr="00D26927">
        <w:rPr>
          <w:rFonts w:ascii="Tahoma" w:hAnsi="Tahoma" w:cs="Tahoma"/>
          <w:b/>
          <w:sz w:val="19"/>
          <w:szCs w:val="19"/>
        </w:rPr>
        <w:t>Smlouvy</w:t>
      </w:r>
      <w:r>
        <w:rPr>
          <w:rFonts w:ascii="Tahoma" w:hAnsi="Tahoma" w:cs="Tahoma"/>
          <w:sz w:val="19"/>
          <w:szCs w:val="19"/>
        </w:rPr>
        <w:t xml:space="preserve">“). </w:t>
      </w:r>
    </w:p>
    <w:p w:rsidR="008F608F" w:rsidRPr="00A415AB" w:rsidRDefault="008F608F" w:rsidP="008F608F">
      <w:pPr>
        <w:pStyle w:val="Nadpis1"/>
        <w:spacing w:after="240"/>
        <w:jc w:val="center"/>
        <w:rPr>
          <w:rFonts w:ascii="Tahoma" w:eastAsiaTheme="minorHAnsi" w:hAnsi="Tahoma" w:cs="Tahoma"/>
          <w:b/>
          <w:color w:val="auto"/>
          <w:sz w:val="19"/>
          <w:szCs w:val="19"/>
        </w:rPr>
      </w:pPr>
      <w:r w:rsidRPr="00A415AB">
        <w:rPr>
          <w:rFonts w:ascii="Tahoma" w:eastAsiaTheme="minorHAnsi" w:hAnsi="Tahoma" w:cs="Tahoma"/>
          <w:b/>
          <w:color w:val="auto"/>
          <w:sz w:val="19"/>
          <w:szCs w:val="19"/>
        </w:rPr>
        <w:lastRenderedPageBreak/>
        <w:t>Zánik závazků</w:t>
      </w:r>
    </w:p>
    <w:p w:rsidR="008F608F" w:rsidRPr="00A415AB" w:rsidRDefault="008F608F" w:rsidP="00F062B1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A415AB">
        <w:rPr>
          <w:rFonts w:ascii="Tahoma" w:hAnsi="Tahoma" w:cs="Tahoma"/>
          <w:sz w:val="19"/>
          <w:szCs w:val="19"/>
        </w:rPr>
        <w:t xml:space="preserve">Smluvní strany se dohodly, že okamžikem účinnosti této Dohody </w:t>
      </w:r>
      <w:r w:rsidR="00A415AB" w:rsidRPr="00A415AB">
        <w:rPr>
          <w:rFonts w:ascii="Tahoma" w:hAnsi="Tahoma" w:cs="Tahoma"/>
          <w:sz w:val="19"/>
          <w:szCs w:val="19"/>
        </w:rPr>
        <w:t>ukončují Smlouvy specifikované v čl. 1 odst. 1 této Dohody, resp.</w:t>
      </w:r>
      <w:r w:rsidRPr="00A415AB">
        <w:rPr>
          <w:rFonts w:ascii="Tahoma" w:hAnsi="Tahoma" w:cs="Tahoma"/>
          <w:sz w:val="19"/>
          <w:szCs w:val="19"/>
        </w:rPr>
        <w:t xml:space="preserve"> </w:t>
      </w:r>
      <w:r w:rsidR="00D04C66">
        <w:rPr>
          <w:rFonts w:ascii="Tahoma" w:hAnsi="Tahoma" w:cs="Tahoma"/>
          <w:sz w:val="19"/>
          <w:szCs w:val="19"/>
        </w:rPr>
        <w:t xml:space="preserve">dosud trvající </w:t>
      </w:r>
      <w:r w:rsidRPr="00A415AB">
        <w:rPr>
          <w:rFonts w:ascii="Tahoma" w:hAnsi="Tahoma" w:cs="Tahoma"/>
          <w:sz w:val="19"/>
          <w:szCs w:val="19"/>
        </w:rPr>
        <w:t xml:space="preserve">závazky Smluvních stran ze Smluv </w:t>
      </w:r>
      <w:r w:rsidR="00A415AB" w:rsidRPr="00A415AB">
        <w:rPr>
          <w:rFonts w:ascii="Tahoma" w:hAnsi="Tahoma" w:cs="Tahoma"/>
          <w:sz w:val="19"/>
          <w:szCs w:val="19"/>
        </w:rPr>
        <w:t>okamžikem účinnosti této Dohody zanikají</w:t>
      </w:r>
      <w:r w:rsidRPr="00A415AB">
        <w:rPr>
          <w:rFonts w:ascii="Tahoma" w:hAnsi="Tahoma" w:cs="Tahoma"/>
          <w:sz w:val="19"/>
          <w:szCs w:val="19"/>
        </w:rPr>
        <w:t xml:space="preserve">. </w:t>
      </w:r>
    </w:p>
    <w:p w:rsidR="00A415AB" w:rsidRPr="00A415AB" w:rsidRDefault="00A415AB" w:rsidP="00A415AB">
      <w:pPr>
        <w:pStyle w:val="Nadpis1"/>
        <w:spacing w:after="240"/>
        <w:jc w:val="center"/>
        <w:rPr>
          <w:rFonts w:ascii="Tahoma" w:eastAsiaTheme="minorHAnsi" w:hAnsi="Tahoma" w:cs="Tahoma"/>
          <w:b/>
          <w:color w:val="auto"/>
          <w:sz w:val="19"/>
          <w:szCs w:val="19"/>
        </w:rPr>
      </w:pPr>
      <w:r w:rsidRPr="00A415AB">
        <w:rPr>
          <w:rFonts w:ascii="Tahoma" w:eastAsiaTheme="minorHAnsi" w:hAnsi="Tahoma" w:cs="Tahoma"/>
          <w:b/>
          <w:color w:val="auto"/>
          <w:sz w:val="19"/>
          <w:szCs w:val="19"/>
        </w:rPr>
        <w:t>Zá</w:t>
      </w:r>
      <w:r>
        <w:rPr>
          <w:rFonts w:ascii="Tahoma" w:eastAsiaTheme="minorHAnsi" w:hAnsi="Tahoma" w:cs="Tahoma"/>
          <w:b/>
          <w:color w:val="auto"/>
          <w:sz w:val="19"/>
          <w:szCs w:val="19"/>
        </w:rPr>
        <w:t>věrečná ustanovení</w:t>
      </w:r>
    </w:p>
    <w:p w:rsidR="008F608F" w:rsidRDefault="00017D3C" w:rsidP="00F062B1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017D3C">
        <w:rPr>
          <w:rFonts w:ascii="Tahoma" w:hAnsi="Tahoma" w:cs="Tahoma"/>
          <w:sz w:val="19"/>
          <w:szCs w:val="19"/>
        </w:rPr>
        <w:t>Tato Dohoda</w:t>
      </w:r>
      <w:r>
        <w:rPr>
          <w:rFonts w:ascii="Tahoma" w:hAnsi="Tahoma" w:cs="Tahoma"/>
          <w:sz w:val="19"/>
          <w:szCs w:val="19"/>
        </w:rPr>
        <w:t xml:space="preserve"> je vyhotovena ve dvou (2) vyhotoveních, z nichž každá ze Smluvních stran obdrží po jednom (1)</w:t>
      </w:r>
      <w:r w:rsidRPr="00017D3C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vyhotovení. </w:t>
      </w:r>
    </w:p>
    <w:p w:rsidR="00662474" w:rsidRDefault="00662474" w:rsidP="00F062B1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Každá ze Smluvních stran </w:t>
      </w:r>
      <w:r w:rsidR="00CA4E73">
        <w:rPr>
          <w:rFonts w:ascii="Tahoma" w:hAnsi="Tahoma" w:cs="Tahoma"/>
          <w:sz w:val="19"/>
          <w:szCs w:val="19"/>
        </w:rPr>
        <w:t xml:space="preserve">prohlašuje, že tuto Dohodu uzavírá svobodně a vážně, že považuje obsah této Dohody za určitý a srozumitelný a že jsou jí známy veškeré skutečnosti, jež jsou pro uzavření Dohody rozhodující, na důkaz čehož připojují Smluvní strany k Dohodě podpisy oprávněných zástupců. </w:t>
      </w:r>
    </w:p>
    <w:p w:rsidR="00120AFA" w:rsidRDefault="00120AFA" w:rsidP="00F062B1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C82754">
        <w:rPr>
          <w:rFonts w:ascii="Tahoma" w:hAnsi="Tahoma" w:cs="Tahoma"/>
          <w:sz w:val="19"/>
          <w:szCs w:val="19"/>
        </w:rPr>
        <w:t xml:space="preserve">Smluvní strany berou na vědomí, že tato </w:t>
      </w:r>
      <w:r>
        <w:rPr>
          <w:rFonts w:ascii="Tahoma" w:hAnsi="Tahoma" w:cs="Tahoma"/>
          <w:sz w:val="19"/>
          <w:szCs w:val="19"/>
        </w:rPr>
        <w:t>Dohoda</w:t>
      </w:r>
      <w:r w:rsidRPr="00C82754">
        <w:rPr>
          <w:rFonts w:ascii="Tahoma" w:hAnsi="Tahoma" w:cs="Tahoma"/>
          <w:sz w:val="19"/>
          <w:szCs w:val="19"/>
        </w:rPr>
        <w:t xml:space="preserve"> ke své účinnosti vyžaduje uveřejnění prostřednictvím tzv. Registru smluv podle zákona č. 340/2015 Sb., zákon o registru smluv</w:t>
      </w:r>
      <w:r>
        <w:rPr>
          <w:rFonts w:ascii="Tahoma" w:hAnsi="Tahoma" w:cs="Tahoma"/>
          <w:sz w:val="19"/>
          <w:szCs w:val="19"/>
        </w:rPr>
        <w:t>,</w:t>
      </w:r>
      <w:r w:rsidRPr="00C82754">
        <w:rPr>
          <w:rFonts w:ascii="Tahoma" w:hAnsi="Tahoma" w:cs="Tahoma"/>
          <w:sz w:val="19"/>
          <w:szCs w:val="19"/>
        </w:rPr>
        <w:t xml:space="preserve"> a s tímto uveřejněním souhlasí. Zaslání </w:t>
      </w:r>
      <w:r>
        <w:rPr>
          <w:rFonts w:ascii="Tahoma" w:hAnsi="Tahoma" w:cs="Tahoma"/>
          <w:sz w:val="19"/>
          <w:szCs w:val="19"/>
        </w:rPr>
        <w:t>Dohody</w:t>
      </w:r>
      <w:r w:rsidRPr="00C82754">
        <w:rPr>
          <w:rFonts w:ascii="Tahoma" w:hAnsi="Tahoma" w:cs="Tahoma"/>
          <w:sz w:val="19"/>
          <w:szCs w:val="19"/>
        </w:rPr>
        <w:t xml:space="preserve"> do Registru smluv zajistí </w:t>
      </w:r>
      <w:r>
        <w:rPr>
          <w:rFonts w:ascii="Tahoma" w:hAnsi="Tahoma" w:cs="Tahoma"/>
          <w:sz w:val="19"/>
          <w:szCs w:val="19"/>
        </w:rPr>
        <w:t>Klient</w:t>
      </w:r>
      <w:r w:rsidRPr="00C82754">
        <w:rPr>
          <w:rFonts w:ascii="Tahoma" w:hAnsi="Tahoma" w:cs="Tahoma"/>
          <w:sz w:val="19"/>
          <w:szCs w:val="19"/>
        </w:rPr>
        <w:t xml:space="preserve"> neprodleně po podpisu </w:t>
      </w:r>
      <w:r>
        <w:rPr>
          <w:rFonts w:ascii="Tahoma" w:hAnsi="Tahoma" w:cs="Tahoma"/>
          <w:sz w:val="19"/>
          <w:szCs w:val="19"/>
        </w:rPr>
        <w:t>Dohody</w:t>
      </w:r>
      <w:r w:rsidRPr="00C82754">
        <w:rPr>
          <w:rFonts w:ascii="Tahoma" w:hAnsi="Tahoma" w:cs="Tahoma"/>
          <w:sz w:val="19"/>
          <w:szCs w:val="19"/>
        </w:rPr>
        <w:t xml:space="preserve"> druhou Smluvní stranou</w:t>
      </w:r>
      <w:r>
        <w:rPr>
          <w:rFonts w:ascii="Tahoma" w:hAnsi="Tahoma" w:cs="Tahoma"/>
          <w:sz w:val="19"/>
          <w:szCs w:val="19"/>
        </w:rPr>
        <w:t>.</w:t>
      </w:r>
    </w:p>
    <w:p w:rsidR="001B3ACF" w:rsidRPr="001B3ACF" w:rsidRDefault="00BF49FA" w:rsidP="00F062B1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Tato Dohoda nabývá platnosti dnem podpisu oběma Smluvními stranami</w:t>
      </w:r>
      <w:r w:rsidR="00120AFA">
        <w:rPr>
          <w:rFonts w:ascii="Tahoma" w:hAnsi="Tahoma" w:cs="Tahoma"/>
          <w:sz w:val="19"/>
          <w:szCs w:val="19"/>
        </w:rPr>
        <w:t xml:space="preserve"> a účinnosti dnem uveřejnění prostřednictvím Registru smluv</w:t>
      </w:r>
      <w:r>
        <w:rPr>
          <w:rFonts w:ascii="Tahoma" w:hAnsi="Tahoma" w:cs="Tahoma"/>
          <w:sz w:val="19"/>
          <w:szCs w:val="19"/>
        </w:rPr>
        <w:t xml:space="preserve">. </w:t>
      </w:r>
    </w:p>
    <w:p w:rsidR="001B3ACF" w:rsidRDefault="001B3ACF" w:rsidP="00D26927">
      <w:pPr>
        <w:pStyle w:val="Odstavecseseznamem"/>
        <w:ind w:left="1440"/>
        <w:rPr>
          <w:rFonts w:ascii="Tahoma" w:hAnsi="Tahoma" w:cs="Tahoma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B3ACF" w:rsidRPr="00C82754" w:rsidTr="001B3ACF">
        <w:trPr>
          <w:trHeight w:val="1129"/>
        </w:trPr>
        <w:tc>
          <w:tcPr>
            <w:tcW w:w="4536" w:type="dxa"/>
            <w:hideMark/>
          </w:tcPr>
          <w:p w:rsidR="001B3ACF" w:rsidRPr="00C82754" w:rsidRDefault="001B3ACF" w:rsidP="003553D5">
            <w:pPr>
              <w:autoSpaceDE w:val="0"/>
              <w:autoSpaceDN w:val="0"/>
              <w:rPr>
                <w:rFonts w:ascii="Tahoma" w:hAnsi="Tahoma" w:cs="Tahoma"/>
                <w:sz w:val="19"/>
                <w:szCs w:val="19"/>
              </w:rPr>
            </w:pPr>
          </w:p>
          <w:p w:rsidR="001B3ACF" w:rsidRPr="00C82754" w:rsidRDefault="001B3ACF" w:rsidP="003553D5">
            <w:pPr>
              <w:autoSpaceDE w:val="0"/>
              <w:autoSpaceDN w:val="0"/>
              <w:rPr>
                <w:rFonts w:ascii="Tahoma" w:hAnsi="Tahoma" w:cs="Tahoma"/>
                <w:sz w:val="19"/>
                <w:szCs w:val="19"/>
              </w:rPr>
            </w:pPr>
          </w:p>
          <w:p w:rsidR="001B3ACF" w:rsidRPr="00C82754" w:rsidRDefault="001B3ACF" w:rsidP="00DA6848">
            <w:pPr>
              <w:autoSpaceDE w:val="0"/>
              <w:autoSpaceDN w:val="0"/>
              <w:rPr>
                <w:rFonts w:ascii="Tahoma" w:hAnsi="Tahoma" w:cs="Tahoma"/>
                <w:sz w:val="19"/>
                <w:szCs w:val="19"/>
              </w:rPr>
            </w:pPr>
            <w:r w:rsidRPr="00C82754">
              <w:rPr>
                <w:rFonts w:ascii="Tahoma" w:hAnsi="Tahoma" w:cs="Tahoma"/>
                <w:sz w:val="19"/>
                <w:szCs w:val="19"/>
              </w:rPr>
              <w:t>V</w:t>
            </w:r>
            <w:r w:rsidR="00DA6848">
              <w:rPr>
                <w:rFonts w:ascii="Tahoma" w:hAnsi="Tahoma" w:cs="Tahoma"/>
                <w:sz w:val="19"/>
                <w:szCs w:val="19"/>
              </w:rPr>
              <w:t> Kralupech nad Vltavou</w:t>
            </w:r>
            <w:r w:rsidRPr="00C82754">
              <w:rPr>
                <w:rFonts w:ascii="Tahoma" w:hAnsi="Tahoma" w:cs="Tahoma"/>
                <w:sz w:val="19"/>
                <w:szCs w:val="19"/>
              </w:rPr>
              <w:t xml:space="preserve"> dne _____________201</w:t>
            </w: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4536" w:type="dxa"/>
            <w:hideMark/>
          </w:tcPr>
          <w:p w:rsidR="001B3ACF" w:rsidRPr="00C82754" w:rsidRDefault="001B3ACF" w:rsidP="003553D5">
            <w:pPr>
              <w:autoSpaceDE w:val="0"/>
              <w:autoSpaceDN w:val="0"/>
              <w:rPr>
                <w:rFonts w:ascii="Tahoma" w:hAnsi="Tahoma" w:cs="Tahoma"/>
                <w:sz w:val="19"/>
                <w:szCs w:val="19"/>
              </w:rPr>
            </w:pPr>
          </w:p>
          <w:p w:rsidR="001B3ACF" w:rsidRPr="00C82754" w:rsidRDefault="001B3ACF" w:rsidP="003553D5">
            <w:pPr>
              <w:autoSpaceDE w:val="0"/>
              <w:autoSpaceDN w:val="0"/>
              <w:rPr>
                <w:rFonts w:ascii="Tahoma" w:hAnsi="Tahoma" w:cs="Tahoma"/>
                <w:sz w:val="19"/>
                <w:szCs w:val="19"/>
              </w:rPr>
            </w:pPr>
          </w:p>
          <w:p w:rsidR="001B3ACF" w:rsidRPr="00C82754" w:rsidRDefault="001B3ACF" w:rsidP="003553D5">
            <w:pPr>
              <w:autoSpaceDE w:val="0"/>
              <w:autoSpaceDN w:val="0"/>
              <w:rPr>
                <w:rFonts w:ascii="Tahoma" w:hAnsi="Tahoma" w:cs="Tahoma"/>
                <w:sz w:val="19"/>
                <w:szCs w:val="19"/>
              </w:rPr>
            </w:pPr>
            <w:r w:rsidRPr="00C82754">
              <w:rPr>
                <w:rFonts w:ascii="Tahoma" w:hAnsi="Tahoma" w:cs="Tahoma"/>
                <w:sz w:val="19"/>
                <w:szCs w:val="19"/>
              </w:rPr>
              <w:t>V Praze dne _____________________201</w:t>
            </w: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</w:tr>
      <w:tr w:rsidR="001B3ACF" w:rsidRPr="00C82754" w:rsidTr="001B3ACF">
        <w:tc>
          <w:tcPr>
            <w:tcW w:w="4536" w:type="dxa"/>
          </w:tcPr>
          <w:p w:rsidR="001B3ACF" w:rsidRPr="00C82754" w:rsidRDefault="001B3ACF" w:rsidP="003553D5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1B3ACF" w:rsidRPr="00C82754" w:rsidRDefault="001B3ACF" w:rsidP="003553D5">
            <w:pPr>
              <w:autoSpaceDE w:val="0"/>
              <w:autoSpaceDN w:val="0"/>
              <w:rPr>
                <w:rFonts w:ascii="Tahoma" w:hAnsi="Tahoma" w:cs="Tahoma"/>
                <w:sz w:val="19"/>
                <w:szCs w:val="19"/>
              </w:rPr>
            </w:pPr>
            <w:r w:rsidRPr="00C82754">
              <w:rPr>
                <w:rFonts w:ascii="Tahoma" w:hAnsi="Tahoma" w:cs="Tahoma"/>
                <w:sz w:val="19"/>
                <w:szCs w:val="19"/>
              </w:rPr>
              <w:t>_________________________________</w:t>
            </w:r>
          </w:p>
        </w:tc>
        <w:tc>
          <w:tcPr>
            <w:tcW w:w="4536" w:type="dxa"/>
          </w:tcPr>
          <w:p w:rsidR="001B3ACF" w:rsidRPr="00C82754" w:rsidRDefault="001B3ACF" w:rsidP="003553D5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1B3ACF" w:rsidRPr="00C82754" w:rsidRDefault="001B3ACF" w:rsidP="003553D5">
            <w:pPr>
              <w:autoSpaceDE w:val="0"/>
              <w:autoSpaceDN w:val="0"/>
              <w:rPr>
                <w:rFonts w:ascii="Tahoma" w:hAnsi="Tahoma" w:cs="Tahoma"/>
                <w:sz w:val="19"/>
                <w:szCs w:val="19"/>
              </w:rPr>
            </w:pPr>
            <w:r w:rsidRPr="00C82754">
              <w:rPr>
                <w:rFonts w:ascii="Tahoma" w:hAnsi="Tahoma" w:cs="Tahoma"/>
                <w:sz w:val="19"/>
                <w:szCs w:val="19"/>
              </w:rPr>
              <w:t>_________________________________</w:t>
            </w:r>
          </w:p>
        </w:tc>
      </w:tr>
      <w:tr w:rsidR="001B3ACF" w:rsidRPr="00C82754" w:rsidTr="001B3ACF">
        <w:trPr>
          <w:trHeight w:val="133"/>
        </w:trPr>
        <w:tc>
          <w:tcPr>
            <w:tcW w:w="4536" w:type="dxa"/>
          </w:tcPr>
          <w:p w:rsidR="001B3ACF" w:rsidRPr="001B3ACF" w:rsidRDefault="001B3ACF" w:rsidP="003553D5">
            <w:pPr>
              <w:spacing w:after="0" w:line="27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B3ACF">
              <w:rPr>
                <w:rFonts w:ascii="Tahoma" w:hAnsi="Tahoma" w:cs="Tahoma"/>
                <w:b/>
                <w:sz w:val="19"/>
                <w:szCs w:val="19"/>
              </w:rPr>
              <w:t>MERO ČR, a.s.</w:t>
            </w:r>
          </w:p>
          <w:p w:rsidR="001B3ACF" w:rsidRPr="00C82754" w:rsidRDefault="001B3ACF" w:rsidP="003553D5">
            <w:pPr>
              <w:spacing w:after="0"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Ing. Otakar Krejsa, místopředseda představenstva</w:t>
            </w:r>
          </w:p>
          <w:p w:rsidR="001B3ACF" w:rsidRPr="00C82754" w:rsidRDefault="001B3ACF" w:rsidP="003553D5">
            <w:pPr>
              <w:spacing w:after="0" w:line="276" w:lineRule="auto"/>
              <w:rPr>
                <w:rFonts w:ascii="Tahoma" w:hAnsi="Tahoma" w:cs="Tahoma"/>
                <w:spacing w:val="20"/>
                <w:sz w:val="19"/>
                <w:szCs w:val="19"/>
              </w:rPr>
            </w:pPr>
          </w:p>
        </w:tc>
        <w:tc>
          <w:tcPr>
            <w:tcW w:w="4536" w:type="dxa"/>
          </w:tcPr>
          <w:p w:rsidR="001B3ACF" w:rsidRPr="001B3ACF" w:rsidRDefault="001B3ACF" w:rsidP="001B3ACF">
            <w:pPr>
              <w:spacing w:after="0" w:line="276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CÍSAŘ, ČEŠKA, SMUTNÝ s.r.o., advokátní kancelář</w:t>
            </w:r>
          </w:p>
          <w:p w:rsidR="001B3ACF" w:rsidRPr="00C82754" w:rsidRDefault="001B3ACF" w:rsidP="003553D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JUDr. Petr Michal</w:t>
            </w:r>
            <w:r w:rsidRPr="00C82754">
              <w:rPr>
                <w:rFonts w:ascii="Tahoma" w:hAnsi="Tahoma" w:cs="Tahoma"/>
                <w:sz w:val="19"/>
                <w:szCs w:val="19"/>
              </w:rPr>
              <w:t>,</w:t>
            </w:r>
            <w:r>
              <w:rPr>
                <w:rFonts w:ascii="Tahoma" w:hAnsi="Tahoma" w:cs="Tahoma"/>
                <w:sz w:val="19"/>
                <w:szCs w:val="19"/>
              </w:rPr>
              <w:t xml:space="preserve"> advokát a</w:t>
            </w:r>
            <w:r w:rsidRPr="00C82754">
              <w:rPr>
                <w:rFonts w:ascii="Tahoma" w:hAnsi="Tahoma" w:cs="Tahoma"/>
                <w:sz w:val="19"/>
                <w:szCs w:val="19"/>
              </w:rPr>
              <w:t xml:space="preserve"> jednatel </w:t>
            </w:r>
          </w:p>
        </w:tc>
      </w:tr>
      <w:tr w:rsidR="001B3ACF" w:rsidRPr="00C82754" w:rsidTr="001B3ACF">
        <w:trPr>
          <w:gridAfter w:val="1"/>
          <w:wAfter w:w="4536" w:type="dxa"/>
        </w:trPr>
        <w:tc>
          <w:tcPr>
            <w:tcW w:w="4536" w:type="dxa"/>
          </w:tcPr>
          <w:p w:rsidR="001B3ACF" w:rsidRPr="00C82754" w:rsidRDefault="001B3ACF" w:rsidP="003553D5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1B3ACF" w:rsidRPr="00C82754" w:rsidRDefault="001B3ACF" w:rsidP="003553D5">
            <w:pPr>
              <w:autoSpaceDE w:val="0"/>
              <w:autoSpaceDN w:val="0"/>
              <w:rPr>
                <w:rFonts w:ascii="Tahoma" w:hAnsi="Tahoma" w:cs="Tahoma"/>
                <w:sz w:val="19"/>
                <w:szCs w:val="19"/>
              </w:rPr>
            </w:pPr>
            <w:r w:rsidRPr="00C82754">
              <w:rPr>
                <w:rFonts w:ascii="Tahoma" w:hAnsi="Tahoma" w:cs="Tahoma"/>
                <w:sz w:val="19"/>
                <w:szCs w:val="19"/>
              </w:rPr>
              <w:t>_________________________________</w:t>
            </w:r>
          </w:p>
        </w:tc>
      </w:tr>
      <w:tr w:rsidR="001B3ACF" w:rsidRPr="00C82754" w:rsidTr="001B3ACF">
        <w:trPr>
          <w:gridAfter w:val="1"/>
          <w:wAfter w:w="4536" w:type="dxa"/>
          <w:trHeight w:val="133"/>
        </w:trPr>
        <w:tc>
          <w:tcPr>
            <w:tcW w:w="4536" w:type="dxa"/>
          </w:tcPr>
          <w:p w:rsidR="001B3ACF" w:rsidRPr="001B3ACF" w:rsidRDefault="001B3ACF" w:rsidP="003553D5">
            <w:pPr>
              <w:spacing w:after="0" w:line="27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B3ACF">
              <w:rPr>
                <w:rFonts w:ascii="Tahoma" w:hAnsi="Tahoma" w:cs="Tahoma"/>
                <w:b/>
                <w:sz w:val="19"/>
                <w:szCs w:val="19"/>
              </w:rPr>
              <w:t>MERO ČR, a.s.</w:t>
            </w:r>
          </w:p>
          <w:p w:rsidR="001B3ACF" w:rsidRPr="00C82754" w:rsidRDefault="001B3ACF" w:rsidP="003553D5">
            <w:pPr>
              <w:spacing w:after="0"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Ing. Milan Hořák, člen představenstva</w:t>
            </w:r>
          </w:p>
          <w:p w:rsidR="001B3ACF" w:rsidRPr="00C82754" w:rsidRDefault="001B3ACF" w:rsidP="003553D5">
            <w:pPr>
              <w:spacing w:after="0" w:line="276" w:lineRule="auto"/>
              <w:rPr>
                <w:rFonts w:ascii="Tahoma" w:hAnsi="Tahoma" w:cs="Tahoma"/>
                <w:spacing w:val="20"/>
                <w:sz w:val="19"/>
                <w:szCs w:val="19"/>
              </w:rPr>
            </w:pPr>
          </w:p>
        </w:tc>
      </w:tr>
    </w:tbl>
    <w:p w:rsidR="001B3ACF" w:rsidRPr="00CA4E73" w:rsidRDefault="001B3ACF" w:rsidP="00CA4E73">
      <w:pPr>
        <w:rPr>
          <w:rFonts w:ascii="Tahoma" w:hAnsi="Tahoma" w:cs="Tahoma"/>
          <w:sz w:val="19"/>
          <w:szCs w:val="19"/>
        </w:rPr>
      </w:pPr>
    </w:p>
    <w:sectPr w:rsidR="001B3ACF" w:rsidRPr="00CA4E73" w:rsidSect="00374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F2" w:rsidRDefault="003748F2" w:rsidP="003748F2">
      <w:pPr>
        <w:spacing w:after="0" w:line="240" w:lineRule="auto"/>
      </w:pPr>
      <w:r>
        <w:separator/>
      </w:r>
    </w:p>
  </w:endnote>
  <w:endnote w:type="continuationSeparator" w:id="0">
    <w:p w:rsidR="003748F2" w:rsidRDefault="003748F2" w:rsidP="0037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F2" w:rsidRDefault="003748F2" w:rsidP="003748F2">
      <w:pPr>
        <w:spacing w:after="0" w:line="240" w:lineRule="auto"/>
      </w:pPr>
      <w:r>
        <w:separator/>
      </w:r>
    </w:p>
  </w:footnote>
  <w:footnote w:type="continuationSeparator" w:id="0">
    <w:p w:rsidR="003748F2" w:rsidRDefault="003748F2" w:rsidP="0037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A2"/>
    <w:multiLevelType w:val="hybridMultilevel"/>
    <w:tmpl w:val="DA9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59B"/>
    <w:multiLevelType w:val="hybridMultilevel"/>
    <w:tmpl w:val="568E1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99F"/>
    <w:multiLevelType w:val="hybridMultilevel"/>
    <w:tmpl w:val="5936C09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0F37D3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4">
    <w:nsid w:val="692F760A"/>
    <w:multiLevelType w:val="hybridMultilevel"/>
    <w:tmpl w:val="4DF41F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C76658"/>
    <w:multiLevelType w:val="hybridMultilevel"/>
    <w:tmpl w:val="DA965C38"/>
    <w:lvl w:ilvl="0" w:tplc="0405000F">
      <w:start w:val="1"/>
      <w:numFmt w:val="decimal"/>
      <w:lvlText w:val="%1."/>
      <w:lvlJc w:val="left"/>
      <w:pPr>
        <w:ind w:left="6" w:hanging="360"/>
      </w:pPr>
    </w:lvl>
    <w:lvl w:ilvl="1" w:tplc="04050019" w:tentative="1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A4"/>
    <w:rsid w:val="00017D3C"/>
    <w:rsid w:val="000F6446"/>
    <w:rsid w:val="00120AFA"/>
    <w:rsid w:val="00164381"/>
    <w:rsid w:val="001B3ACF"/>
    <w:rsid w:val="001C14CB"/>
    <w:rsid w:val="00263A2C"/>
    <w:rsid w:val="002902F6"/>
    <w:rsid w:val="003748F2"/>
    <w:rsid w:val="00412A34"/>
    <w:rsid w:val="00441245"/>
    <w:rsid w:val="004B7FF3"/>
    <w:rsid w:val="005443C8"/>
    <w:rsid w:val="00606E9E"/>
    <w:rsid w:val="00662474"/>
    <w:rsid w:val="007A12D6"/>
    <w:rsid w:val="00800820"/>
    <w:rsid w:val="008F608F"/>
    <w:rsid w:val="009B1645"/>
    <w:rsid w:val="00A415AB"/>
    <w:rsid w:val="00A829A3"/>
    <w:rsid w:val="00AA55A4"/>
    <w:rsid w:val="00BB168F"/>
    <w:rsid w:val="00BF49FA"/>
    <w:rsid w:val="00CA4E73"/>
    <w:rsid w:val="00D04C66"/>
    <w:rsid w:val="00D26927"/>
    <w:rsid w:val="00DA6848"/>
    <w:rsid w:val="00DC3239"/>
    <w:rsid w:val="00E34241"/>
    <w:rsid w:val="00F05DB0"/>
    <w:rsid w:val="00F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A4"/>
  </w:style>
  <w:style w:type="paragraph" w:styleId="Nadpis1">
    <w:name w:val="heading 1"/>
    <w:basedOn w:val="Normln"/>
    <w:next w:val="Normln"/>
    <w:link w:val="Nadpis1Char"/>
    <w:uiPriority w:val="9"/>
    <w:qFormat/>
    <w:rsid w:val="00DC323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323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323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323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323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323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323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323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323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23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3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32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32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32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323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323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323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32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32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37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8F2"/>
  </w:style>
  <w:style w:type="paragraph" w:styleId="Zpat">
    <w:name w:val="footer"/>
    <w:basedOn w:val="Normln"/>
    <w:link w:val="ZpatChar"/>
    <w:uiPriority w:val="99"/>
    <w:unhideWhenUsed/>
    <w:rsid w:val="0037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A4"/>
  </w:style>
  <w:style w:type="paragraph" w:styleId="Nadpis1">
    <w:name w:val="heading 1"/>
    <w:basedOn w:val="Normln"/>
    <w:next w:val="Normln"/>
    <w:link w:val="Nadpis1Char"/>
    <w:uiPriority w:val="9"/>
    <w:qFormat/>
    <w:rsid w:val="00DC323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323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323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323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323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323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323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323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323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23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3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32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32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32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323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323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323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32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32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37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8F2"/>
  </w:style>
  <w:style w:type="paragraph" w:styleId="Zpat">
    <w:name w:val="footer"/>
    <w:basedOn w:val="Normln"/>
    <w:link w:val="ZpatChar"/>
    <w:uiPriority w:val="99"/>
    <w:unhideWhenUsed/>
    <w:rsid w:val="0037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AKCCS</dc:creator>
  <cp:lastModifiedBy>Kateřina Nývltová</cp:lastModifiedBy>
  <cp:revision>2</cp:revision>
  <dcterms:created xsi:type="dcterms:W3CDTF">2019-04-23T11:41:00Z</dcterms:created>
  <dcterms:modified xsi:type="dcterms:W3CDTF">2019-04-23T11:41:00Z</dcterms:modified>
</cp:coreProperties>
</file>