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58EB4" w14:textId="29C474B6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CE1B63">
        <w:rPr>
          <w:rFonts w:cs="Arial"/>
          <w:b/>
          <w:sz w:val="36"/>
          <w:szCs w:val="36"/>
        </w:rPr>
        <w:t>Z25974</w:t>
      </w:r>
    </w:p>
    <w:p w14:paraId="10AAA10F" w14:textId="77777777" w:rsidR="00F62D2D" w:rsidRDefault="00F62D2D" w:rsidP="009B2889">
      <w:pPr>
        <w:rPr>
          <w:rFonts w:cs="Arial"/>
          <w:b/>
          <w:caps/>
          <w:szCs w:val="22"/>
        </w:rPr>
      </w:pPr>
    </w:p>
    <w:p w14:paraId="1E908867" w14:textId="682FE680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29CD984F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4F58CDB7" w14:textId="77777777" w:rsidR="0000551E" w:rsidRPr="006C3557" w:rsidRDefault="0000551E" w:rsidP="002A4EAB">
      <w:pPr>
        <w:rPr>
          <w:rFonts w:cs="Arial"/>
          <w:szCs w:val="22"/>
        </w:rPr>
      </w:pPr>
    </w:p>
    <w:tbl>
      <w:tblPr>
        <w:tblStyle w:val="Mkatabulky"/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14:paraId="763B0441" w14:textId="77777777" w:rsidTr="002B0E7B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D8B61B" w14:textId="77777777" w:rsidR="002B0E7B" w:rsidRPr="007B2715" w:rsidRDefault="002B0E7B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40CEEE5E" w14:textId="70406B22" w:rsidR="002B0E7B" w:rsidRPr="00F62D2D" w:rsidRDefault="004D2FB3" w:rsidP="00F62D2D">
            <w:pPr>
              <w:pStyle w:val="Nadpis1"/>
              <w:numPr>
                <w:ilvl w:val="0"/>
                <w:numId w:val="0"/>
              </w:numPr>
              <w:tabs>
                <w:tab w:val="clear" w:pos="540"/>
              </w:tabs>
              <w:ind w:left="284"/>
              <w:rPr>
                <w:rStyle w:val="Siln"/>
                <w:rFonts w:cs="Arial"/>
                <w:bCs w:val="0"/>
                <w:sz w:val="22"/>
                <w:szCs w:val="22"/>
              </w:rPr>
            </w:pPr>
            <w:hyperlink r:id="rId8" w:tgtFrame="_blank" w:history="1">
              <w:r w:rsidR="00CE1B63" w:rsidRPr="00CE1B63">
                <w:rPr>
                  <w:rFonts w:cs="Arial"/>
                  <w:b w:val="0"/>
                  <w:sz w:val="22"/>
                  <w:szCs w:val="22"/>
                </w:rPr>
                <w:t>2016_0054_33</w:t>
              </w:r>
            </w:hyperlink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D9B6DB4" w14:textId="77777777" w:rsidR="002B0E7B" w:rsidRPr="006C3557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ECC7F43" w14:textId="311DCF10" w:rsidR="002B0E7B" w:rsidRPr="004D32F2" w:rsidRDefault="00951768" w:rsidP="00B73A7D">
            <w:pPr>
              <w:pStyle w:val="Tabulka"/>
              <w:jc w:val="center"/>
              <w:rPr>
                <w:b/>
                <w:szCs w:val="22"/>
              </w:rPr>
            </w:pPr>
            <w:r w:rsidRPr="00951768">
              <w:rPr>
                <w:b/>
                <w:szCs w:val="22"/>
              </w:rPr>
              <w:t>458</w:t>
            </w:r>
          </w:p>
        </w:tc>
      </w:tr>
    </w:tbl>
    <w:p w14:paraId="511F266D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14:paraId="1EEE47C1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120455" w14:textId="77777777"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3CF776" w14:textId="520C70B7" w:rsidR="00B73A7D" w:rsidRPr="007B2715" w:rsidRDefault="00B73A7D" w:rsidP="0024636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IZR – </w:t>
            </w:r>
            <w:r w:rsidR="00F469F5">
              <w:rPr>
                <w:b/>
                <w:szCs w:val="22"/>
              </w:rPr>
              <w:t xml:space="preserve">Zelená nafta – příprava podkladů pro vrácení </w:t>
            </w:r>
            <w:r w:rsidR="0024636F">
              <w:rPr>
                <w:b/>
                <w:szCs w:val="22"/>
              </w:rPr>
              <w:t xml:space="preserve">spotřební </w:t>
            </w:r>
            <w:r w:rsidR="00F469F5">
              <w:rPr>
                <w:b/>
                <w:szCs w:val="22"/>
              </w:rPr>
              <w:t>daně z</w:t>
            </w:r>
            <w:r w:rsidR="0024636F">
              <w:rPr>
                <w:b/>
                <w:szCs w:val="22"/>
              </w:rPr>
              <w:t> minerálních olejů</w:t>
            </w:r>
            <w:r w:rsidR="00F469F5">
              <w:rPr>
                <w:b/>
                <w:szCs w:val="22"/>
              </w:rPr>
              <w:t xml:space="preserve"> od roku 2019</w:t>
            </w:r>
          </w:p>
        </w:tc>
      </w:tr>
      <w:tr w:rsidR="00B73A7D" w:rsidRPr="006C3557" w14:paraId="3941AC85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438171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19-03-04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56C9AD15" w14:textId="3EA24442" w:rsidR="00B73A7D" w:rsidRPr="00152E30" w:rsidRDefault="00951768" w:rsidP="006F6F2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4.3.2019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201E116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19-05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D24D664" w14:textId="079BB090" w:rsidR="00B73A7D" w:rsidRPr="006C3557" w:rsidRDefault="00746FCB" w:rsidP="0037452C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</w:t>
                </w:r>
                <w:r w:rsidR="00FB4966">
                  <w:rPr>
                    <w:szCs w:val="22"/>
                  </w:rPr>
                  <w:t>.5.2019</w:t>
                </w:r>
              </w:p>
            </w:tc>
          </w:sdtContent>
        </w:sdt>
      </w:tr>
    </w:tbl>
    <w:p w14:paraId="27843D4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0B4C62A6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2F101B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5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898A58" w14:textId="4BD5A600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2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E8CFDBA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EA569" w14:textId="63A53EA9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C7121F2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14:paraId="6B4DC454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2FF7C2" w14:textId="77777777"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A40CC2F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12E5E08C" w14:textId="77777777"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17E41A8D" w14:textId="77777777" w:rsidR="0000551E" w:rsidRPr="006C3557" w:rsidRDefault="00B73A7D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24DB55D6" w14:textId="77777777"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78B894" w14:textId="77777777"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503549F6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171BE0F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2394FC86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25A86790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899D2B5" w14:textId="1F1345B1"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CE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C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4F935FC5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6344E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656FFE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2A4EEC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A2828" w14:textId="77777777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3CDEF37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14:paraId="69C6FED0" w14:textId="77777777" w:rsidTr="00B73A7D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5F0B56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42D3D5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C57A4E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F1D9B4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9A04A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5FDDFF49" w14:textId="77777777" w:rsidTr="00B73A7D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2A59CA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7DC36741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C5D36C0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2F0A539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A36B582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551E" w:rsidRPr="006C3557" w14:paraId="54A1D0F3" w14:textId="77777777" w:rsidTr="00B73A7D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978329" w14:textId="77777777" w:rsidR="0000551E" w:rsidRPr="004C5DDA" w:rsidRDefault="0000551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698FAE75" w14:textId="563E79D7" w:rsidR="00563C08" w:rsidRDefault="006E7C61" w:rsidP="00563C08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824B44A" w14:textId="3BF0BFE0" w:rsidR="0000551E" w:rsidRPr="004C5DDA" w:rsidRDefault="00B46ACE" w:rsidP="009A4EC2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</w:t>
            </w:r>
            <w:r w:rsidR="009A4EC2">
              <w:rPr>
                <w:rStyle w:val="Siln"/>
                <w:b w:val="0"/>
                <w:sz w:val="20"/>
                <w:szCs w:val="20"/>
              </w:rPr>
              <w:t>17210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43256967" w14:textId="2CB61D22" w:rsidR="0000551E" w:rsidRPr="004C5DDA" w:rsidRDefault="009A4EC2" w:rsidP="00641B77">
            <w:pPr>
              <w:pStyle w:val="Tabulka"/>
              <w:rPr>
                <w:sz w:val="20"/>
                <w:szCs w:val="20"/>
              </w:rPr>
            </w:pPr>
            <w:r>
              <w:t xml:space="preserve">22181 </w:t>
            </w:r>
            <w:r w:rsidR="00641B77">
              <w:t>2461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496B30" w14:textId="2795298C" w:rsidR="0000551E" w:rsidRPr="004C5DDA" w:rsidRDefault="006E7C61" w:rsidP="009A4EC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B73A7D" w:rsidRPr="006C3557" w14:paraId="4779E4F9" w14:textId="77777777" w:rsidTr="00B73A7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5ED9E32D" w14:textId="77777777"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67ED1A93" w14:textId="4AA8CA5E" w:rsidR="00563C08" w:rsidRPr="004C5DDA" w:rsidRDefault="006E7C61" w:rsidP="00B73A7D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5D1B7F80" w14:textId="77777777" w:rsidR="00B73A7D" w:rsidRDefault="00B46ACE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MZe/17210</w:t>
            </w:r>
          </w:p>
          <w:p w14:paraId="0E216275" w14:textId="3CE3E359" w:rsidR="00563C08" w:rsidRPr="004C5DDA" w:rsidRDefault="006F6F21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</w:p>
        </w:tc>
        <w:tc>
          <w:tcPr>
            <w:tcW w:w="1393" w:type="dxa"/>
            <w:vAlign w:val="center"/>
          </w:tcPr>
          <w:p w14:paraId="31CAC8F1" w14:textId="103A691D" w:rsidR="00563C08" w:rsidRPr="004C5DDA" w:rsidRDefault="009A4EC2" w:rsidP="004C5DDA">
            <w:pPr>
              <w:pStyle w:val="Tabulka"/>
              <w:rPr>
                <w:sz w:val="20"/>
                <w:szCs w:val="20"/>
              </w:rPr>
            </w:pPr>
            <w:r>
              <w:t>22181 2041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4B8BA65C" w14:textId="43635B32" w:rsidR="00563C08" w:rsidRPr="004C5DDA" w:rsidRDefault="006E7C61" w:rsidP="009A4EC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B73A7D" w:rsidRPr="006C3557" w14:paraId="1D45EE76" w14:textId="77777777" w:rsidTr="00B73A7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A51FE39" w14:textId="77777777"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26929B6A" w14:textId="655A85DD" w:rsidR="00B73A7D" w:rsidRPr="004C5DDA" w:rsidRDefault="006E7C61" w:rsidP="00B73A7D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6160E8A7" w14:textId="77777777" w:rsidR="00B73A7D" w:rsidRPr="004C5DDA" w:rsidRDefault="00B73A7D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Mze/12127</w:t>
            </w:r>
          </w:p>
        </w:tc>
        <w:tc>
          <w:tcPr>
            <w:tcW w:w="1393" w:type="dxa"/>
            <w:vAlign w:val="center"/>
          </w:tcPr>
          <w:p w14:paraId="5DCA42E1" w14:textId="77777777" w:rsidR="00B73A7D" w:rsidRPr="004C5DDA" w:rsidRDefault="00B73A7D" w:rsidP="004C5DDA">
            <w:pPr>
              <w:pStyle w:val="Tabulka"/>
              <w:rPr>
                <w:sz w:val="20"/>
                <w:szCs w:val="20"/>
              </w:rPr>
            </w:pPr>
            <w:r w:rsidRPr="00B73A7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B73A7D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B73A7D">
              <w:rPr>
                <w:sz w:val="20"/>
                <w:szCs w:val="20"/>
              </w:rPr>
              <w:t>916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3374A760" w14:textId="1D9B8F95" w:rsidR="00B73A7D" w:rsidRPr="004C5DDA" w:rsidRDefault="006E7C61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B73A7D" w:rsidRPr="006C3557" w14:paraId="4F49E704" w14:textId="77777777" w:rsidTr="00B73A7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ED9DD84" w14:textId="77777777" w:rsidR="00B73A7D" w:rsidRPr="004C5DDA" w:rsidRDefault="00B73A7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2713D0B8" w14:textId="750E11CC" w:rsidR="00B73A7D" w:rsidRPr="004C5DDA" w:rsidRDefault="006E7C61" w:rsidP="00B73A7D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3E3AEC6C" w14:textId="77777777" w:rsidR="00B73A7D" w:rsidRPr="004C5DDA" w:rsidRDefault="00B73A7D" w:rsidP="00B73A7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14:paraId="758CD34F" w14:textId="697F2543" w:rsidR="00B73A7D" w:rsidRPr="004C5DDA" w:rsidRDefault="006E7C61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36936301" w14:textId="74F6A2F3" w:rsidR="00B73A7D" w:rsidRPr="004C5DDA" w:rsidRDefault="006E7C61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1ACBB052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513"/>
        <w:gridCol w:w="708"/>
        <w:gridCol w:w="3001"/>
      </w:tblGrid>
      <w:tr w:rsidR="0000551E" w:rsidRPr="006C3557" w14:paraId="47109948" w14:textId="77777777" w:rsidTr="00F62D2D">
        <w:trPr>
          <w:trHeight w:val="397"/>
        </w:trPr>
        <w:tc>
          <w:tcPr>
            <w:tcW w:w="1681" w:type="dxa"/>
            <w:vAlign w:val="center"/>
          </w:tcPr>
          <w:p w14:paraId="133803D2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513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F75472" w14:textId="44058546" w:rsidR="0000551E" w:rsidRPr="006C3557" w:rsidRDefault="00B73A7D" w:rsidP="003B2D72">
            <w:pPr>
              <w:pStyle w:val="Tabulka"/>
              <w:rPr>
                <w:szCs w:val="22"/>
              </w:rPr>
            </w:pPr>
            <w:r w:rsidRPr="00FF1F5D">
              <w:rPr>
                <w:szCs w:val="22"/>
              </w:rPr>
              <w:t>353-2015-13310</w:t>
            </w:r>
            <w:r>
              <w:rPr>
                <w:szCs w:val="22"/>
              </w:rPr>
              <w:t>/1,2</w:t>
            </w:r>
            <w:r w:rsidR="00F62D2D">
              <w:rPr>
                <w:szCs w:val="22"/>
              </w:rPr>
              <w:t>,3,4,5</w:t>
            </w:r>
            <w:r w:rsidRPr="00FF1F5D">
              <w:rPr>
                <w:szCs w:val="22"/>
              </w:rPr>
              <w:t xml:space="preserve"> (S2016-0118)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96F8C5B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001" w:type="dxa"/>
            <w:vAlign w:val="center"/>
          </w:tcPr>
          <w:p w14:paraId="07684AF7" w14:textId="77777777"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14:paraId="62D537CB" w14:textId="77777777" w:rsidR="0000551E" w:rsidRPr="006C3557" w:rsidRDefault="0000551E">
      <w:pPr>
        <w:rPr>
          <w:rFonts w:cs="Arial"/>
          <w:szCs w:val="22"/>
        </w:rPr>
      </w:pPr>
    </w:p>
    <w:p w14:paraId="28CA6261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772CF1D6" w14:textId="77777777" w:rsidR="0000551E" w:rsidRDefault="0000551E" w:rsidP="00CC7ED5">
      <w:pPr>
        <w:pStyle w:val="Nadpis2"/>
      </w:pPr>
      <w:r w:rsidRPr="006C3557">
        <w:t>Popis požadavku</w:t>
      </w:r>
    </w:p>
    <w:p w14:paraId="23E96B12" w14:textId="4829B6AE" w:rsidR="00B03CD3" w:rsidRDefault="00782A84" w:rsidP="0033277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B6199B">
        <w:rPr>
          <w:szCs w:val="22"/>
        </w:rPr>
        <w:t xml:space="preserve">Předmětem požadavku je </w:t>
      </w:r>
      <w:r w:rsidRPr="00332775">
        <w:rPr>
          <w:b/>
          <w:szCs w:val="22"/>
        </w:rPr>
        <w:t>vytvoření nových výpočtů v rámci funkcionality Zelená nafta v IZR</w:t>
      </w:r>
      <w:r>
        <w:rPr>
          <w:szCs w:val="22"/>
        </w:rPr>
        <w:t>. Požadavek vyplývá z novely zákona č. 353/</w:t>
      </w:r>
      <w:r w:rsidR="00332775">
        <w:rPr>
          <w:szCs w:val="22"/>
        </w:rPr>
        <w:t xml:space="preserve">2003 Sb., o spotřebních daních a </w:t>
      </w:r>
      <w:r w:rsidR="009A4EC2">
        <w:rPr>
          <w:szCs w:val="22"/>
        </w:rPr>
        <w:t xml:space="preserve">z </w:t>
      </w:r>
      <w:r w:rsidR="00574FE9">
        <w:rPr>
          <w:rFonts w:cs="Arial"/>
          <w:szCs w:val="22"/>
        </w:rPr>
        <w:t xml:space="preserve">nové </w:t>
      </w:r>
      <w:r w:rsidR="00332775">
        <w:rPr>
          <w:rFonts w:cs="Arial"/>
          <w:szCs w:val="22"/>
        </w:rPr>
        <w:t>v</w:t>
      </w:r>
      <w:r w:rsidR="00B03CD3" w:rsidRPr="00B03CD3">
        <w:rPr>
          <w:rFonts w:cs="Arial"/>
          <w:szCs w:val="22"/>
        </w:rPr>
        <w:t>yhlášky</w:t>
      </w:r>
      <w:r w:rsidR="00746FCB">
        <w:rPr>
          <w:rFonts w:cs="Arial"/>
          <w:szCs w:val="22"/>
        </w:rPr>
        <w:t xml:space="preserve"> 79/2019 Sb.,</w:t>
      </w:r>
      <w:r w:rsidR="00B03CD3" w:rsidRPr="00B03CD3">
        <w:rPr>
          <w:rFonts w:cs="Arial"/>
          <w:szCs w:val="22"/>
        </w:rPr>
        <w:t xml:space="preserve"> která upravuje způsob výpočtu nároku na vrácení spotřební daně z minerálních olejů, stanovuje </w:t>
      </w:r>
      <w:r w:rsidR="00B03CD3" w:rsidRPr="00B03CD3">
        <w:rPr>
          <w:rFonts w:cs="Arial"/>
          <w:color w:val="000000"/>
          <w:szCs w:val="22"/>
        </w:rPr>
        <w:t>způsob výpočtu intenzity chovu hospodářských zvířat včetně přepočtu hospodářských zvířat na velké dobytčí jednotky a stanovuje výše ročních normativů minimální spotřeby a jejich kategorie.</w:t>
      </w:r>
    </w:p>
    <w:p w14:paraId="121386E4" w14:textId="45994A4E" w:rsidR="00332775" w:rsidRDefault="00332775" w:rsidP="0033277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Dle výše uvedené legislativy je nutné, aby IZR zajistilo následující výpočty a doklady pro vratku daně:</w:t>
      </w:r>
    </w:p>
    <w:p w14:paraId="0AB797CE" w14:textId="0CB148E4" w:rsidR="00332775" w:rsidRPr="00FE1F79" w:rsidRDefault="00332775" w:rsidP="00625B9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szCs w:val="22"/>
        </w:rPr>
      </w:pPr>
      <w:r w:rsidRPr="00FE1F79">
        <w:rPr>
          <w:b/>
          <w:szCs w:val="22"/>
        </w:rPr>
        <w:t>IZR zajistí výpočet intenzity chovu hospodářských zvířat</w:t>
      </w:r>
      <w:r w:rsidRPr="00FE1F79">
        <w:rPr>
          <w:szCs w:val="22"/>
        </w:rPr>
        <w:t xml:space="preserve">, která je rozhodující pro zařazení subjektu do kategorie s intenzitou chovu do 0,3 VDJ/ha nebo nad 0,3 VDJ/ha. </w:t>
      </w:r>
    </w:p>
    <w:p w14:paraId="0845FC91" w14:textId="56911C4E" w:rsidR="00332775" w:rsidRPr="00FE1F79" w:rsidRDefault="00332775" w:rsidP="00385734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Cs w:val="22"/>
        </w:rPr>
      </w:pPr>
      <w:r w:rsidRPr="00FE1F79">
        <w:rPr>
          <w:szCs w:val="22"/>
        </w:rPr>
        <w:t xml:space="preserve">Zákon nově zavádí možnost prokázat spotřebu minerálních olejů dvěma způsoby a ve dvou </w:t>
      </w:r>
      <w:r w:rsidRPr="00FE1F79">
        <w:rPr>
          <w:szCs w:val="22"/>
        </w:rPr>
        <w:lastRenderedPageBreak/>
        <w:t>zdaňovacích obd</w:t>
      </w:r>
      <w:r w:rsidR="00FE1F79" w:rsidRPr="00FE1F79">
        <w:rPr>
          <w:szCs w:val="22"/>
        </w:rPr>
        <w:t>obí</w:t>
      </w:r>
      <w:r w:rsidR="004934CD">
        <w:rPr>
          <w:szCs w:val="22"/>
        </w:rPr>
        <w:t>ch</w:t>
      </w:r>
      <w:r w:rsidR="00FE1F79" w:rsidRPr="00FE1F79">
        <w:rPr>
          <w:szCs w:val="22"/>
        </w:rPr>
        <w:t>:</w:t>
      </w:r>
    </w:p>
    <w:p w14:paraId="7FF700D1" w14:textId="77777777" w:rsidR="00332775" w:rsidRPr="00FE1F79" w:rsidRDefault="00332775" w:rsidP="00625B90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1080"/>
        <w:jc w:val="both"/>
        <w:rPr>
          <w:szCs w:val="22"/>
        </w:rPr>
      </w:pPr>
      <w:r w:rsidRPr="00FE1F79">
        <w:rPr>
          <w:szCs w:val="22"/>
        </w:rPr>
        <w:t xml:space="preserve">evidencí o skutečné spotřebě, </w:t>
      </w:r>
      <w:r w:rsidRPr="00FE1F79">
        <w:rPr>
          <w:b/>
          <w:szCs w:val="22"/>
        </w:rPr>
        <w:t>zdaňovacím obdobím je kalendářní čtvrtletí</w:t>
      </w:r>
      <w:r w:rsidRPr="00FE1F79">
        <w:rPr>
          <w:szCs w:val="22"/>
        </w:rPr>
        <w:t xml:space="preserve"> </w:t>
      </w:r>
    </w:p>
    <w:p w14:paraId="41E75054" w14:textId="77777777" w:rsidR="00332775" w:rsidRPr="00FE1F79" w:rsidRDefault="00332775" w:rsidP="00625B90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1080"/>
        <w:jc w:val="both"/>
        <w:rPr>
          <w:szCs w:val="22"/>
        </w:rPr>
      </w:pPr>
      <w:r w:rsidRPr="00FE1F79">
        <w:rPr>
          <w:szCs w:val="22"/>
        </w:rPr>
        <w:t xml:space="preserve">evidencí využití půdy podle uživatelských vztahů vedenou podle zákona upravujícího zemědělství nebo ústřední evidencí hospodářských zvířat vedenou podle plemenářského zákona, </w:t>
      </w:r>
      <w:r w:rsidRPr="00FE1F79">
        <w:rPr>
          <w:b/>
          <w:szCs w:val="22"/>
        </w:rPr>
        <w:t>zdaňovacím obdobím je kalendářní rok</w:t>
      </w:r>
      <w:r w:rsidRPr="00FE1F79">
        <w:rPr>
          <w:szCs w:val="22"/>
        </w:rPr>
        <w:t xml:space="preserve"> </w:t>
      </w:r>
    </w:p>
    <w:p w14:paraId="32280429" w14:textId="20510B15" w:rsidR="00332775" w:rsidRPr="00FE1F79" w:rsidRDefault="00FE1F79" w:rsidP="00385734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Cs w:val="22"/>
        </w:rPr>
      </w:pPr>
      <w:r w:rsidRPr="00FE1F79">
        <w:rPr>
          <w:szCs w:val="22"/>
        </w:rPr>
        <w:t xml:space="preserve">Proto </w:t>
      </w:r>
      <w:r w:rsidR="00332775" w:rsidRPr="00FE1F79">
        <w:rPr>
          <w:szCs w:val="22"/>
        </w:rPr>
        <w:t xml:space="preserve">výpočet intenzity v IZR bude umožněno provést za </w:t>
      </w:r>
      <w:r w:rsidRPr="00FE1F79">
        <w:rPr>
          <w:szCs w:val="22"/>
        </w:rPr>
        <w:t xml:space="preserve">vybrané </w:t>
      </w:r>
      <w:r w:rsidR="00332775" w:rsidRPr="00FE1F79">
        <w:rPr>
          <w:szCs w:val="22"/>
        </w:rPr>
        <w:t xml:space="preserve">kalendářní čtvrtletí </w:t>
      </w:r>
      <w:r w:rsidRPr="00FE1F79">
        <w:rPr>
          <w:szCs w:val="22"/>
        </w:rPr>
        <w:t>nebo za kalendářní rok.</w:t>
      </w:r>
    </w:p>
    <w:p w14:paraId="40478058" w14:textId="7A735174" w:rsidR="00332775" w:rsidRDefault="00FE1F79" w:rsidP="00625B9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ind w:left="420"/>
        <w:jc w:val="both"/>
        <w:rPr>
          <w:szCs w:val="22"/>
        </w:rPr>
      </w:pPr>
      <w:r w:rsidRPr="00FE1F79">
        <w:rPr>
          <w:b/>
          <w:szCs w:val="22"/>
        </w:rPr>
        <w:t xml:space="preserve">IZR zajistí výpočet </w:t>
      </w:r>
      <w:r w:rsidR="00332775" w:rsidRPr="00FE1F79">
        <w:rPr>
          <w:b/>
          <w:szCs w:val="22"/>
        </w:rPr>
        <w:t xml:space="preserve">spotřeby minerálních olejů při chovu hospodářských zvířat dle </w:t>
      </w:r>
      <w:r>
        <w:rPr>
          <w:b/>
          <w:szCs w:val="22"/>
        </w:rPr>
        <w:t>r</w:t>
      </w:r>
      <w:r w:rsidR="00332775" w:rsidRPr="00FE1F79">
        <w:rPr>
          <w:b/>
          <w:szCs w:val="22"/>
        </w:rPr>
        <w:t xml:space="preserve">očních normativů minimální spotřeby minerálních olejů </w:t>
      </w:r>
      <w:r w:rsidR="00332775" w:rsidRPr="00FE1F79">
        <w:rPr>
          <w:szCs w:val="22"/>
        </w:rPr>
        <w:t>(l / 1 velká dobytčí jednotka) stanovených vyhláškou.</w:t>
      </w:r>
    </w:p>
    <w:p w14:paraId="2F18F2F1" w14:textId="128E6F32" w:rsidR="004934CD" w:rsidRDefault="00FE1F79" w:rsidP="00385734">
      <w:pPr>
        <w:pStyle w:val="Odstavecseseznamem"/>
        <w:widowControl w:val="0"/>
        <w:autoSpaceDE w:val="0"/>
        <w:autoSpaceDN w:val="0"/>
        <w:adjustRightInd w:val="0"/>
        <w:ind w:left="420"/>
        <w:jc w:val="both"/>
        <w:rPr>
          <w:rFonts w:cs="Arial"/>
          <w:color w:val="000000"/>
          <w:szCs w:val="22"/>
          <w:lang w:eastAsia="cs-CZ"/>
        </w:rPr>
      </w:pPr>
      <w:r>
        <w:rPr>
          <w:szCs w:val="22"/>
        </w:rPr>
        <w:t xml:space="preserve">Tento výpočet – doklad vyplývá z výše uvedeného bodu b). </w:t>
      </w:r>
      <w:r w:rsidRPr="00855F52">
        <w:rPr>
          <w:szCs w:val="22"/>
        </w:rPr>
        <w:t xml:space="preserve">Pokud si subjekt </w:t>
      </w:r>
      <w:r w:rsidR="00855F52" w:rsidRPr="00855F52">
        <w:rPr>
          <w:szCs w:val="22"/>
        </w:rPr>
        <w:t xml:space="preserve">zvolí pro </w:t>
      </w:r>
      <w:r w:rsidRPr="00855F52">
        <w:rPr>
          <w:rFonts w:cs="Arial"/>
          <w:color w:val="000000"/>
          <w:szCs w:val="22"/>
          <w:lang w:eastAsia="cs-CZ"/>
        </w:rPr>
        <w:t>prokázání vzniku nároku na vrácení daně</w:t>
      </w:r>
      <w:r w:rsidR="00855F52" w:rsidRPr="00855F52">
        <w:rPr>
          <w:rFonts w:cs="Arial"/>
          <w:color w:val="000000"/>
          <w:szCs w:val="22"/>
          <w:lang w:eastAsia="cs-CZ"/>
        </w:rPr>
        <w:t xml:space="preserve"> tento způsob, prokazuje spotřebu minerálních olejů na základě dokladu z</w:t>
      </w:r>
      <w:r w:rsidR="009A4EC2">
        <w:rPr>
          <w:rFonts w:cs="Arial"/>
          <w:color w:val="000000"/>
          <w:szCs w:val="22"/>
          <w:lang w:eastAsia="cs-CZ"/>
        </w:rPr>
        <w:t> </w:t>
      </w:r>
      <w:r w:rsidR="00855F52" w:rsidRPr="00855F52">
        <w:rPr>
          <w:rFonts w:cs="Arial"/>
          <w:color w:val="000000"/>
          <w:szCs w:val="22"/>
          <w:lang w:eastAsia="cs-CZ"/>
        </w:rPr>
        <w:t>IZR</w:t>
      </w:r>
      <w:r w:rsidR="009A4EC2">
        <w:rPr>
          <w:rFonts w:cs="Arial"/>
          <w:color w:val="000000"/>
          <w:szCs w:val="22"/>
          <w:lang w:eastAsia="cs-CZ"/>
        </w:rPr>
        <w:t xml:space="preserve">. Na </w:t>
      </w:r>
      <w:r w:rsidR="004934CD">
        <w:rPr>
          <w:rFonts w:cs="Arial"/>
          <w:color w:val="000000"/>
          <w:szCs w:val="22"/>
          <w:lang w:eastAsia="cs-CZ"/>
        </w:rPr>
        <w:t xml:space="preserve">tomto dokladu bude uvedena spotřeba v litrech, která byla vypočítána v IZR na základě stavů VDJ a </w:t>
      </w:r>
      <w:r w:rsidR="009A4EC2">
        <w:rPr>
          <w:rFonts w:cs="Arial"/>
          <w:color w:val="000000"/>
          <w:szCs w:val="22"/>
          <w:lang w:eastAsia="cs-CZ"/>
        </w:rPr>
        <w:t xml:space="preserve">příslušných </w:t>
      </w:r>
      <w:r w:rsidR="004934CD">
        <w:rPr>
          <w:rFonts w:cs="Arial"/>
          <w:color w:val="000000"/>
          <w:szCs w:val="22"/>
          <w:lang w:eastAsia="cs-CZ"/>
        </w:rPr>
        <w:t>ročních normativů stanovených pro každou kategorii zvířat</w:t>
      </w:r>
      <w:r w:rsidR="00855F52" w:rsidRPr="00855F52">
        <w:rPr>
          <w:rFonts w:cs="Arial"/>
          <w:color w:val="000000"/>
          <w:szCs w:val="22"/>
          <w:lang w:eastAsia="cs-CZ"/>
        </w:rPr>
        <w:t xml:space="preserve">. </w:t>
      </w:r>
    </w:p>
    <w:p w14:paraId="3508C2C2" w14:textId="6B2CDBB1" w:rsidR="00FE1F79" w:rsidRPr="00FE1F79" w:rsidRDefault="00855F52" w:rsidP="00385734">
      <w:pPr>
        <w:pStyle w:val="Odstavecseseznamem"/>
        <w:widowControl w:val="0"/>
        <w:autoSpaceDE w:val="0"/>
        <w:autoSpaceDN w:val="0"/>
        <w:adjustRightInd w:val="0"/>
        <w:ind w:left="420"/>
        <w:jc w:val="both"/>
        <w:rPr>
          <w:szCs w:val="22"/>
        </w:rPr>
      </w:pPr>
      <w:r>
        <w:rPr>
          <w:rFonts w:cs="Arial"/>
          <w:color w:val="000000"/>
          <w:szCs w:val="22"/>
          <w:lang w:eastAsia="cs-CZ"/>
        </w:rPr>
        <w:t>P</w:t>
      </w:r>
      <w:r w:rsidRPr="00855F52">
        <w:rPr>
          <w:rFonts w:cs="Arial"/>
          <w:color w:val="000000"/>
          <w:szCs w:val="22"/>
          <w:lang w:eastAsia="cs-CZ"/>
        </w:rPr>
        <w:t xml:space="preserve">ro tento způsob je vždy </w:t>
      </w:r>
      <w:r w:rsidRPr="00855F52">
        <w:rPr>
          <w:rFonts w:cs="Arial"/>
          <w:b/>
          <w:color w:val="000000"/>
          <w:szCs w:val="22"/>
          <w:lang w:eastAsia="cs-CZ"/>
        </w:rPr>
        <w:t>zdaňovacím obdobím kalendářní rok</w:t>
      </w:r>
      <w:r w:rsidRPr="00855F52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 w:val="20"/>
          <w:szCs w:val="20"/>
          <w:lang w:eastAsia="cs-CZ"/>
        </w:rPr>
        <w:t xml:space="preserve"> </w:t>
      </w:r>
    </w:p>
    <w:p w14:paraId="7C13530A" w14:textId="77777777" w:rsidR="009A4EC2" w:rsidRDefault="009A4EC2" w:rsidP="00855F5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14:paraId="43577D87" w14:textId="4F3DB5F4" w:rsidR="00B03CD3" w:rsidRDefault="00855F52" w:rsidP="00855F5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Pro zajištění výpočtu v </w:t>
      </w:r>
      <w:r w:rsidR="00385734">
        <w:rPr>
          <w:rFonts w:cs="Arial"/>
          <w:color w:val="000000"/>
          <w:szCs w:val="22"/>
        </w:rPr>
        <w:t>bodech</w:t>
      </w:r>
      <w:r>
        <w:rPr>
          <w:rFonts w:cs="Arial"/>
          <w:color w:val="000000"/>
          <w:szCs w:val="22"/>
        </w:rPr>
        <w:t xml:space="preserve"> 1 a 2 bude v IZR f</w:t>
      </w:r>
      <w:r w:rsidR="00B03CD3">
        <w:rPr>
          <w:rFonts w:cs="Arial"/>
          <w:color w:val="000000"/>
          <w:szCs w:val="22"/>
        </w:rPr>
        <w:t xml:space="preserve">unkcionalita </w:t>
      </w:r>
      <w:r w:rsidR="00B03CD3" w:rsidRPr="009A4EC2">
        <w:rPr>
          <w:rFonts w:cs="Arial"/>
          <w:b/>
          <w:color w:val="000000"/>
          <w:szCs w:val="22"/>
        </w:rPr>
        <w:t>Zelená nafta – Generování žádostí</w:t>
      </w:r>
      <w:r w:rsidR="00B03CD3">
        <w:rPr>
          <w:rFonts w:cs="Arial"/>
          <w:color w:val="000000"/>
          <w:szCs w:val="22"/>
        </w:rPr>
        <w:t xml:space="preserve"> rozšířena o následující typy výpočtu:</w:t>
      </w:r>
    </w:p>
    <w:p w14:paraId="417396A2" w14:textId="1E52D8EE" w:rsidR="00EC59AB" w:rsidRPr="00855F52" w:rsidRDefault="00EC59AB" w:rsidP="00625B90">
      <w:pPr>
        <w:pStyle w:val="l4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55F52">
        <w:rPr>
          <w:rFonts w:ascii="Arial" w:hAnsi="Arial" w:cs="Arial"/>
          <w:color w:val="000000"/>
          <w:sz w:val="22"/>
          <w:szCs w:val="22"/>
        </w:rPr>
        <w:t>Čtvrtletní intenzita</w:t>
      </w:r>
    </w:p>
    <w:p w14:paraId="0A66A19E" w14:textId="3115E3AB" w:rsidR="00EC59AB" w:rsidRPr="00855F52" w:rsidRDefault="00EC59AB" w:rsidP="00625B90">
      <w:pPr>
        <w:pStyle w:val="l4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55F52">
        <w:rPr>
          <w:rFonts w:ascii="Arial" w:hAnsi="Arial" w:cs="Arial"/>
          <w:color w:val="000000"/>
          <w:sz w:val="22"/>
          <w:szCs w:val="22"/>
        </w:rPr>
        <w:t>Roční intenzita</w:t>
      </w:r>
    </w:p>
    <w:p w14:paraId="4EABD4F7" w14:textId="44846F99" w:rsidR="00EC59AB" w:rsidRPr="00855F52" w:rsidRDefault="00855F52" w:rsidP="00625B90">
      <w:pPr>
        <w:pStyle w:val="l4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55F52">
        <w:rPr>
          <w:rFonts w:ascii="Arial" w:hAnsi="Arial" w:cs="Arial"/>
          <w:color w:val="000000"/>
          <w:sz w:val="22"/>
          <w:szCs w:val="22"/>
        </w:rPr>
        <w:t>S</w:t>
      </w:r>
      <w:r w:rsidR="00EC59AB" w:rsidRPr="00855F52">
        <w:rPr>
          <w:rFonts w:ascii="Arial" w:hAnsi="Arial" w:cs="Arial"/>
          <w:color w:val="000000"/>
          <w:sz w:val="22"/>
          <w:szCs w:val="22"/>
        </w:rPr>
        <w:t>potřeb</w:t>
      </w:r>
      <w:r w:rsidRPr="00855F52">
        <w:rPr>
          <w:rFonts w:ascii="Arial" w:hAnsi="Arial" w:cs="Arial"/>
          <w:color w:val="000000"/>
          <w:sz w:val="22"/>
          <w:szCs w:val="22"/>
        </w:rPr>
        <w:t>a</w:t>
      </w:r>
      <w:r w:rsidR="00EC59AB" w:rsidRPr="00855F52">
        <w:rPr>
          <w:rFonts w:ascii="Arial" w:hAnsi="Arial" w:cs="Arial"/>
          <w:color w:val="000000"/>
          <w:sz w:val="22"/>
          <w:szCs w:val="22"/>
        </w:rPr>
        <w:t xml:space="preserve"> dle normativů</w:t>
      </w:r>
    </w:p>
    <w:p w14:paraId="2FCBEC17" w14:textId="210C719C" w:rsidR="00EC59AB" w:rsidRDefault="00EC59AB" w:rsidP="00625B90">
      <w:pPr>
        <w:pStyle w:val="l4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Stávající výpočet zůstane zachován </w:t>
      </w:r>
      <w:r w:rsidR="00CA51E6">
        <w:rPr>
          <w:rFonts w:ascii="Arial" w:hAnsi="Arial" w:cs="Arial"/>
          <w:color w:val="000000"/>
          <w:sz w:val="22"/>
          <w:szCs w:val="22"/>
        </w:rPr>
        <w:t xml:space="preserve">beze změny </w:t>
      </w:r>
      <w:r>
        <w:rPr>
          <w:rFonts w:ascii="Arial" w:hAnsi="Arial" w:cs="Arial"/>
          <w:color w:val="000000"/>
          <w:sz w:val="22"/>
          <w:szCs w:val="22"/>
        </w:rPr>
        <w:t xml:space="preserve">a bude nazván </w:t>
      </w:r>
      <w:r w:rsidR="00E502EF">
        <w:rPr>
          <w:rFonts w:ascii="Arial" w:hAnsi="Arial" w:cs="Arial"/>
          <w:color w:val="000000"/>
          <w:sz w:val="22"/>
          <w:szCs w:val="22"/>
        </w:rPr>
        <w:t>Měsíční i</w:t>
      </w:r>
      <w:r w:rsidR="00CA51E6">
        <w:rPr>
          <w:rFonts w:ascii="Arial" w:hAnsi="Arial" w:cs="Arial"/>
          <w:color w:val="000000"/>
          <w:sz w:val="22"/>
          <w:szCs w:val="22"/>
        </w:rPr>
        <w:t>ntenzita do 2018</w:t>
      </w:r>
    </w:p>
    <w:p w14:paraId="354265C3" w14:textId="5AFC318B" w:rsidR="00E502EF" w:rsidRDefault="00E502EF" w:rsidP="00E502EF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Již v menu bude oddělen výpočet pro účely zelené nafty do 2018 a zelené nafty od 2019</w:t>
      </w:r>
    </w:p>
    <w:p w14:paraId="7D4C883C" w14:textId="77777777" w:rsidR="009A4EC2" w:rsidRDefault="009A4EC2" w:rsidP="00B03CD3">
      <w:pPr>
        <w:widowControl w:val="0"/>
        <w:autoSpaceDE w:val="0"/>
        <w:autoSpaceDN w:val="0"/>
        <w:adjustRightInd w:val="0"/>
        <w:ind w:left="60"/>
        <w:jc w:val="both"/>
        <w:rPr>
          <w:szCs w:val="22"/>
        </w:rPr>
      </w:pPr>
    </w:p>
    <w:p w14:paraId="792BDFA5" w14:textId="4417A3F8" w:rsidR="003A3C1D" w:rsidRDefault="00385734" w:rsidP="00B03CD3">
      <w:pPr>
        <w:widowControl w:val="0"/>
        <w:autoSpaceDE w:val="0"/>
        <w:autoSpaceDN w:val="0"/>
        <w:adjustRightInd w:val="0"/>
        <w:ind w:left="60"/>
        <w:jc w:val="both"/>
        <w:rPr>
          <w:szCs w:val="22"/>
        </w:rPr>
      </w:pPr>
      <w:r w:rsidRPr="003A3C1D">
        <w:rPr>
          <w:szCs w:val="22"/>
        </w:rPr>
        <w:t>Tak jako v případě výpočtu stávající intenzity,</w:t>
      </w:r>
      <w:r w:rsidR="003A3C1D" w:rsidRPr="003A3C1D">
        <w:rPr>
          <w:szCs w:val="22"/>
        </w:rPr>
        <w:t xml:space="preserve"> budou zarchivována zdrojová podkladová data, na základě kterých byl příslušný výpočet proveden. </w:t>
      </w:r>
      <w:r w:rsidR="003A3C1D">
        <w:rPr>
          <w:szCs w:val="22"/>
        </w:rPr>
        <w:t xml:space="preserve">Jako doklad o výpočtu pro uplatnění nároku </w:t>
      </w:r>
      <w:r w:rsidR="003A3C1D" w:rsidRPr="00B6199B">
        <w:rPr>
          <w:szCs w:val="22"/>
        </w:rPr>
        <w:t xml:space="preserve">na vrácení spotřební daně </w:t>
      </w:r>
      <w:r w:rsidR="003A3C1D">
        <w:rPr>
          <w:szCs w:val="22"/>
        </w:rPr>
        <w:t xml:space="preserve">bude vytvořen formulář v PDF formátu. </w:t>
      </w:r>
    </w:p>
    <w:p w14:paraId="7EEB9CB8" w14:textId="77777777" w:rsidR="00BD4F67" w:rsidRDefault="00BD4F67" w:rsidP="00BD4F67">
      <w:pPr>
        <w:shd w:val="clear" w:color="auto" w:fill="FFFFFF"/>
        <w:spacing w:after="0"/>
        <w:jc w:val="both"/>
        <w:rPr>
          <w:rFonts w:cs="Arial"/>
          <w:szCs w:val="22"/>
        </w:rPr>
      </w:pPr>
    </w:p>
    <w:p w14:paraId="5F5E260E" w14:textId="5314E00E" w:rsidR="000B2007" w:rsidRPr="000B2007" w:rsidRDefault="006F6F21" w:rsidP="006F6F21">
      <w:pPr>
        <w:pStyle w:val="Nadpis2"/>
      </w:pPr>
      <w:r>
        <w:t>Odůvodnění změny</w:t>
      </w:r>
    </w:p>
    <w:p w14:paraId="22945824" w14:textId="77777777" w:rsidR="00210222" w:rsidRDefault="00210222" w:rsidP="00210222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Požadavek vyplývá z novely zákona č. 353/2003 Sb., o spotřebních daních, který zavádí možnost </w:t>
      </w:r>
      <w:r w:rsidRPr="00782A84">
        <w:rPr>
          <w:szCs w:val="22"/>
        </w:rPr>
        <w:t>prokázat spotřebu minerálních olejů dvěma způsoby:</w:t>
      </w:r>
    </w:p>
    <w:p w14:paraId="3006339F" w14:textId="77777777" w:rsidR="00210222" w:rsidRPr="00397A6B" w:rsidRDefault="00210222" w:rsidP="00625B90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szCs w:val="22"/>
        </w:rPr>
      </w:pPr>
      <w:r w:rsidRPr="00397A6B">
        <w:rPr>
          <w:szCs w:val="22"/>
        </w:rPr>
        <w:t xml:space="preserve">evidencí o skutečné spotřebě, zdaňovacím obdobím je kalendářní čtvrtletí </w:t>
      </w:r>
    </w:p>
    <w:p w14:paraId="0E8EE646" w14:textId="532243F2" w:rsidR="00210222" w:rsidRPr="00397A6B" w:rsidRDefault="00210222" w:rsidP="00625B90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szCs w:val="22"/>
        </w:rPr>
      </w:pPr>
      <w:r w:rsidRPr="00397A6B">
        <w:rPr>
          <w:szCs w:val="22"/>
        </w:rPr>
        <w:t>evidencí využití půdy podle uživatelských vztahů vedenou podle zákona upravujícího zemědělství nebo ústřední evidencí hospodářských zvířat vedenou podle plemenářského zákona, zdaňovacím obdobím je kalendářní rok. Výše spotřeby minerálních olejů se v tomto případě prokazuje pomocí ročních normativů minimální spotřeby.</w:t>
      </w:r>
    </w:p>
    <w:p w14:paraId="782AE4CB" w14:textId="1B050939" w:rsidR="00574FE9" w:rsidRPr="00D36F5D" w:rsidRDefault="00574FE9" w:rsidP="00574FE9">
      <w:pPr>
        <w:widowControl w:val="0"/>
        <w:autoSpaceDE w:val="0"/>
        <w:autoSpaceDN w:val="0"/>
        <w:adjustRightInd w:val="0"/>
        <w:ind w:left="60"/>
        <w:jc w:val="both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210222" w:rsidRPr="00210222">
        <w:rPr>
          <w:rFonts w:cs="Arial"/>
          <w:szCs w:val="22"/>
        </w:rPr>
        <w:t>působ výpočtu nároku na vrácení spotřební daně z minerálních olejů</w:t>
      </w:r>
      <w:r>
        <w:rPr>
          <w:rFonts w:cs="Arial"/>
          <w:szCs w:val="22"/>
        </w:rPr>
        <w:t xml:space="preserve"> je stanoven v  nové vyhláš</w:t>
      </w:r>
      <w:r w:rsidR="00746FCB">
        <w:rPr>
          <w:rFonts w:cs="Arial"/>
          <w:szCs w:val="22"/>
        </w:rPr>
        <w:t>ce č. 79/2019 Sb.,</w:t>
      </w:r>
      <w:r>
        <w:rPr>
          <w:rFonts w:cs="Arial"/>
          <w:szCs w:val="22"/>
        </w:rPr>
        <w:t xml:space="preserve"> </w:t>
      </w:r>
      <w:r w:rsidRPr="00D36F5D">
        <w:rPr>
          <w:rFonts w:cs="Arial"/>
          <w:szCs w:val="22"/>
        </w:rPr>
        <w:t>o způsobu výpočtu výše nároku na vrácení spotřební daně z minerálních olejů spotřebovaných v zemědělské prvovýrobě nebo při provádění hospodaření v</w:t>
      </w:r>
      <w:r>
        <w:rPr>
          <w:rFonts w:cs="Arial"/>
          <w:szCs w:val="22"/>
        </w:rPr>
        <w:t> </w:t>
      </w:r>
      <w:r w:rsidRPr="00D36F5D">
        <w:rPr>
          <w:rFonts w:cs="Arial"/>
          <w:szCs w:val="22"/>
        </w:rPr>
        <w:t>lese</w:t>
      </w:r>
      <w:r>
        <w:rPr>
          <w:rFonts w:cs="Arial"/>
          <w:szCs w:val="22"/>
        </w:rPr>
        <w:t>. Vyhláška stanovuje:</w:t>
      </w:r>
    </w:p>
    <w:p w14:paraId="27EB5606" w14:textId="77777777" w:rsidR="00B03CD3" w:rsidRPr="00B03CD3" w:rsidRDefault="00B03CD3" w:rsidP="00574FE9">
      <w:pPr>
        <w:spacing w:after="0"/>
        <w:ind w:left="708"/>
        <w:jc w:val="both"/>
        <w:rPr>
          <w:rFonts w:cs="Arial"/>
          <w:color w:val="000000"/>
          <w:szCs w:val="22"/>
          <w:lang w:eastAsia="cs-CZ"/>
        </w:rPr>
      </w:pPr>
      <w:r w:rsidRPr="00574FE9">
        <w:rPr>
          <w:rFonts w:cs="Arial"/>
          <w:bCs/>
          <w:color w:val="000000"/>
          <w:szCs w:val="22"/>
          <w:lang w:eastAsia="cs-CZ"/>
        </w:rPr>
        <w:t>a)</w:t>
      </w:r>
      <w:r w:rsidRPr="00B03CD3">
        <w:rPr>
          <w:rFonts w:cs="Arial"/>
          <w:color w:val="000000"/>
          <w:szCs w:val="22"/>
          <w:lang w:eastAsia="cs-CZ"/>
        </w:rPr>
        <w:t> způsob výpočtu výše nároku na vrácení daně z minerálních olejů spotřebovaných v zemědělské prvovýrobě a při provádění hospodaření v lese,</w:t>
      </w:r>
    </w:p>
    <w:p w14:paraId="0A4FE0F3" w14:textId="77777777" w:rsidR="00B03CD3" w:rsidRPr="00B03CD3" w:rsidRDefault="00B03CD3" w:rsidP="00574FE9">
      <w:pPr>
        <w:spacing w:after="0"/>
        <w:ind w:left="708"/>
        <w:jc w:val="both"/>
        <w:rPr>
          <w:rFonts w:cs="Arial"/>
          <w:color w:val="000000"/>
          <w:szCs w:val="22"/>
          <w:lang w:eastAsia="cs-CZ"/>
        </w:rPr>
      </w:pPr>
      <w:r w:rsidRPr="00574FE9">
        <w:rPr>
          <w:rFonts w:cs="Arial"/>
          <w:bCs/>
          <w:color w:val="000000"/>
          <w:szCs w:val="22"/>
          <w:lang w:eastAsia="cs-CZ"/>
        </w:rPr>
        <w:t>b)</w:t>
      </w:r>
      <w:r w:rsidRPr="00B03CD3">
        <w:rPr>
          <w:rFonts w:cs="Arial"/>
          <w:color w:val="000000"/>
          <w:szCs w:val="22"/>
          <w:lang w:eastAsia="cs-CZ"/>
        </w:rPr>
        <w:t> výše ročních normativů minimální spotřeby a jejich kategorie a podílové rozdělení ročních normativů minimální spotřeby na jednotlivé kalendářní měsíce,</w:t>
      </w:r>
    </w:p>
    <w:p w14:paraId="357589AB" w14:textId="77777777" w:rsidR="00B03CD3" w:rsidRPr="00B03CD3" w:rsidRDefault="00B03CD3" w:rsidP="00574FE9">
      <w:pPr>
        <w:spacing w:after="0"/>
        <w:ind w:left="708"/>
        <w:jc w:val="both"/>
        <w:rPr>
          <w:rFonts w:cs="Arial"/>
          <w:color w:val="000000"/>
          <w:szCs w:val="22"/>
          <w:lang w:eastAsia="cs-CZ"/>
        </w:rPr>
      </w:pPr>
      <w:r w:rsidRPr="00574FE9">
        <w:rPr>
          <w:rFonts w:cs="Arial"/>
          <w:bCs/>
          <w:color w:val="000000"/>
          <w:szCs w:val="22"/>
          <w:lang w:eastAsia="cs-CZ"/>
        </w:rPr>
        <w:t>c)</w:t>
      </w:r>
      <w:r w:rsidRPr="00B03CD3">
        <w:rPr>
          <w:rFonts w:cs="Arial"/>
          <w:color w:val="000000"/>
          <w:szCs w:val="22"/>
          <w:lang w:eastAsia="cs-CZ"/>
        </w:rPr>
        <w:t> způsob výpočtu intenzity chovu hospodářských zvířat včetně přepočtu hospodářských zvířat na velké dobytčí jednotky a</w:t>
      </w:r>
    </w:p>
    <w:p w14:paraId="792F3238" w14:textId="77777777" w:rsidR="00B03CD3" w:rsidRPr="00B03CD3" w:rsidRDefault="00B03CD3" w:rsidP="00574FE9">
      <w:pPr>
        <w:spacing w:after="0"/>
        <w:ind w:left="708"/>
        <w:jc w:val="both"/>
        <w:rPr>
          <w:rFonts w:cs="Arial"/>
          <w:color w:val="000000"/>
          <w:szCs w:val="22"/>
          <w:lang w:eastAsia="cs-CZ"/>
        </w:rPr>
      </w:pPr>
      <w:r w:rsidRPr="00574FE9">
        <w:rPr>
          <w:rFonts w:cs="Arial"/>
          <w:bCs/>
          <w:color w:val="000000"/>
          <w:szCs w:val="22"/>
          <w:lang w:eastAsia="cs-CZ"/>
        </w:rPr>
        <w:t>d)</w:t>
      </w:r>
      <w:r w:rsidRPr="00B03CD3">
        <w:rPr>
          <w:rFonts w:cs="Arial"/>
          <w:color w:val="000000"/>
          <w:szCs w:val="22"/>
          <w:lang w:eastAsia="cs-CZ"/>
        </w:rPr>
        <w:t> způsob výpočtu zastoupení citlivých plodin a révy vinné.</w:t>
      </w:r>
    </w:p>
    <w:p w14:paraId="7588DC8B" w14:textId="77777777" w:rsidR="00397A6B" w:rsidRDefault="00397A6B" w:rsidP="00CC067A">
      <w:pPr>
        <w:spacing w:after="0"/>
        <w:jc w:val="both"/>
        <w:rPr>
          <w:rFonts w:cs="Arial"/>
          <w:szCs w:val="22"/>
        </w:rPr>
      </w:pPr>
    </w:p>
    <w:p w14:paraId="22C3A056" w14:textId="5FAFC797" w:rsidR="00B73A7D" w:rsidRDefault="00397A6B" w:rsidP="00CC067A">
      <w:p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Úpravy mají rovněž za cíl snížit administrativní zátěž správce daně a zemědělských podnikatelů v živočišné a rostlinné výrobě.</w:t>
      </w:r>
    </w:p>
    <w:p w14:paraId="4E846656" w14:textId="77777777" w:rsidR="004934CD" w:rsidRPr="00574FE9" w:rsidRDefault="004934CD" w:rsidP="00CC067A">
      <w:pPr>
        <w:spacing w:after="0"/>
        <w:jc w:val="both"/>
        <w:rPr>
          <w:rFonts w:cs="Arial"/>
          <w:szCs w:val="22"/>
        </w:rPr>
      </w:pPr>
    </w:p>
    <w:p w14:paraId="45EABC1D" w14:textId="77777777" w:rsidR="0000551E" w:rsidRPr="006C3557" w:rsidRDefault="0000551E" w:rsidP="00CC7ED5">
      <w:pPr>
        <w:pStyle w:val="Nadpis2"/>
      </w:pPr>
      <w:r w:rsidRPr="006C3557">
        <w:lastRenderedPageBreak/>
        <w:t>Rizika nerealizace</w:t>
      </w:r>
    </w:p>
    <w:p w14:paraId="51FC41A1" w14:textId="59B9A47E" w:rsidR="000B2007" w:rsidRPr="00C70F76" w:rsidRDefault="00B73A7D" w:rsidP="00C70F76">
      <w:pPr>
        <w:jc w:val="both"/>
        <w:rPr>
          <w:szCs w:val="22"/>
        </w:rPr>
      </w:pPr>
      <w:r w:rsidRPr="00C70F76">
        <w:rPr>
          <w:szCs w:val="22"/>
        </w:rPr>
        <w:t>V případě, že nebudou úpra</w:t>
      </w:r>
      <w:r w:rsidR="001E744A" w:rsidRPr="00C70F76">
        <w:rPr>
          <w:szCs w:val="22"/>
        </w:rPr>
        <w:t xml:space="preserve">vy </w:t>
      </w:r>
      <w:r w:rsidR="00B22EA6" w:rsidRPr="00C70F76">
        <w:rPr>
          <w:szCs w:val="22"/>
        </w:rPr>
        <w:t>realizovány</w:t>
      </w:r>
      <w:r w:rsidR="002C7709" w:rsidRPr="00C70F76">
        <w:rPr>
          <w:szCs w:val="22"/>
        </w:rPr>
        <w:t>,</w:t>
      </w:r>
      <w:r w:rsidR="00B22EA6" w:rsidRPr="00C70F76">
        <w:rPr>
          <w:szCs w:val="22"/>
        </w:rPr>
        <w:t xml:space="preserve"> nebude možné </w:t>
      </w:r>
      <w:r w:rsidR="00495A84" w:rsidRPr="00C70F76">
        <w:rPr>
          <w:szCs w:val="22"/>
        </w:rPr>
        <w:t xml:space="preserve">připravit v IZR podklady pro </w:t>
      </w:r>
      <w:r w:rsidR="00C70F76" w:rsidRPr="00B03CD3">
        <w:rPr>
          <w:rFonts w:cs="Arial"/>
          <w:color w:val="000000"/>
          <w:szCs w:val="22"/>
          <w:lang w:eastAsia="cs-CZ"/>
        </w:rPr>
        <w:t>vrácení daně z minerálních olejů spotřebovaných v zemědělské prvovýrobě</w:t>
      </w:r>
      <w:r w:rsidR="00C70F76" w:rsidRPr="00C70F76">
        <w:rPr>
          <w:szCs w:val="22"/>
        </w:rPr>
        <w:t xml:space="preserve"> dle platné legislativy od  roku 2019. </w:t>
      </w:r>
    </w:p>
    <w:p w14:paraId="7319A378" w14:textId="77777777" w:rsidR="0000551E" w:rsidRPr="00147567" w:rsidRDefault="0000551E" w:rsidP="00147567">
      <w:pPr>
        <w:jc w:val="both"/>
      </w:pPr>
    </w:p>
    <w:p w14:paraId="39A11BCB" w14:textId="30FACFE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74B4157B" w14:textId="77777777" w:rsidR="00B73A7D" w:rsidRDefault="00B73A7D" w:rsidP="00B73A7D">
      <w:pPr>
        <w:pStyle w:val="Nadpis2"/>
      </w:pPr>
      <w:r w:rsidRPr="006C3557">
        <w:t>Popis současného stavu</w:t>
      </w:r>
    </w:p>
    <w:p w14:paraId="44AE36D1" w14:textId="7BADCB5F" w:rsidR="004934CD" w:rsidRDefault="00B73A7D" w:rsidP="00083AE5">
      <w:pPr>
        <w:shd w:val="clear" w:color="auto" w:fill="FFFFFF"/>
        <w:spacing w:after="0"/>
        <w:jc w:val="both"/>
      </w:pPr>
      <w:r>
        <w:t xml:space="preserve">V současnosti </w:t>
      </w:r>
      <w:r w:rsidR="00397A6B">
        <w:t xml:space="preserve">IZR umožňuje generování žádosti v rámci funkcionality Zelená nafta, ale jedná se o doklad prokazující intenzitu chovu zvířat podle výpočtu stanoveného </w:t>
      </w:r>
      <w:r w:rsidR="0062621E">
        <w:t>dle již neplatné legislativy</w:t>
      </w:r>
      <w:r w:rsidR="00397A6B">
        <w:t>. Tento doklad nelze použít pro zdaňovací období od 1.1.2019. Způsob výpočtu intenzity je odlišný</w:t>
      </w:r>
      <w:r w:rsidR="00107EFE">
        <w:t xml:space="preserve"> a</w:t>
      </w:r>
      <w:r w:rsidR="00397A6B">
        <w:t xml:space="preserve"> odlišné jsou i kategorie zvířat zahrnuté ve výpočtu</w:t>
      </w:r>
      <w:r w:rsidR="00107EFE">
        <w:t>.</w:t>
      </w:r>
      <w:r w:rsidR="004934CD">
        <w:t xml:space="preserve"> </w:t>
      </w:r>
    </w:p>
    <w:p w14:paraId="7D577650" w14:textId="1790E6DC" w:rsidR="00B22EA6" w:rsidRDefault="004934CD" w:rsidP="00083AE5">
      <w:pPr>
        <w:shd w:val="clear" w:color="auto" w:fill="FFFFFF"/>
        <w:spacing w:after="0"/>
        <w:jc w:val="both"/>
      </w:pPr>
      <w:r>
        <w:t>Navíc IZR v současnosti neumožňuje vygenerovat doklad o výši spotřeby minerálních olejů dle ročních normativů.</w:t>
      </w:r>
    </w:p>
    <w:p w14:paraId="5D2F19DF" w14:textId="77777777" w:rsidR="00107EFE" w:rsidRPr="00B22EA6" w:rsidRDefault="00107EFE" w:rsidP="00083AE5">
      <w:pPr>
        <w:shd w:val="clear" w:color="auto" w:fill="FFFFFF"/>
        <w:spacing w:after="0"/>
        <w:jc w:val="both"/>
        <w:rPr>
          <w:rFonts w:cs="Arial"/>
          <w:szCs w:val="22"/>
        </w:rPr>
      </w:pPr>
    </w:p>
    <w:p w14:paraId="5FA26B7C" w14:textId="77777777" w:rsidR="00B73A7D" w:rsidRPr="00DE77EE" w:rsidRDefault="00B73A7D" w:rsidP="00B73A7D">
      <w:pPr>
        <w:jc w:val="both"/>
      </w:pPr>
    </w:p>
    <w:p w14:paraId="750254B4" w14:textId="77777777" w:rsidR="00B73A7D" w:rsidRDefault="00B73A7D" w:rsidP="00B73A7D">
      <w:pPr>
        <w:pStyle w:val="Nadpis2"/>
      </w:pPr>
      <w:r w:rsidRPr="006C3557">
        <w:t>Popis cílového stavu</w:t>
      </w:r>
    </w:p>
    <w:p w14:paraId="20136E07" w14:textId="77777777" w:rsidR="00E502EF" w:rsidRDefault="00004D27" w:rsidP="00385734">
      <w:pPr>
        <w:spacing w:after="0"/>
        <w:jc w:val="both"/>
        <w:rPr>
          <w:rFonts w:cs="Arial"/>
          <w:color w:val="000000"/>
          <w:szCs w:val="22"/>
        </w:rPr>
      </w:pPr>
      <w:r w:rsidRPr="00004D27">
        <w:t>Generování výpočtů v</w:t>
      </w:r>
      <w:r w:rsidR="00385734">
        <w:t> </w:t>
      </w:r>
      <w:r w:rsidRPr="00004D27">
        <w:t>IZR</w:t>
      </w:r>
      <w:r w:rsidR="00385734">
        <w:t xml:space="preserve"> </w:t>
      </w:r>
      <w:r w:rsidR="00385734" w:rsidRPr="008C2FF1">
        <w:rPr>
          <w:rFonts w:cs="Calibri"/>
        </w:rPr>
        <w:t>˃</w:t>
      </w:r>
      <w:r w:rsidR="00385734">
        <w:rPr>
          <w:rFonts w:cs="Arial"/>
          <w:color w:val="000000"/>
          <w:szCs w:val="22"/>
        </w:rPr>
        <w:t xml:space="preserve"> Zelená nafta </w:t>
      </w:r>
      <w:r w:rsidR="00385734" w:rsidRPr="008C2FF1">
        <w:rPr>
          <w:rFonts w:cs="Calibri"/>
        </w:rPr>
        <w:t>˃</w:t>
      </w:r>
      <w:r w:rsidR="00385734">
        <w:rPr>
          <w:rFonts w:cs="Arial"/>
          <w:color w:val="000000"/>
          <w:szCs w:val="22"/>
        </w:rPr>
        <w:t xml:space="preserve"> Generování žádostí bude </w:t>
      </w:r>
      <w:r w:rsidR="00E502EF">
        <w:rPr>
          <w:rFonts w:cs="Arial"/>
          <w:color w:val="000000"/>
          <w:szCs w:val="22"/>
        </w:rPr>
        <w:t>upraveno následujícím způsobem</w:t>
      </w:r>
    </w:p>
    <w:p w14:paraId="151DC7D2" w14:textId="6C335BC7" w:rsidR="00385734" w:rsidRPr="00E502EF" w:rsidRDefault="00E502EF" w:rsidP="00625B90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Nové podmenu Generování podkladů ZN od 2019 s </w:t>
      </w:r>
      <w:r w:rsidR="00385734" w:rsidRPr="00E502EF">
        <w:rPr>
          <w:rFonts w:cs="Arial"/>
          <w:color w:val="000000"/>
          <w:szCs w:val="22"/>
        </w:rPr>
        <w:t>následující</w:t>
      </w:r>
      <w:r>
        <w:rPr>
          <w:rFonts w:cs="Arial"/>
          <w:color w:val="000000"/>
          <w:szCs w:val="22"/>
        </w:rPr>
        <w:t>mi</w:t>
      </w:r>
      <w:r w:rsidR="00385734" w:rsidRPr="00E502EF">
        <w:rPr>
          <w:rFonts w:cs="Arial"/>
          <w:color w:val="000000"/>
          <w:szCs w:val="22"/>
        </w:rPr>
        <w:t xml:space="preserve"> typy výpočt</w:t>
      </w:r>
      <w:r>
        <w:rPr>
          <w:rFonts w:cs="Arial"/>
          <w:color w:val="000000"/>
          <w:szCs w:val="22"/>
        </w:rPr>
        <w:t>ů</w:t>
      </w:r>
      <w:r w:rsidR="00385734" w:rsidRPr="00E502EF">
        <w:rPr>
          <w:rFonts w:cs="Arial"/>
          <w:color w:val="000000"/>
          <w:szCs w:val="22"/>
        </w:rPr>
        <w:t>:</w:t>
      </w:r>
    </w:p>
    <w:p w14:paraId="32877EA2" w14:textId="77777777" w:rsidR="00385734" w:rsidRPr="00855F52" w:rsidRDefault="00385734" w:rsidP="00625B90">
      <w:pPr>
        <w:pStyle w:val="l4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55F52">
        <w:rPr>
          <w:rFonts w:ascii="Arial" w:hAnsi="Arial" w:cs="Arial"/>
          <w:color w:val="000000"/>
          <w:sz w:val="22"/>
          <w:szCs w:val="22"/>
        </w:rPr>
        <w:t>Čtvrtletní intenzita</w:t>
      </w:r>
    </w:p>
    <w:p w14:paraId="1311E14C" w14:textId="77777777" w:rsidR="00385734" w:rsidRPr="00855F52" w:rsidRDefault="00385734" w:rsidP="00625B90">
      <w:pPr>
        <w:pStyle w:val="l4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55F52">
        <w:rPr>
          <w:rFonts w:ascii="Arial" w:hAnsi="Arial" w:cs="Arial"/>
          <w:color w:val="000000"/>
          <w:sz w:val="22"/>
          <w:szCs w:val="22"/>
        </w:rPr>
        <w:t>Roční intenzita</w:t>
      </w:r>
    </w:p>
    <w:p w14:paraId="2FFCEF49" w14:textId="0BB1A809" w:rsidR="00385734" w:rsidRDefault="00385734" w:rsidP="00625B90">
      <w:pPr>
        <w:pStyle w:val="l4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55F52">
        <w:rPr>
          <w:rFonts w:ascii="Arial" w:hAnsi="Arial" w:cs="Arial"/>
          <w:color w:val="000000"/>
          <w:sz w:val="22"/>
          <w:szCs w:val="22"/>
        </w:rPr>
        <w:t>Spotřeba dle normativů</w:t>
      </w:r>
    </w:p>
    <w:p w14:paraId="157492B9" w14:textId="3651B7ED" w:rsidR="00385734" w:rsidRPr="00E502EF" w:rsidRDefault="00385734" w:rsidP="00625B90">
      <w:pPr>
        <w:pStyle w:val="l4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502EF">
        <w:rPr>
          <w:rFonts w:ascii="Arial" w:hAnsi="Arial" w:cs="Arial"/>
          <w:color w:val="000000"/>
          <w:sz w:val="22"/>
          <w:szCs w:val="22"/>
        </w:rPr>
        <w:t xml:space="preserve">Stávající výpočet zůstane zachován beze změny a bude nazván </w:t>
      </w:r>
      <w:r w:rsidR="00E502EF">
        <w:rPr>
          <w:rFonts w:ascii="Arial" w:hAnsi="Arial" w:cs="Arial"/>
          <w:color w:val="000000"/>
          <w:sz w:val="22"/>
          <w:szCs w:val="22"/>
        </w:rPr>
        <w:t xml:space="preserve">v menu </w:t>
      </w:r>
      <w:r w:rsidR="00E502EF" w:rsidRPr="00E502EF">
        <w:rPr>
          <w:rFonts w:ascii="Arial" w:hAnsi="Arial" w:cs="Arial"/>
          <w:color w:val="000000"/>
          <w:sz w:val="22"/>
          <w:szCs w:val="22"/>
        </w:rPr>
        <w:t xml:space="preserve">Generování podkladů ZN </w:t>
      </w:r>
      <w:r w:rsidR="00E502EF">
        <w:rPr>
          <w:rFonts w:ascii="Arial" w:hAnsi="Arial" w:cs="Arial"/>
          <w:color w:val="000000"/>
          <w:sz w:val="22"/>
          <w:szCs w:val="22"/>
        </w:rPr>
        <w:t>do</w:t>
      </w:r>
      <w:r w:rsidR="00E502EF" w:rsidRPr="00E502EF">
        <w:rPr>
          <w:rFonts w:ascii="Arial" w:hAnsi="Arial" w:cs="Arial"/>
          <w:color w:val="000000"/>
          <w:sz w:val="22"/>
          <w:szCs w:val="22"/>
        </w:rPr>
        <w:t xml:space="preserve"> 201</w:t>
      </w:r>
      <w:r w:rsidR="00E502EF">
        <w:rPr>
          <w:rFonts w:ascii="Arial" w:hAnsi="Arial" w:cs="Arial"/>
          <w:color w:val="000000"/>
          <w:sz w:val="22"/>
          <w:szCs w:val="22"/>
        </w:rPr>
        <w:t>8 s jediným typem výpočtu Měsíční i</w:t>
      </w:r>
      <w:r w:rsidRPr="00E502EF">
        <w:rPr>
          <w:rFonts w:ascii="Arial" w:hAnsi="Arial" w:cs="Arial"/>
          <w:color w:val="000000"/>
          <w:sz w:val="22"/>
          <w:szCs w:val="22"/>
        </w:rPr>
        <w:t>ntenzita do 2018</w:t>
      </w:r>
      <w:r w:rsidR="00E502EF">
        <w:rPr>
          <w:rFonts w:ascii="Arial" w:hAnsi="Arial" w:cs="Arial"/>
          <w:color w:val="000000"/>
          <w:sz w:val="22"/>
          <w:szCs w:val="22"/>
        </w:rPr>
        <w:t>. Řešení zůstává beze změny jen poslední zdaňovací období je omezeno na 12/2018.</w:t>
      </w:r>
    </w:p>
    <w:p w14:paraId="0CAF4D66" w14:textId="77777777" w:rsidR="00004D27" w:rsidRPr="00004D27" w:rsidRDefault="00004D27" w:rsidP="00004D27"/>
    <w:p w14:paraId="70ED3664" w14:textId="186D172C" w:rsidR="00F469F5" w:rsidRPr="008C2FF1" w:rsidRDefault="008C2FF1" w:rsidP="00A208EE">
      <w:pPr>
        <w:pStyle w:val="Nadpis3"/>
      </w:pPr>
      <w:r>
        <w:t xml:space="preserve">GUI obrazovky </w:t>
      </w:r>
      <w:r w:rsidR="00F469F5" w:rsidRPr="008C2FF1">
        <w:t xml:space="preserve">IZR </w:t>
      </w:r>
      <w:r w:rsidR="00F469F5" w:rsidRPr="00A208EE">
        <w:rPr>
          <w:rFonts w:cs="Arial"/>
        </w:rPr>
        <w:t>˃</w:t>
      </w:r>
      <w:r w:rsidR="00F469F5" w:rsidRPr="008C2FF1">
        <w:t xml:space="preserve"> Zelená nafta </w:t>
      </w:r>
      <w:r w:rsidR="00F469F5" w:rsidRPr="00A208EE">
        <w:rPr>
          <w:rFonts w:cs="Arial"/>
        </w:rPr>
        <w:t xml:space="preserve">˃ </w:t>
      </w:r>
      <w:r w:rsidR="00E502EF" w:rsidRPr="00A208EE">
        <w:rPr>
          <w:rFonts w:cs="Arial"/>
        </w:rPr>
        <w:t>Generování podkladů ZN od 2019</w:t>
      </w:r>
    </w:p>
    <w:p w14:paraId="775156DE" w14:textId="344211AC" w:rsidR="00F469F5" w:rsidRDefault="00AF3195" w:rsidP="00F469F5">
      <w:pPr>
        <w:spacing w:after="0"/>
        <w:jc w:val="both"/>
      </w:pPr>
      <w:r w:rsidRPr="00AF3195">
        <w:t xml:space="preserve">Neboť budou </w:t>
      </w:r>
      <w:r w:rsidR="00F469F5" w:rsidRPr="00AF3195">
        <w:t>implementovány nové 3 typy výpočtů</w:t>
      </w:r>
      <w:r w:rsidR="001D7762" w:rsidRPr="00AF3195">
        <w:t>,</w:t>
      </w:r>
      <w:r w:rsidRPr="00AF3195">
        <w:t xml:space="preserve"> obrazovka Generování žádostí bude rozšířena o</w:t>
      </w:r>
      <w:r w:rsidR="001D7762" w:rsidRPr="00AF3195">
        <w:t xml:space="preserve"> combobox s názvem </w:t>
      </w:r>
      <w:r w:rsidR="001D7762" w:rsidRPr="00AF3195">
        <w:rPr>
          <w:b/>
        </w:rPr>
        <w:t>Typ výpočtu</w:t>
      </w:r>
      <w:r w:rsidR="00F469F5" w:rsidRPr="00AF3195">
        <w:t>:</w:t>
      </w:r>
    </w:p>
    <w:p w14:paraId="41A4A5D8" w14:textId="77777777" w:rsidR="00AF3195" w:rsidRPr="00AF3195" w:rsidRDefault="00AF3195" w:rsidP="00F469F5">
      <w:pPr>
        <w:spacing w:after="0"/>
        <w:jc w:val="both"/>
      </w:pPr>
    </w:p>
    <w:p w14:paraId="4C7662C3" w14:textId="77777777" w:rsidR="00F469F5" w:rsidRPr="00E502EF" w:rsidRDefault="00F469F5" w:rsidP="00625B90">
      <w:pPr>
        <w:pStyle w:val="Odstavecseseznamem"/>
        <w:numPr>
          <w:ilvl w:val="0"/>
          <w:numId w:val="17"/>
        </w:numPr>
        <w:spacing w:after="0"/>
        <w:jc w:val="both"/>
        <w:rPr>
          <w:b/>
          <w:szCs w:val="22"/>
        </w:rPr>
      </w:pPr>
      <w:r w:rsidRPr="00E502EF">
        <w:rPr>
          <w:b/>
          <w:szCs w:val="22"/>
        </w:rPr>
        <w:t>Čtvrtletní intenzita</w:t>
      </w:r>
    </w:p>
    <w:p w14:paraId="6CC892BD" w14:textId="038DBF79" w:rsidR="00F469F5" w:rsidRPr="00E502EF" w:rsidRDefault="00F469F5" w:rsidP="00625B90">
      <w:pPr>
        <w:pStyle w:val="l5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02EF">
        <w:rPr>
          <w:rFonts w:ascii="Arial" w:hAnsi="Arial" w:cs="Arial"/>
          <w:b/>
          <w:color w:val="000000"/>
          <w:sz w:val="22"/>
          <w:szCs w:val="22"/>
        </w:rPr>
        <w:t>Roční intenzita</w:t>
      </w:r>
    </w:p>
    <w:p w14:paraId="6FF72938" w14:textId="7C33DB5B" w:rsidR="00F469F5" w:rsidRPr="00E502EF" w:rsidRDefault="00AF3195" w:rsidP="00625B90">
      <w:pPr>
        <w:pStyle w:val="l5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02EF">
        <w:rPr>
          <w:rFonts w:ascii="Arial" w:hAnsi="Arial" w:cs="Arial"/>
          <w:b/>
          <w:color w:val="000000"/>
          <w:sz w:val="22"/>
          <w:szCs w:val="22"/>
        </w:rPr>
        <w:t>Spotřeba</w:t>
      </w:r>
      <w:r w:rsidR="00135AFB" w:rsidRPr="00E502EF">
        <w:rPr>
          <w:rFonts w:ascii="Arial" w:hAnsi="Arial" w:cs="Arial"/>
          <w:b/>
          <w:color w:val="000000"/>
          <w:sz w:val="22"/>
          <w:szCs w:val="22"/>
        </w:rPr>
        <w:t xml:space="preserve"> dle normativů</w:t>
      </w:r>
    </w:p>
    <w:p w14:paraId="1D564249" w14:textId="77777777" w:rsidR="005D65C0" w:rsidRDefault="005D65C0" w:rsidP="005D65C0">
      <w:pPr>
        <w:spacing w:after="0"/>
        <w:jc w:val="both"/>
        <w:rPr>
          <w:szCs w:val="22"/>
        </w:rPr>
      </w:pPr>
    </w:p>
    <w:p w14:paraId="59684D83" w14:textId="33E127B0" w:rsidR="00E502EF" w:rsidRDefault="005D65C0" w:rsidP="005D65C0">
      <w:pPr>
        <w:spacing w:after="0"/>
        <w:jc w:val="both"/>
        <w:rPr>
          <w:szCs w:val="22"/>
        </w:rPr>
      </w:pPr>
      <w:r>
        <w:rPr>
          <w:szCs w:val="22"/>
        </w:rPr>
        <w:t xml:space="preserve">Uživatel zadá typ výpočtu a zdaňovací období, pro které chce výpočet provést. </w:t>
      </w:r>
      <w:r w:rsidR="00FA6914">
        <w:rPr>
          <w:szCs w:val="22"/>
        </w:rPr>
        <w:t>Shrnutí možností voleb zdaňovacího období je uvedeno níže</w:t>
      </w:r>
    </w:p>
    <w:p w14:paraId="07172130" w14:textId="77777777" w:rsidR="00136AD6" w:rsidRPr="00FA6914" w:rsidRDefault="00136AD6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  <w:b/>
        </w:rPr>
      </w:pPr>
      <w:r w:rsidRPr="00FA6914">
        <w:rPr>
          <w:rFonts w:cs="Calibri"/>
          <w:b/>
        </w:rPr>
        <w:t>Typ výpočtu</w:t>
      </w:r>
    </w:p>
    <w:p w14:paraId="1D60EE21" w14:textId="77777777" w:rsidR="00136AD6" w:rsidRPr="00FA6914" w:rsidRDefault="00136AD6" w:rsidP="00625B90">
      <w:pPr>
        <w:pStyle w:val="Odstavecseseznamem"/>
        <w:numPr>
          <w:ilvl w:val="2"/>
          <w:numId w:val="18"/>
        </w:numPr>
        <w:spacing w:after="0"/>
        <w:jc w:val="both"/>
        <w:rPr>
          <w:rFonts w:cs="Calibri"/>
          <w:u w:val="single"/>
        </w:rPr>
      </w:pPr>
      <w:r w:rsidRPr="00FA6914">
        <w:rPr>
          <w:rFonts w:cs="Calibri"/>
          <w:u w:val="single"/>
        </w:rPr>
        <w:t>Čtvrtletní intenzita</w:t>
      </w:r>
    </w:p>
    <w:p w14:paraId="2A9C2A9A" w14:textId="77777777" w:rsidR="00136AD6" w:rsidRDefault="00136AD6" w:rsidP="00625B90">
      <w:pPr>
        <w:pStyle w:val="Odstavecseseznamem"/>
        <w:numPr>
          <w:ilvl w:val="3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Combobox pro zdaňovací období– nabídne se hodnota kvartálu (1. kvartál,</w:t>
      </w:r>
      <w:r w:rsidRPr="002A28B2">
        <w:rPr>
          <w:rFonts w:cs="Calibri"/>
        </w:rPr>
        <w:t xml:space="preserve"> </w:t>
      </w:r>
      <w:r>
        <w:rPr>
          <w:rFonts w:cs="Calibri"/>
        </w:rPr>
        <w:t>2. kvartál, 3. kvartál, 4. kvartál,</w:t>
      </w:r>
    </w:p>
    <w:p w14:paraId="441B1BC7" w14:textId="777906C2" w:rsidR="00136AD6" w:rsidRDefault="00136AD6" w:rsidP="00625B90">
      <w:pPr>
        <w:pStyle w:val="Odstavecseseznamem"/>
        <w:numPr>
          <w:ilvl w:val="3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 Hodnotu kvartálu lze zvolit až </w:t>
      </w:r>
      <w:r w:rsidR="00170CC3">
        <w:rPr>
          <w:rFonts w:cs="Calibri"/>
        </w:rPr>
        <w:t xml:space="preserve">od 15. dne po </w:t>
      </w:r>
      <w:r>
        <w:rPr>
          <w:rFonts w:cs="Calibri"/>
        </w:rPr>
        <w:t xml:space="preserve">skončení </w:t>
      </w:r>
      <w:r w:rsidR="00FA6914">
        <w:rPr>
          <w:rFonts w:cs="Calibri"/>
        </w:rPr>
        <w:t>příslušného</w:t>
      </w:r>
      <w:r>
        <w:rPr>
          <w:rFonts w:cs="Calibri"/>
        </w:rPr>
        <w:t xml:space="preserve"> kvartálu</w:t>
      </w:r>
    </w:p>
    <w:p w14:paraId="5F058638" w14:textId="77777777" w:rsidR="00136AD6" w:rsidRDefault="00136AD6" w:rsidP="00625B90">
      <w:pPr>
        <w:pStyle w:val="Odstavecseseznamem"/>
        <w:numPr>
          <w:ilvl w:val="3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Je možné zvolit pouze jeden kvartál najednou</w:t>
      </w:r>
    </w:p>
    <w:p w14:paraId="71FB05E1" w14:textId="77777777" w:rsidR="00136AD6" w:rsidRPr="00FA6914" w:rsidRDefault="00136AD6" w:rsidP="00625B90">
      <w:pPr>
        <w:pStyle w:val="Odstavecseseznamem"/>
        <w:numPr>
          <w:ilvl w:val="2"/>
          <w:numId w:val="18"/>
        </w:numPr>
        <w:spacing w:after="0"/>
        <w:jc w:val="both"/>
        <w:rPr>
          <w:rFonts w:cs="Calibri"/>
          <w:u w:val="single"/>
        </w:rPr>
      </w:pPr>
      <w:r w:rsidRPr="00FA6914">
        <w:rPr>
          <w:rFonts w:cs="Calibri"/>
          <w:u w:val="single"/>
        </w:rPr>
        <w:t>Roční intenzita</w:t>
      </w:r>
    </w:p>
    <w:p w14:paraId="461D8C63" w14:textId="2F50E2C1" w:rsidR="00136AD6" w:rsidRDefault="00136AD6" w:rsidP="00625B90">
      <w:pPr>
        <w:pStyle w:val="Odstavecseseznamem"/>
        <w:numPr>
          <w:ilvl w:val="3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Combobox pro zdaňovací období– nabídne se hodnota kalendářního roku </w:t>
      </w:r>
      <w:r w:rsidR="00FA6914">
        <w:rPr>
          <w:rFonts w:cs="Calibri"/>
        </w:rPr>
        <w:t>vždy po skončení příslušného</w:t>
      </w:r>
      <w:r>
        <w:rPr>
          <w:rFonts w:cs="Calibri"/>
        </w:rPr>
        <w:t xml:space="preserve"> roku </w:t>
      </w:r>
      <w:r w:rsidR="00FA6914">
        <w:rPr>
          <w:rFonts w:cs="Calibri"/>
        </w:rPr>
        <w:t xml:space="preserve">- </w:t>
      </w:r>
      <w:r>
        <w:rPr>
          <w:rFonts w:cs="Calibri"/>
        </w:rPr>
        <w:t xml:space="preserve">začínat </w:t>
      </w:r>
      <w:r w:rsidR="00FA6914">
        <w:rPr>
          <w:rFonts w:cs="Calibri"/>
        </w:rPr>
        <w:t xml:space="preserve">se </w:t>
      </w:r>
      <w:r>
        <w:rPr>
          <w:rFonts w:cs="Calibri"/>
        </w:rPr>
        <w:t>bude rokem 2019</w:t>
      </w:r>
      <w:r w:rsidR="00FA6914">
        <w:rPr>
          <w:rFonts w:cs="Calibri"/>
        </w:rPr>
        <w:t xml:space="preserve">, který se nabídne </w:t>
      </w:r>
      <w:r w:rsidR="00170CC3">
        <w:rPr>
          <w:rFonts w:cs="Calibri"/>
        </w:rPr>
        <w:t>až od 15.</w:t>
      </w:r>
      <w:r w:rsidR="00FA6914">
        <w:rPr>
          <w:rFonts w:cs="Calibri"/>
        </w:rPr>
        <w:t>1.2020</w:t>
      </w:r>
    </w:p>
    <w:p w14:paraId="769F9158" w14:textId="72820ABD" w:rsidR="00136AD6" w:rsidRPr="00286B9B" w:rsidRDefault="00136AD6" w:rsidP="00625B90">
      <w:pPr>
        <w:pStyle w:val="Odstavecseseznamem"/>
        <w:numPr>
          <w:ilvl w:val="3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Od 1.1.202</w:t>
      </w:r>
      <w:r w:rsidR="00FA6914">
        <w:rPr>
          <w:rFonts w:cs="Calibri"/>
        </w:rPr>
        <w:t>1</w:t>
      </w:r>
      <w:r>
        <w:rPr>
          <w:rFonts w:cs="Calibri"/>
        </w:rPr>
        <w:t xml:space="preserve"> se nabídne v combu rok 2020</w:t>
      </w:r>
    </w:p>
    <w:p w14:paraId="6297E5F0" w14:textId="77777777" w:rsidR="00136AD6" w:rsidRPr="009873C2" w:rsidRDefault="00136AD6" w:rsidP="00625B90">
      <w:pPr>
        <w:pStyle w:val="Odstavecseseznamem"/>
        <w:numPr>
          <w:ilvl w:val="2"/>
          <w:numId w:val="18"/>
        </w:numPr>
        <w:spacing w:after="0"/>
        <w:jc w:val="both"/>
        <w:rPr>
          <w:rFonts w:cs="Calibri"/>
          <w:u w:val="single"/>
        </w:rPr>
      </w:pPr>
      <w:r w:rsidRPr="009873C2">
        <w:rPr>
          <w:rFonts w:cs="Calibri"/>
          <w:u w:val="single"/>
        </w:rPr>
        <w:t>Spotřeba dle normativů</w:t>
      </w:r>
    </w:p>
    <w:p w14:paraId="785D0386" w14:textId="7DF0A739" w:rsidR="00136AD6" w:rsidRDefault="00136AD6" w:rsidP="00625B90">
      <w:pPr>
        <w:pStyle w:val="Odstavecseseznamem"/>
        <w:numPr>
          <w:ilvl w:val="3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Combobox pro zdaňovací období– nabídne se hodnota kalendářního roku </w:t>
      </w:r>
      <w:r w:rsidR="009873C2">
        <w:rPr>
          <w:rFonts w:cs="Calibri"/>
        </w:rPr>
        <w:t xml:space="preserve">vždy po skončení příslušného roku - </w:t>
      </w:r>
      <w:r>
        <w:rPr>
          <w:rFonts w:cs="Calibri"/>
        </w:rPr>
        <w:t>začínat bude rokem 2019</w:t>
      </w:r>
    </w:p>
    <w:p w14:paraId="235D15A1" w14:textId="7FF0D3E9" w:rsidR="00136AD6" w:rsidRPr="00286B9B" w:rsidRDefault="00136AD6" w:rsidP="00625B90">
      <w:pPr>
        <w:pStyle w:val="Odstavecseseznamem"/>
        <w:numPr>
          <w:ilvl w:val="3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Od 1</w:t>
      </w:r>
      <w:r w:rsidR="00170CC3">
        <w:rPr>
          <w:rFonts w:cs="Calibri"/>
        </w:rPr>
        <w:t>5</w:t>
      </w:r>
      <w:r>
        <w:rPr>
          <w:rFonts w:cs="Calibri"/>
        </w:rPr>
        <w:t>.1.2020 se nabídne v combu rok 20</w:t>
      </w:r>
      <w:r w:rsidR="009873C2">
        <w:rPr>
          <w:rFonts w:cs="Calibri"/>
        </w:rPr>
        <w:t>19</w:t>
      </w:r>
    </w:p>
    <w:p w14:paraId="45139555" w14:textId="77777777" w:rsidR="00136AD6" w:rsidRPr="00286B9B" w:rsidRDefault="00136AD6" w:rsidP="00136AD6">
      <w:pPr>
        <w:pStyle w:val="Odstavecseseznamem"/>
        <w:spacing w:after="0"/>
        <w:ind w:left="2160"/>
        <w:jc w:val="both"/>
        <w:rPr>
          <w:rFonts w:cs="Calibri"/>
        </w:rPr>
      </w:pPr>
    </w:p>
    <w:p w14:paraId="24859149" w14:textId="77777777" w:rsidR="00136AD6" w:rsidRDefault="00136AD6" w:rsidP="005D65C0">
      <w:pPr>
        <w:spacing w:after="0"/>
        <w:jc w:val="both"/>
        <w:rPr>
          <w:szCs w:val="22"/>
        </w:rPr>
      </w:pPr>
    </w:p>
    <w:p w14:paraId="334D44A5" w14:textId="327D11B8" w:rsidR="005D65C0" w:rsidRDefault="00D92554" w:rsidP="005D65C0">
      <w:pPr>
        <w:spacing w:after="0"/>
        <w:jc w:val="both"/>
        <w:rPr>
          <w:szCs w:val="22"/>
        </w:rPr>
      </w:pPr>
      <w:r>
        <w:rPr>
          <w:szCs w:val="22"/>
        </w:rPr>
        <w:t>Výpočet se bude spouštět z předvypočtených dat</w:t>
      </w:r>
      <w:r w:rsidR="00136AD6" w:rsidRPr="00136AD6">
        <w:rPr>
          <w:szCs w:val="22"/>
        </w:rPr>
        <w:t xml:space="preserve"> </w:t>
      </w:r>
      <w:r w:rsidR="00136AD6">
        <w:rPr>
          <w:szCs w:val="22"/>
        </w:rPr>
        <w:t>pro druh zvířat skot, ovce a kozy</w:t>
      </w:r>
      <w:r>
        <w:rPr>
          <w:szCs w:val="22"/>
        </w:rPr>
        <w:t xml:space="preserve">. </w:t>
      </w:r>
    </w:p>
    <w:p w14:paraId="30AEFA79" w14:textId="724F7BA2" w:rsidR="00F469F5" w:rsidRDefault="00F469F5" w:rsidP="00F469F5">
      <w:pPr>
        <w:spacing w:after="0"/>
        <w:jc w:val="both"/>
        <w:rPr>
          <w:b/>
        </w:rPr>
      </w:pPr>
    </w:p>
    <w:p w14:paraId="64668DDE" w14:textId="643EB336" w:rsidR="00135AFB" w:rsidRDefault="00135AFB" w:rsidP="00135AFB">
      <w:pPr>
        <w:spacing w:after="0"/>
        <w:jc w:val="both"/>
        <w:rPr>
          <w:rFonts w:cs="Calibri"/>
        </w:rPr>
      </w:pPr>
      <w:r w:rsidRPr="008C2FF1">
        <w:t xml:space="preserve">Tabulka na stránce IZR </w:t>
      </w:r>
      <w:r w:rsidRPr="008C2FF1">
        <w:rPr>
          <w:rFonts w:cs="Calibri"/>
        </w:rPr>
        <w:t>˃</w:t>
      </w:r>
      <w:r w:rsidRPr="008C2FF1">
        <w:t xml:space="preserve"> Zelená nafta </w:t>
      </w:r>
      <w:r w:rsidRPr="008C2FF1">
        <w:rPr>
          <w:rFonts w:cs="Calibri"/>
        </w:rPr>
        <w:t xml:space="preserve">˃ </w:t>
      </w:r>
      <w:r w:rsidR="00E502EF" w:rsidRPr="00E502EF">
        <w:rPr>
          <w:rFonts w:cs="Calibri"/>
        </w:rPr>
        <w:t>Generování podkladů ZN od 2019</w:t>
      </w:r>
      <w:r w:rsidRPr="008C2FF1">
        <w:rPr>
          <w:rFonts w:cs="Calibri"/>
        </w:rPr>
        <w:t>, která obsahuje seznam vygenerovaných sa</w:t>
      </w:r>
      <w:r w:rsidR="005D65C0">
        <w:rPr>
          <w:rFonts w:cs="Calibri"/>
        </w:rPr>
        <w:t>d výpočtů, bude rozšířena o nový</w:t>
      </w:r>
      <w:r w:rsidRPr="008C2FF1">
        <w:rPr>
          <w:rFonts w:cs="Calibri"/>
        </w:rPr>
        <w:t xml:space="preserve"> sloupec s názvem Typ výpočtu</w:t>
      </w:r>
      <w:r w:rsidR="008C2FF1" w:rsidRPr="008C2FF1">
        <w:rPr>
          <w:rFonts w:cs="Calibri"/>
        </w:rPr>
        <w:t xml:space="preserve"> a sloupec </w:t>
      </w:r>
      <w:r w:rsidR="00E502EF">
        <w:rPr>
          <w:rFonts w:cs="Calibri"/>
        </w:rPr>
        <w:t>Normativ spotřeby</w:t>
      </w:r>
      <w:r w:rsidR="005D65C0">
        <w:rPr>
          <w:rFonts w:cs="Calibri"/>
        </w:rPr>
        <w:t>.</w:t>
      </w:r>
    </w:p>
    <w:p w14:paraId="40FE6E89" w14:textId="06D8EC99" w:rsidR="005D65C0" w:rsidRDefault="005D65C0" w:rsidP="00135AFB">
      <w:pPr>
        <w:spacing w:after="0"/>
        <w:jc w:val="both"/>
        <w:rPr>
          <w:rFonts w:cs="Calibri"/>
        </w:rPr>
      </w:pPr>
      <w:r>
        <w:rPr>
          <w:rFonts w:cs="Calibri"/>
        </w:rPr>
        <w:t>Struktura tabulky, nové sloupce jsou žlutě zvýrazněny:</w:t>
      </w:r>
    </w:p>
    <w:p w14:paraId="5A4C5DFA" w14:textId="20639D9E" w:rsidR="005D65C0" w:rsidRPr="005D65C0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Identifikátor sady</w:t>
      </w:r>
    </w:p>
    <w:p w14:paraId="1F8E5014" w14:textId="76927765" w:rsidR="005D65C0" w:rsidRPr="00136AD6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136AD6">
        <w:rPr>
          <w:rFonts w:cs="Calibri"/>
        </w:rPr>
        <w:t>Typ výpočtu</w:t>
      </w:r>
    </w:p>
    <w:p w14:paraId="6EC34242" w14:textId="58CA780C" w:rsidR="0062621E" w:rsidRDefault="0062621E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Zdaňovací období</w:t>
      </w:r>
    </w:p>
    <w:p w14:paraId="7BCFB082" w14:textId="07E1DB9B" w:rsidR="005D65C0" w:rsidRPr="005D65C0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Uživatel</w:t>
      </w:r>
    </w:p>
    <w:p w14:paraId="1FF151F5" w14:textId="1F224B70" w:rsidR="005D65C0" w:rsidRPr="005D65C0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 xml:space="preserve">Zahájení výpočtu </w:t>
      </w:r>
    </w:p>
    <w:p w14:paraId="7EB2743D" w14:textId="0ED5FC6A" w:rsidR="005D65C0" w:rsidRPr="005D65C0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Ukončení výpočtu</w:t>
      </w:r>
    </w:p>
    <w:p w14:paraId="01B4C429" w14:textId="3A0C6C18" w:rsidR="005D65C0" w:rsidRPr="005D65C0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Status</w:t>
      </w:r>
    </w:p>
    <w:p w14:paraId="09041288" w14:textId="77777777" w:rsidR="00535801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Počet VDJ</w:t>
      </w:r>
      <w:r w:rsidR="00535801">
        <w:rPr>
          <w:rFonts w:cs="Calibri"/>
        </w:rPr>
        <w:t xml:space="preserve"> – plní se v případě typů výpočtu </w:t>
      </w:r>
    </w:p>
    <w:p w14:paraId="78E0608C" w14:textId="77777777" w:rsidR="00535801" w:rsidRDefault="00535801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Čtvrtletní intenzita</w:t>
      </w:r>
    </w:p>
    <w:p w14:paraId="424125BC" w14:textId="2F02BA04" w:rsidR="005D65C0" w:rsidRPr="005D65C0" w:rsidRDefault="00535801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Roční intenzita</w:t>
      </w:r>
    </w:p>
    <w:p w14:paraId="16A6E6F3" w14:textId="77777777" w:rsidR="00535801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Výměra</w:t>
      </w:r>
      <w:r w:rsidR="00535801">
        <w:rPr>
          <w:rFonts w:cs="Calibri"/>
        </w:rPr>
        <w:t xml:space="preserve"> - plní se v případě typů výpočtu </w:t>
      </w:r>
    </w:p>
    <w:p w14:paraId="014074E2" w14:textId="77777777" w:rsidR="00535801" w:rsidRDefault="00535801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Čtvrtletní intenzita</w:t>
      </w:r>
    </w:p>
    <w:p w14:paraId="29AFF37E" w14:textId="20D0A47F" w:rsidR="00535801" w:rsidRPr="005D65C0" w:rsidRDefault="00535801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Roční intenzita</w:t>
      </w:r>
    </w:p>
    <w:p w14:paraId="7F435DEC" w14:textId="77777777" w:rsidR="00535801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Intenzita chovu</w:t>
      </w:r>
      <w:r w:rsidR="00535801">
        <w:rPr>
          <w:rFonts w:cs="Calibri"/>
        </w:rPr>
        <w:t xml:space="preserve"> - plní se v případě typů výpočtu</w:t>
      </w:r>
    </w:p>
    <w:p w14:paraId="73AA1FDB" w14:textId="77777777" w:rsidR="00535801" w:rsidRDefault="00535801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Čtvrtletní intenzita</w:t>
      </w:r>
    </w:p>
    <w:p w14:paraId="7FB6F0A6" w14:textId="609517FB" w:rsidR="005D65C0" w:rsidRPr="00535801" w:rsidRDefault="00535801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Roční intenzita</w:t>
      </w:r>
    </w:p>
    <w:p w14:paraId="5C6647E8" w14:textId="0497950B" w:rsidR="00535801" w:rsidRDefault="00E502EF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Normativ spotřeby</w:t>
      </w:r>
      <w:r w:rsidR="005D65C0">
        <w:rPr>
          <w:rFonts w:cs="Calibri"/>
        </w:rPr>
        <w:t xml:space="preserve"> – plní se pouze v případě typu výpočtu </w:t>
      </w:r>
    </w:p>
    <w:p w14:paraId="4E322C62" w14:textId="5CC80261" w:rsidR="005D65C0" w:rsidRDefault="005D65C0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Spotřeba dle normativů</w:t>
      </w:r>
    </w:p>
    <w:p w14:paraId="00101BE2" w14:textId="2CED942A" w:rsidR="002A28B2" w:rsidRPr="005D65C0" w:rsidRDefault="002A28B2" w:rsidP="00625B90">
      <w:pPr>
        <w:pStyle w:val="Odstavecseseznamem"/>
        <w:numPr>
          <w:ilvl w:val="1"/>
          <w:numId w:val="18"/>
        </w:numPr>
        <w:spacing w:after="0"/>
        <w:jc w:val="both"/>
        <w:rPr>
          <w:rFonts w:cs="Calibri"/>
        </w:rPr>
      </w:pPr>
      <w:r>
        <w:rPr>
          <w:rFonts w:cs="Calibri"/>
        </w:rPr>
        <w:t>Zobrazuje se hodnota „</w:t>
      </w:r>
      <w:r>
        <w:rPr>
          <w:rFonts w:cs="Arial"/>
          <w:b/>
          <w:sz w:val="18"/>
          <w:szCs w:val="18"/>
        </w:rPr>
        <w:t>Celkov</w:t>
      </w:r>
      <w:r w:rsidR="009873C2">
        <w:rPr>
          <w:rFonts w:cs="Arial"/>
          <w:b/>
          <w:sz w:val="18"/>
          <w:szCs w:val="18"/>
        </w:rPr>
        <w:t>ý limit</w:t>
      </w:r>
      <w:r>
        <w:rPr>
          <w:rFonts w:cs="Arial"/>
          <w:b/>
          <w:sz w:val="18"/>
          <w:szCs w:val="18"/>
        </w:rPr>
        <w:t xml:space="preserve"> (l)</w:t>
      </w:r>
      <w:r>
        <w:rPr>
          <w:rFonts w:cs="Calibri"/>
        </w:rPr>
        <w:t>“</w:t>
      </w:r>
    </w:p>
    <w:p w14:paraId="3AE3556B" w14:textId="3D5C78AD" w:rsidR="005D65C0" w:rsidRPr="005D65C0" w:rsidRDefault="005D65C0" w:rsidP="00625B90">
      <w:pPr>
        <w:pStyle w:val="Odstavecseseznamem"/>
        <w:numPr>
          <w:ilvl w:val="0"/>
          <w:numId w:val="18"/>
        </w:numPr>
        <w:spacing w:after="0"/>
        <w:jc w:val="both"/>
        <w:rPr>
          <w:rFonts w:cs="Calibri"/>
        </w:rPr>
      </w:pPr>
      <w:r w:rsidRPr="005D65C0">
        <w:rPr>
          <w:rFonts w:cs="Calibri"/>
        </w:rPr>
        <w:t>Export do PDF</w:t>
      </w:r>
    </w:p>
    <w:p w14:paraId="055CCFAD" w14:textId="77777777" w:rsidR="005D65C0" w:rsidRPr="008C2FF1" w:rsidRDefault="005D65C0" w:rsidP="00135AFB">
      <w:pPr>
        <w:spacing w:after="0"/>
        <w:jc w:val="both"/>
      </w:pPr>
    </w:p>
    <w:p w14:paraId="5732208E" w14:textId="13C2BAB4" w:rsidR="00356A15" w:rsidRDefault="00356A15" w:rsidP="00356A15">
      <w:pPr>
        <w:jc w:val="both"/>
      </w:pPr>
      <w:r>
        <w:t>Nad tabulkou bude pro snazší orientaci a výběr typu výpočtu vystavena legenda s detailnějším popisem jednotlivých typů výpočtu:</w:t>
      </w:r>
    </w:p>
    <w:p w14:paraId="3917C6D2" w14:textId="77777777" w:rsidR="00356A15" w:rsidRPr="00E058B0" w:rsidRDefault="00356A15" w:rsidP="00625B9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</w:rPr>
      </w:pPr>
      <w:r w:rsidRPr="00E058B0">
        <w:rPr>
          <w:b/>
          <w:i/>
        </w:rPr>
        <w:t>Čtvrtletní intenzita</w:t>
      </w:r>
      <w:r w:rsidRPr="00E058B0">
        <w:rPr>
          <w:i/>
        </w:rPr>
        <w:t xml:space="preserve"> – použijte v případě, že </w:t>
      </w:r>
      <w:r w:rsidRPr="00E058B0">
        <w:rPr>
          <w:i/>
          <w:szCs w:val="22"/>
        </w:rPr>
        <w:t>prokazujete spotřebu minerálních olejů evidencí o skutečné spotřebě</w:t>
      </w:r>
      <w:r w:rsidRPr="00E058B0">
        <w:rPr>
          <w:i/>
        </w:rPr>
        <w:t xml:space="preserve"> a daňové přiznání předkládáte za kalendářní čtvrtletí.</w:t>
      </w:r>
    </w:p>
    <w:p w14:paraId="60333AF5" w14:textId="77777777" w:rsidR="00356A15" w:rsidRPr="00E058B0" w:rsidRDefault="00356A15" w:rsidP="00625B9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szCs w:val="22"/>
        </w:rPr>
      </w:pPr>
      <w:r w:rsidRPr="00E058B0">
        <w:rPr>
          <w:b/>
          <w:i/>
        </w:rPr>
        <w:t>Roční intenzita</w:t>
      </w:r>
      <w:r w:rsidRPr="00E058B0">
        <w:rPr>
          <w:i/>
        </w:rPr>
        <w:t xml:space="preserve"> – použijte v případě, že spotřebu minerálních olejů prokazujete </w:t>
      </w:r>
      <w:r w:rsidRPr="00E058B0">
        <w:rPr>
          <w:i/>
          <w:szCs w:val="22"/>
        </w:rPr>
        <w:t xml:space="preserve">ústřední evidencí hospodářských zvířat a </w:t>
      </w:r>
      <w:r w:rsidRPr="00E058B0">
        <w:rPr>
          <w:i/>
        </w:rPr>
        <w:t xml:space="preserve">daňové přiznání předkládáte za </w:t>
      </w:r>
      <w:r w:rsidRPr="00E058B0">
        <w:rPr>
          <w:i/>
          <w:szCs w:val="22"/>
        </w:rPr>
        <w:t>kalendářní rok.</w:t>
      </w:r>
    </w:p>
    <w:p w14:paraId="2869AC96" w14:textId="77777777" w:rsidR="00356A15" w:rsidRPr="00E058B0" w:rsidRDefault="00356A15" w:rsidP="00625B9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szCs w:val="22"/>
        </w:rPr>
      </w:pPr>
      <w:r w:rsidRPr="00E058B0">
        <w:rPr>
          <w:b/>
          <w:i/>
          <w:szCs w:val="22"/>
        </w:rPr>
        <w:t>Spotřeba dle normativů</w:t>
      </w:r>
      <w:r w:rsidRPr="00E058B0">
        <w:rPr>
          <w:i/>
          <w:szCs w:val="22"/>
        </w:rPr>
        <w:t xml:space="preserve"> - </w:t>
      </w:r>
      <w:r w:rsidRPr="00E058B0">
        <w:rPr>
          <w:i/>
        </w:rPr>
        <w:t xml:space="preserve">použijte v případě, že spotřebu minerálních olejů prokazujete </w:t>
      </w:r>
      <w:r w:rsidRPr="00E058B0">
        <w:rPr>
          <w:i/>
          <w:szCs w:val="22"/>
        </w:rPr>
        <w:t>ústřední evidencí hospodářských zvířat a chcete provést výpočet spotřeby minerálních olejů při chovu zvířat dle normativů za zdaňovací období kalendářní rok.</w:t>
      </w:r>
    </w:p>
    <w:p w14:paraId="4FD71B17" w14:textId="23969F36" w:rsidR="00F469F5" w:rsidRDefault="00F469F5" w:rsidP="00F469F5">
      <w:pPr>
        <w:spacing w:after="0"/>
        <w:jc w:val="both"/>
        <w:rPr>
          <w:b/>
        </w:rPr>
      </w:pPr>
    </w:p>
    <w:p w14:paraId="5C9B1931" w14:textId="1F643BBB" w:rsidR="000510AA" w:rsidRPr="00F93B29" w:rsidRDefault="00F93B29" w:rsidP="00A208EE">
      <w:pPr>
        <w:pStyle w:val="Nadpis3"/>
      </w:pPr>
      <w:r w:rsidRPr="00F93B29">
        <w:t>Výpočet stavů hospodářských zvířat</w:t>
      </w:r>
    </w:p>
    <w:p w14:paraId="50A6401C" w14:textId="19356701" w:rsidR="000510AA" w:rsidRDefault="00E3569D" w:rsidP="00625B90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Cs w:val="22"/>
        </w:rPr>
      </w:pPr>
      <w:r w:rsidRPr="009A5F5E">
        <w:rPr>
          <w:rFonts w:cs="Calibri"/>
          <w:szCs w:val="22"/>
        </w:rPr>
        <w:t xml:space="preserve">Stavy zvířat – jedná se o počty zvířat v jednotlivých kategoriích chovaných na provozovnách subjektu vždy </w:t>
      </w:r>
      <w:r w:rsidR="000510AA" w:rsidRPr="009A5F5E">
        <w:rPr>
          <w:rFonts w:cs="Calibri"/>
          <w:szCs w:val="22"/>
        </w:rPr>
        <w:t xml:space="preserve">k poslednímu dni </w:t>
      </w:r>
      <w:r w:rsidRPr="009A5F5E">
        <w:rPr>
          <w:rFonts w:cs="Calibri"/>
          <w:szCs w:val="22"/>
        </w:rPr>
        <w:t xml:space="preserve">kalendářního </w:t>
      </w:r>
      <w:r>
        <w:rPr>
          <w:rFonts w:cs="Calibri"/>
          <w:szCs w:val="22"/>
        </w:rPr>
        <w:t xml:space="preserve">měsíce. Typ výpočtu určuje, </w:t>
      </w:r>
      <w:r w:rsidR="00385734">
        <w:rPr>
          <w:rFonts w:cs="Calibri"/>
          <w:szCs w:val="22"/>
        </w:rPr>
        <w:br/>
      </w:r>
      <w:r>
        <w:rPr>
          <w:rFonts w:cs="Calibri"/>
          <w:szCs w:val="22"/>
        </w:rPr>
        <w:t>o které kalendářní měsíce se jedná.</w:t>
      </w:r>
    </w:p>
    <w:p w14:paraId="14F64F76" w14:textId="62CBACA9" w:rsidR="000510AA" w:rsidRDefault="00F93B29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Jednotlivé kategorie zvířat</w:t>
      </w:r>
      <w:r w:rsidR="009A5F5E">
        <w:rPr>
          <w:rFonts w:cs="Calibri"/>
          <w:szCs w:val="22"/>
        </w:rPr>
        <w:t xml:space="preserve"> a jejich koeficient přepočtu na VDJ je</w:t>
      </w:r>
      <w:r w:rsidR="000510AA" w:rsidRPr="00D37780">
        <w:rPr>
          <w:rFonts w:cs="Calibri"/>
          <w:szCs w:val="22"/>
        </w:rPr>
        <w:t xml:space="preserve"> </w:t>
      </w:r>
      <w:r w:rsidR="009A5F5E">
        <w:rPr>
          <w:rFonts w:cs="Calibri"/>
          <w:szCs w:val="22"/>
        </w:rPr>
        <w:t>uveden</w:t>
      </w:r>
      <w:r>
        <w:rPr>
          <w:rFonts w:cs="Calibri"/>
          <w:szCs w:val="22"/>
        </w:rPr>
        <w:t xml:space="preserve"> v</w:t>
      </w:r>
      <w:r w:rsidR="009A5F5E">
        <w:rPr>
          <w:rFonts w:cs="Calibri"/>
          <w:szCs w:val="22"/>
        </w:rPr>
        <w:t> </w:t>
      </w:r>
      <w:r>
        <w:rPr>
          <w:rFonts w:cs="Calibri"/>
          <w:szCs w:val="22"/>
        </w:rPr>
        <w:t>tabulce</w:t>
      </w:r>
      <w:r w:rsidR="009A5F5E">
        <w:rPr>
          <w:rFonts w:cs="Calibri"/>
          <w:szCs w:val="22"/>
        </w:rPr>
        <w:t xml:space="preserve"> </w:t>
      </w:r>
      <w:r w:rsidR="0062621E">
        <w:rPr>
          <w:rFonts w:cs="Calibri"/>
          <w:szCs w:val="22"/>
        </w:rPr>
        <w:t>níže. Jedná se o tabulku z Přílohy č. 2 nové vyhlášky.</w:t>
      </w:r>
      <w:r>
        <w:rPr>
          <w:rFonts w:cs="Calibri"/>
          <w:szCs w:val="22"/>
        </w:rPr>
        <w:t xml:space="preserve"> V tabulce je uveden i sloupec s ročními normativy jako podklad pro kapitolu výpočet spotřeby dle normativů.</w:t>
      </w:r>
    </w:p>
    <w:p w14:paraId="1A7427CC" w14:textId="104C7285" w:rsidR="00F93B29" w:rsidRPr="00D37780" w:rsidRDefault="00781B7A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Skot - </w:t>
      </w:r>
      <w:r w:rsidR="00F93B29" w:rsidRPr="00D37780">
        <w:rPr>
          <w:rFonts w:cs="Calibri"/>
          <w:szCs w:val="22"/>
        </w:rPr>
        <w:t xml:space="preserve">rozlišuje </w:t>
      </w:r>
      <w:r>
        <w:rPr>
          <w:rFonts w:cs="Calibri"/>
          <w:szCs w:val="22"/>
        </w:rPr>
        <w:t xml:space="preserve">se </w:t>
      </w:r>
      <w:r w:rsidR="00F93B29" w:rsidRPr="00D37780">
        <w:rPr>
          <w:rFonts w:cs="Calibri"/>
          <w:szCs w:val="22"/>
        </w:rPr>
        <w:t>mezi do</w:t>
      </w:r>
      <w:r w:rsidR="009A5F5E">
        <w:rPr>
          <w:rFonts w:cs="Calibri"/>
          <w:szCs w:val="22"/>
        </w:rPr>
        <w:t>jený/nedojený nebo samec/samice</w:t>
      </w:r>
    </w:p>
    <w:p w14:paraId="48531AD0" w14:textId="77777777" w:rsidR="000510AA" w:rsidRPr="00D37780" w:rsidRDefault="000510AA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D37780">
        <w:rPr>
          <w:rFonts w:cs="Calibri"/>
          <w:szCs w:val="22"/>
        </w:rPr>
        <w:t>Koně</w:t>
      </w:r>
    </w:p>
    <w:p w14:paraId="37387933" w14:textId="0C776F75" w:rsidR="000510AA" w:rsidRPr="00D37780" w:rsidRDefault="000510AA" w:rsidP="00625B90">
      <w:pPr>
        <w:pStyle w:val="Odstavecseseznamem"/>
        <w:numPr>
          <w:ilvl w:val="1"/>
          <w:numId w:val="11"/>
        </w:numPr>
        <w:jc w:val="both"/>
        <w:rPr>
          <w:rFonts w:cs="Calibri"/>
          <w:szCs w:val="22"/>
        </w:rPr>
      </w:pPr>
      <w:r w:rsidRPr="00D37780">
        <w:rPr>
          <w:rFonts w:cs="Calibri"/>
          <w:szCs w:val="22"/>
        </w:rPr>
        <w:t>Zdrojem dat je registr koní v hospodářství vedený na Portálu farmáře</w:t>
      </w:r>
    </w:p>
    <w:p w14:paraId="0C8E78FD" w14:textId="04933607" w:rsidR="000510AA" w:rsidRDefault="000510AA" w:rsidP="00625B90">
      <w:pPr>
        <w:pStyle w:val="Odstavecseseznamem"/>
        <w:numPr>
          <w:ilvl w:val="1"/>
          <w:numId w:val="11"/>
        </w:numPr>
        <w:jc w:val="both"/>
        <w:rPr>
          <w:rFonts w:cs="Calibri"/>
          <w:szCs w:val="22"/>
        </w:rPr>
      </w:pPr>
      <w:r w:rsidRPr="00D37780">
        <w:rPr>
          <w:rFonts w:cs="Calibri"/>
          <w:szCs w:val="22"/>
        </w:rPr>
        <w:t>Na datum založení RKH na PF nebude brán ohled</w:t>
      </w:r>
      <w:r w:rsidR="00650A40">
        <w:rPr>
          <w:rFonts w:cs="Calibri"/>
          <w:szCs w:val="22"/>
        </w:rPr>
        <w:t xml:space="preserve"> tj. můžou se brát počty zvířat s datem přísunu před založením RKH</w:t>
      </w:r>
    </w:p>
    <w:p w14:paraId="29171883" w14:textId="0B3FA922" w:rsidR="00E502EF" w:rsidRPr="00D37780" w:rsidRDefault="00E502EF" w:rsidP="00625B90">
      <w:pPr>
        <w:pStyle w:val="Odstavecseseznamem"/>
        <w:numPr>
          <w:ilvl w:val="1"/>
          <w:numId w:val="11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Berou se data i z ukončených RKH</w:t>
      </w:r>
    </w:p>
    <w:p w14:paraId="149C8D7B" w14:textId="1AA9B0BD" w:rsidR="000510AA" w:rsidRPr="009873C2" w:rsidRDefault="000510AA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9873C2">
        <w:rPr>
          <w:rFonts w:cs="Calibri"/>
          <w:szCs w:val="22"/>
        </w:rPr>
        <w:t>Koně jsou zařazovány do dvou kategorií – do 6 měsíců/ nad 6 měsíců.</w:t>
      </w:r>
      <w:r w:rsidR="009873C2" w:rsidRPr="009873C2">
        <w:t xml:space="preserve"> </w:t>
      </w:r>
      <w:r w:rsidR="009873C2">
        <w:t xml:space="preserve">Kůň bez data narození bude vždy starší 6 měsíců. Vždy se jedná o starší koně (pozn: nově narozené </w:t>
      </w:r>
      <w:r w:rsidR="009873C2" w:rsidRPr="009873C2">
        <w:lastRenderedPageBreak/>
        <w:t>koně mají vždy vyplněné datum narození)</w:t>
      </w:r>
      <w:r w:rsidRPr="009873C2">
        <w:rPr>
          <w:rFonts w:cs="Calibri"/>
          <w:szCs w:val="22"/>
        </w:rPr>
        <w:t xml:space="preserve"> Nosnice </w:t>
      </w:r>
      <w:r w:rsidR="00D37780" w:rsidRPr="009873C2">
        <w:rPr>
          <w:rFonts w:cs="Calibri"/>
          <w:szCs w:val="22"/>
        </w:rPr>
        <w:t xml:space="preserve">a kuřice </w:t>
      </w:r>
      <w:r w:rsidRPr="009873C2">
        <w:rPr>
          <w:rFonts w:cs="Calibri"/>
          <w:szCs w:val="22"/>
        </w:rPr>
        <w:t xml:space="preserve">– zařazení do kategorie nosnice </w:t>
      </w:r>
      <w:r w:rsidR="00D37780" w:rsidRPr="009873C2">
        <w:rPr>
          <w:rFonts w:cs="Calibri"/>
          <w:szCs w:val="22"/>
        </w:rPr>
        <w:t xml:space="preserve">a kuřice </w:t>
      </w:r>
      <w:r w:rsidRPr="009873C2">
        <w:rPr>
          <w:rFonts w:cs="Calibri"/>
          <w:szCs w:val="22"/>
        </w:rPr>
        <w:t>musí být shodné s pravidly pro stanovení intenzity PRV</w:t>
      </w:r>
    </w:p>
    <w:p w14:paraId="54EC6BA5" w14:textId="6156E2B0" w:rsidR="000510AA" w:rsidRPr="009873C2" w:rsidRDefault="000510AA" w:rsidP="00625B90">
      <w:pPr>
        <w:pStyle w:val="Odstavecseseznamem"/>
        <w:numPr>
          <w:ilvl w:val="1"/>
          <w:numId w:val="11"/>
        </w:numPr>
        <w:jc w:val="both"/>
        <w:rPr>
          <w:rFonts w:cs="Calibri"/>
          <w:szCs w:val="22"/>
        </w:rPr>
      </w:pPr>
      <w:r w:rsidRPr="009873C2">
        <w:rPr>
          <w:rFonts w:cs="Calibri"/>
          <w:szCs w:val="22"/>
        </w:rPr>
        <w:t>Kur domácí</w:t>
      </w:r>
    </w:p>
    <w:p w14:paraId="0CEA691E" w14:textId="77777777" w:rsidR="000510AA" w:rsidRPr="009873C2" w:rsidRDefault="000510AA" w:rsidP="00625B90">
      <w:pPr>
        <w:pStyle w:val="Odstavecseseznamem"/>
        <w:numPr>
          <w:ilvl w:val="1"/>
          <w:numId w:val="11"/>
        </w:numPr>
        <w:jc w:val="both"/>
        <w:rPr>
          <w:rFonts w:cs="Calibri"/>
          <w:szCs w:val="22"/>
        </w:rPr>
      </w:pPr>
      <w:r w:rsidRPr="009873C2">
        <w:rPr>
          <w:rFonts w:cs="Calibri"/>
          <w:szCs w:val="22"/>
        </w:rPr>
        <w:t>Finální produkce</w:t>
      </w:r>
    </w:p>
    <w:p w14:paraId="64B458BA" w14:textId="07060AF4" w:rsidR="008F1387" w:rsidRPr="009873C2" w:rsidRDefault="009873C2" w:rsidP="00625B90">
      <w:pPr>
        <w:pStyle w:val="Odstavecseseznamem"/>
        <w:numPr>
          <w:ilvl w:val="1"/>
          <w:numId w:val="11"/>
        </w:numPr>
        <w:jc w:val="both"/>
        <w:rPr>
          <w:rFonts w:cs="Calibri"/>
          <w:szCs w:val="22"/>
        </w:rPr>
      </w:pPr>
      <w:r w:rsidRPr="009873C2">
        <w:rPr>
          <w:rFonts w:cs="Calibri"/>
          <w:szCs w:val="22"/>
        </w:rPr>
        <w:t xml:space="preserve">Nosnice a </w:t>
      </w:r>
      <w:r w:rsidR="0062621E" w:rsidRPr="009873C2">
        <w:rPr>
          <w:rFonts w:cs="Calibri"/>
          <w:szCs w:val="22"/>
        </w:rPr>
        <w:t xml:space="preserve">Kuřice </w:t>
      </w:r>
    </w:p>
    <w:p w14:paraId="0A62F803" w14:textId="3E0E1DC2" w:rsidR="000510AA" w:rsidRPr="009873C2" w:rsidRDefault="000510AA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9873C2">
        <w:rPr>
          <w:rFonts w:cs="Calibri"/>
          <w:szCs w:val="22"/>
        </w:rPr>
        <w:t xml:space="preserve">Ostatní drůbež – všechna drůbež kromě nosnic a </w:t>
      </w:r>
      <w:r w:rsidR="0062621E" w:rsidRPr="009873C2">
        <w:rPr>
          <w:rFonts w:cs="Calibri"/>
          <w:szCs w:val="22"/>
        </w:rPr>
        <w:t>kuřic</w:t>
      </w:r>
      <w:r w:rsidR="009873C2" w:rsidRPr="009873C2">
        <w:rPr>
          <w:rFonts w:cs="Calibri"/>
          <w:szCs w:val="22"/>
        </w:rPr>
        <w:t xml:space="preserve"> včetně běžců</w:t>
      </w:r>
    </w:p>
    <w:p w14:paraId="11D14F5A" w14:textId="4775E863" w:rsidR="000510AA" w:rsidRPr="009873C2" w:rsidRDefault="00E3569D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9873C2">
        <w:rPr>
          <w:rFonts w:cs="Calibri"/>
          <w:szCs w:val="22"/>
        </w:rPr>
        <w:t>D</w:t>
      </w:r>
      <w:r w:rsidR="000510AA" w:rsidRPr="009873C2">
        <w:rPr>
          <w:rFonts w:cs="Calibri"/>
          <w:szCs w:val="22"/>
        </w:rPr>
        <w:t>o stavu se započítávají pouze bezpříznaková zvířata</w:t>
      </w:r>
    </w:p>
    <w:p w14:paraId="25DDF561" w14:textId="51823AD3" w:rsidR="000510AA" w:rsidRDefault="00E3569D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P</w:t>
      </w:r>
      <w:r w:rsidR="000510AA">
        <w:rPr>
          <w:rFonts w:cs="Calibri"/>
          <w:szCs w:val="22"/>
        </w:rPr>
        <w:t xml:space="preserve">ři </w:t>
      </w:r>
      <w:r w:rsidR="000510AA" w:rsidRPr="00FE39FA">
        <w:rPr>
          <w:rFonts w:cs="Calibri"/>
          <w:szCs w:val="22"/>
        </w:rPr>
        <w:t xml:space="preserve">přesunu zvířete mezi provozovnami </w:t>
      </w:r>
      <w:r w:rsidR="000510AA">
        <w:rPr>
          <w:rFonts w:cs="Calibri"/>
          <w:szCs w:val="22"/>
        </w:rPr>
        <w:t>téhož</w:t>
      </w:r>
      <w:r w:rsidR="000510AA" w:rsidRPr="00FE39FA">
        <w:rPr>
          <w:rFonts w:cs="Calibri"/>
          <w:szCs w:val="22"/>
        </w:rPr>
        <w:t xml:space="preserve"> subjektu se </w:t>
      </w:r>
      <w:r w:rsidR="000510AA">
        <w:rPr>
          <w:rFonts w:cs="Calibri"/>
          <w:szCs w:val="22"/>
        </w:rPr>
        <w:t>započítá</w:t>
      </w:r>
      <w:r w:rsidR="000510AA" w:rsidRPr="00FE39FA">
        <w:rPr>
          <w:rFonts w:cs="Calibri"/>
          <w:szCs w:val="22"/>
        </w:rPr>
        <w:t xml:space="preserve"> </w:t>
      </w:r>
      <w:r w:rsidR="000510AA">
        <w:rPr>
          <w:rFonts w:cs="Calibri"/>
          <w:szCs w:val="22"/>
        </w:rPr>
        <w:t>zvíře pouze na jedné provozovně</w:t>
      </w:r>
    </w:p>
    <w:p w14:paraId="4F1B613B" w14:textId="7EE96CC7" w:rsidR="000510AA" w:rsidRPr="00FE39FA" w:rsidRDefault="00E3569D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P</w:t>
      </w:r>
      <w:r w:rsidR="000510AA">
        <w:rPr>
          <w:rFonts w:cs="Calibri"/>
          <w:szCs w:val="22"/>
        </w:rPr>
        <w:t xml:space="preserve">ři </w:t>
      </w:r>
      <w:r w:rsidR="000510AA" w:rsidRPr="00FE39FA">
        <w:rPr>
          <w:rFonts w:cs="Calibri"/>
          <w:szCs w:val="22"/>
        </w:rPr>
        <w:t>odsunu zvířete z</w:t>
      </w:r>
      <w:r w:rsidR="000510AA">
        <w:rPr>
          <w:rFonts w:cs="Calibri"/>
          <w:szCs w:val="22"/>
        </w:rPr>
        <w:t> </w:t>
      </w:r>
      <w:r w:rsidR="000510AA" w:rsidRPr="00FE39FA">
        <w:rPr>
          <w:rFonts w:cs="Calibri"/>
          <w:szCs w:val="22"/>
        </w:rPr>
        <w:t>provozovny</w:t>
      </w:r>
      <w:r w:rsidR="000510AA">
        <w:rPr>
          <w:rFonts w:cs="Calibri"/>
          <w:szCs w:val="22"/>
        </w:rPr>
        <w:t xml:space="preserve"> subjektu</w:t>
      </w:r>
      <w:r w:rsidR="000510AA" w:rsidRPr="00FE39FA">
        <w:rPr>
          <w:rFonts w:cs="Calibri"/>
          <w:szCs w:val="22"/>
        </w:rPr>
        <w:t xml:space="preserve">, se zvíře pro den odsunu nezapočítává do stavu. V den přísunu zvířete se zvíře do stavu započítává. </w:t>
      </w:r>
    </w:p>
    <w:p w14:paraId="686DE9DA" w14:textId="61A85DA5" w:rsidR="000510AA" w:rsidRPr="00D6245A" w:rsidRDefault="00E3569D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V</w:t>
      </w:r>
      <w:r w:rsidR="000510AA" w:rsidRPr="00D6245A">
        <w:rPr>
          <w:rFonts w:cs="Calibri"/>
          <w:szCs w:val="22"/>
        </w:rPr>
        <w:t xml:space="preserve"> případě převedení provozovny k jinému subjektu poslední den v měsíci, se poslední den nezapočítá do stavu. Pokud je provozovna převedená k subjektu poslední den v měsíci, tak první den se do stavu započítá. </w:t>
      </w:r>
    </w:p>
    <w:p w14:paraId="5BB12CBB" w14:textId="4723CFDB" w:rsidR="000510AA" w:rsidRDefault="000510AA" w:rsidP="00625B90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FE39FA">
        <w:rPr>
          <w:rFonts w:cs="Calibri"/>
          <w:szCs w:val="22"/>
        </w:rPr>
        <w:t xml:space="preserve">Podmínky pro zařazení zvířete do </w:t>
      </w:r>
      <w:r>
        <w:rPr>
          <w:rFonts w:cs="Calibri"/>
          <w:szCs w:val="22"/>
        </w:rPr>
        <w:t xml:space="preserve">druhu a </w:t>
      </w:r>
      <w:r w:rsidRPr="00FE39FA">
        <w:rPr>
          <w:rFonts w:cs="Calibri"/>
          <w:szCs w:val="22"/>
        </w:rPr>
        <w:t>kategorie</w:t>
      </w:r>
      <w:r>
        <w:rPr>
          <w:rFonts w:cs="Calibri"/>
          <w:szCs w:val="22"/>
        </w:rPr>
        <w:t xml:space="preserve"> jsou stanoveny vyhláškou (viz tabulka níže), přičemž </w:t>
      </w:r>
    </w:p>
    <w:p w14:paraId="370DE849" w14:textId="77777777" w:rsidR="000510AA" w:rsidRPr="009A5F5E" w:rsidRDefault="000510AA" w:rsidP="00625B90">
      <w:pPr>
        <w:pStyle w:val="Odstavecseseznamem"/>
        <w:numPr>
          <w:ilvl w:val="1"/>
          <w:numId w:val="11"/>
        </w:numPr>
        <w:jc w:val="both"/>
        <w:rPr>
          <w:rFonts w:cs="Calibri"/>
          <w:szCs w:val="22"/>
        </w:rPr>
      </w:pPr>
      <w:r w:rsidRPr="009A5F5E">
        <w:rPr>
          <w:rFonts w:cs="Calibri"/>
          <w:szCs w:val="22"/>
        </w:rPr>
        <w:t>1 rokem se rozumí 365 dní.</w:t>
      </w:r>
    </w:p>
    <w:p w14:paraId="2B951701" w14:textId="77777777" w:rsidR="000510AA" w:rsidRPr="009A5F5E" w:rsidRDefault="000510AA" w:rsidP="00625B90">
      <w:pPr>
        <w:pStyle w:val="Odstavecseseznamem"/>
        <w:numPr>
          <w:ilvl w:val="1"/>
          <w:numId w:val="11"/>
        </w:numPr>
        <w:jc w:val="both"/>
        <w:rPr>
          <w:rFonts w:cs="Calibri"/>
          <w:szCs w:val="22"/>
        </w:rPr>
      </w:pPr>
      <w:r w:rsidRPr="009A5F5E">
        <w:rPr>
          <w:rFonts w:cs="Calibri"/>
          <w:szCs w:val="22"/>
        </w:rPr>
        <w:t xml:space="preserve">1 měsícem se rozumí 30 dní. </w:t>
      </w:r>
    </w:p>
    <w:p w14:paraId="43680221" w14:textId="5F5EFD9E" w:rsidR="00D92554" w:rsidRPr="009873C2" w:rsidRDefault="000510AA" w:rsidP="00625B90">
      <w:pPr>
        <w:pStyle w:val="Odstavecseseznamem"/>
        <w:numPr>
          <w:ilvl w:val="0"/>
          <w:numId w:val="25"/>
        </w:numPr>
        <w:jc w:val="both"/>
      </w:pPr>
      <w:r w:rsidRPr="009873C2">
        <w:rPr>
          <w:rFonts w:cs="Calibri"/>
          <w:szCs w:val="22"/>
        </w:rPr>
        <w:t>Stáří zvířat se počítá ode dne násle</w:t>
      </w:r>
      <w:r w:rsidR="00D6245A" w:rsidRPr="009873C2">
        <w:rPr>
          <w:rFonts w:cs="Calibri"/>
          <w:szCs w:val="22"/>
        </w:rPr>
        <w:t>dujícího po dni jejich narození</w:t>
      </w:r>
      <w:r w:rsidR="009873C2" w:rsidRPr="009873C2">
        <w:rPr>
          <w:rFonts w:cs="Calibri"/>
          <w:szCs w:val="22"/>
        </w:rPr>
        <w:t>.</w:t>
      </w:r>
      <w:r w:rsidR="00D6245A" w:rsidRPr="009873C2">
        <w:rPr>
          <w:rFonts w:cs="Calibri"/>
          <w:szCs w:val="22"/>
        </w:rPr>
        <w:t xml:space="preserve"> </w:t>
      </w:r>
    </w:p>
    <w:p w14:paraId="295FAFF2" w14:textId="436A9525" w:rsidR="00BC4007" w:rsidRPr="00D92554" w:rsidRDefault="00BC4007" w:rsidP="00625B90">
      <w:pPr>
        <w:pStyle w:val="Odstavecseseznamem"/>
        <w:numPr>
          <w:ilvl w:val="0"/>
          <w:numId w:val="25"/>
        </w:numPr>
      </w:pPr>
      <w:r>
        <w:t>Prasata a prasnice se budou započítávat dle stejné logiky jako u stávající zelené nafty</w:t>
      </w:r>
    </w:p>
    <w:p w14:paraId="501F8854" w14:textId="77777777" w:rsidR="000510AA" w:rsidRPr="00FE39FA" w:rsidRDefault="000510AA" w:rsidP="000510AA">
      <w:pPr>
        <w:pStyle w:val="Odstavecseseznamem"/>
        <w:widowControl w:val="0"/>
        <w:autoSpaceDE w:val="0"/>
        <w:autoSpaceDN w:val="0"/>
        <w:adjustRightInd w:val="0"/>
        <w:jc w:val="both"/>
        <w:rPr>
          <w:rFonts w:cs="Calibri"/>
          <w:szCs w:val="22"/>
        </w:rPr>
      </w:pPr>
    </w:p>
    <w:p w14:paraId="171228C5" w14:textId="6A1747EE" w:rsidR="000510AA" w:rsidRPr="009A5F5E" w:rsidRDefault="009A5F5E" w:rsidP="00F469F5">
      <w:pPr>
        <w:spacing w:after="0"/>
        <w:jc w:val="both"/>
      </w:pPr>
      <w:r w:rsidRPr="009A5F5E">
        <w:t xml:space="preserve">Tabulka </w:t>
      </w:r>
      <w:r w:rsidR="002928C5">
        <w:t>z přílohy č. 2 vyhlášky:</w:t>
      </w:r>
    </w:p>
    <w:tbl>
      <w:tblPr>
        <w:tblStyle w:val="Mkatabulky"/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6"/>
        <w:gridCol w:w="2706"/>
        <w:gridCol w:w="2983"/>
      </w:tblGrid>
      <w:tr w:rsidR="00D6245A" w:rsidRPr="00A3262D" w14:paraId="3F064F62" w14:textId="77777777" w:rsidTr="00A208EE"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999E2" w14:textId="77777777" w:rsidR="00D6245A" w:rsidRPr="00A3262D" w:rsidRDefault="00D6245A" w:rsidP="00F93B29">
            <w:pPr>
              <w:jc w:val="center"/>
              <w:rPr>
                <w:rFonts w:cs="Arial"/>
                <w:b/>
                <w:szCs w:val="22"/>
              </w:rPr>
            </w:pPr>
            <w:r w:rsidRPr="00A3262D">
              <w:rPr>
                <w:rFonts w:cs="Arial"/>
                <w:b/>
                <w:szCs w:val="22"/>
              </w:rPr>
              <w:t>Kategorie hospodářských zvířat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1382F" w14:textId="77777777" w:rsidR="00D6245A" w:rsidRPr="00A3262D" w:rsidRDefault="00D6245A" w:rsidP="00F93B29">
            <w:pPr>
              <w:jc w:val="center"/>
              <w:rPr>
                <w:rFonts w:cs="Arial"/>
                <w:b/>
                <w:szCs w:val="22"/>
              </w:rPr>
            </w:pPr>
            <w:r w:rsidRPr="00A3262D">
              <w:rPr>
                <w:rFonts w:cs="Arial"/>
                <w:b/>
                <w:szCs w:val="22"/>
              </w:rPr>
              <w:t>Koeficient pro přepočet hospodářských zvířat na velké dobytčí jednotky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</w:tcBorders>
          </w:tcPr>
          <w:p w14:paraId="14954F0D" w14:textId="26D9969C" w:rsidR="00D6245A" w:rsidRPr="00A3262D" w:rsidRDefault="00D6245A" w:rsidP="00F93B29">
            <w:pPr>
              <w:jc w:val="center"/>
              <w:rPr>
                <w:rFonts w:cs="Arial"/>
                <w:b/>
                <w:szCs w:val="22"/>
              </w:rPr>
            </w:pPr>
            <w:r w:rsidRPr="00A3262D">
              <w:rPr>
                <w:rFonts w:cs="Arial"/>
                <w:b/>
                <w:szCs w:val="22"/>
              </w:rPr>
              <w:t>Roční normativ minimá</w:t>
            </w:r>
            <w:r w:rsidR="00A208EE">
              <w:rPr>
                <w:rFonts w:cs="Arial"/>
                <w:b/>
                <w:szCs w:val="22"/>
              </w:rPr>
              <w:t xml:space="preserve">lní spotřeby minerálních olejů  </w:t>
            </w:r>
            <w:r w:rsidRPr="00A3262D">
              <w:rPr>
                <w:rFonts w:cs="Arial"/>
                <w:b/>
                <w:szCs w:val="22"/>
              </w:rPr>
              <w:t>(l / 1 velká dobytčí jednotka)</w:t>
            </w:r>
          </w:p>
        </w:tc>
      </w:tr>
      <w:tr w:rsidR="00D6245A" w:rsidRPr="00A3262D" w14:paraId="45FE30BD" w14:textId="77777777" w:rsidTr="00A208EE">
        <w:tc>
          <w:tcPr>
            <w:tcW w:w="3686" w:type="dxa"/>
          </w:tcPr>
          <w:p w14:paraId="70203C23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dojnice nad 2 roky</w:t>
            </w:r>
          </w:p>
        </w:tc>
        <w:tc>
          <w:tcPr>
            <w:tcW w:w="2706" w:type="dxa"/>
            <w:vAlign w:val="center"/>
          </w:tcPr>
          <w:p w14:paraId="1FB00D3E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1</w:t>
            </w:r>
          </w:p>
        </w:tc>
        <w:tc>
          <w:tcPr>
            <w:tcW w:w="2983" w:type="dxa"/>
            <w:vAlign w:val="center"/>
          </w:tcPr>
          <w:p w14:paraId="3FF8C72F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53,34</w:t>
            </w:r>
          </w:p>
        </w:tc>
      </w:tr>
      <w:tr w:rsidR="00D6245A" w:rsidRPr="00A3262D" w14:paraId="3549D3CD" w14:textId="77777777" w:rsidTr="00A208EE">
        <w:tc>
          <w:tcPr>
            <w:tcW w:w="3686" w:type="dxa"/>
          </w:tcPr>
          <w:p w14:paraId="43A09442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dojnice do 2 let</w:t>
            </w:r>
          </w:p>
        </w:tc>
        <w:tc>
          <w:tcPr>
            <w:tcW w:w="2706" w:type="dxa"/>
            <w:vAlign w:val="center"/>
          </w:tcPr>
          <w:p w14:paraId="02647A67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0,6</w:t>
            </w:r>
          </w:p>
        </w:tc>
        <w:tc>
          <w:tcPr>
            <w:tcW w:w="2983" w:type="dxa"/>
            <w:vAlign w:val="center"/>
          </w:tcPr>
          <w:p w14:paraId="63B86D66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53,34</w:t>
            </w:r>
          </w:p>
        </w:tc>
      </w:tr>
      <w:tr w:rsidR="00D6245A" w:rsidRPr="00A3262D" w14:paraId="6A33447B" w14:textId="77777777" w:rsidTr="00A208EE">
        <w:tc>
          <w:tcPr>
            <w:tcW w:w="3686" w:type="dxa"/>
          </w:tcPr>
          <w:p w14:paraId="6C4F1F9C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krávy bez tržní produkce mléka nad 2 roky</w:t>
            </w:r>
          </w:p>
        </w:tc>
        <w:tc>
          <w:tcPr>
            <w:tcW w:w="2706" w:type="dxa"/>
            <w:vAlign w:val="center"/>
          </w:tcPr>
          <w:p w14:paraId="327C9018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1</w:t>
            </w:r>
          </w:p>
        </w:tc>
        <w:tc>
          <w:tcPr>
            <w:tcW w:w="2983" w:type="dxa"/>
            <w:vAlign w:val="center"/>
          </w:tcPr>
          <w:p w14:paraId="6FB0BC43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32,9 </w:t>
            </w:r>
          </w:p>
        </w:tc>
      </w:tr>
      <w:tr w:rsidR="00D6245A" w:rsidRPr="00A3262D" w14:paraId="641DC3A7" w14:textId="77777777" w:rsidTr="00A208EE">
        <w:trPr>
          <w:trHeight w:val="308"/>
        </w:trPr>
        <w:tc>
          <w:tcPr>
            <w:tcW w:w="3686" w:type="dxa"/>
          </w:tcPr>
          <w:p w14:paraId="4BD7237C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krávy bez tržní produkce mléka do 2 let</w:t>
            </w:r>
          </w:p>
        </w:tc>
        <w:tc>
          <w:tcPr>
            <w:tcW w:w="2706" w:type="dxa"/>
            <w:vAlign w:val="center"/>
          </w:tcPr>
          <w:p w14:paraId="17792F1B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0,6</w:t>
            </w:r>
          </w:p>
        </w:tc>
        <w:tc>
          <w:tcPr>
            <w:tcW w:w="2983" w:type="dxa"/>
            <w:vAlign w:val="center"/>
          </w:tcPr>
          <w:p w14:paraId="1F10D73B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32,9</w:t>
            </w:r>
          </w:p>
        </w:tc>
      </w:tr>
      <w:tr w:rsidR="00D6245A" w:rsidRPr="00A3262D" w14:paraId="1B577E6A" w14:textId="77777777" w:rsidTr="00A208EE">
        <w:tc>
          <w:tcPr>
            <w:tcW w:w="3686" w:type="dxa"/>
          </w:tcPr>
          <w:p w14:paraId="64E7D9F9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jalovice a býci nad 2 roky</w:t>
            </w:r>
          </w:p>
        </w:tc>
        <w:tc>
          <w:tcPr>
            <w:tcW w:w="2706" w:type="dxa"/>
            <w:vAlign w:val="center"/>
          </w:tcPr>
          <w:p w14:paraId="2DA20C69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1</w:t>
            </w:r>
          </w:p>
        </w:tc>
        <w:tc>
          <w:tcPr>
            <w:tcW w:w="2983" w:type="dxa"/>
            <w:vAlign w:val="center"/>
          </w:tcPr>
          <w:p w14:paraId="3CC2E1A6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43,62</w:t>
            </w:r>
          </w:p>
        </w:tc>
      </w:tr>
      <w:tr w:rsidR="00D6245A" w:rsidRPr="00A3262D" w14:paraId="15BE11B3" w14:textId="77777777" w:rsidTr="00A208EE">
        <w:tc>
          <w:tcPr>
            <w:tcW w:w="3686" w:type="dxa"/>
          </w:tcPr>
          <w:p w14:paraId="06996B93" w14:textId="68773421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jalovice a býci do 2 let</w:t>
            </w:r>
            <w:r w:rsidR="009873C2">
              <w:rPr>
                <w:rFonts w:cs="Arial"/>
                <w:szCs w:val="22"/>
              </w:rPr>
              <w:t xml:space="preserve"> (tj. ve věku nad 6 měsíců bez ohledu na potomka)</w:t>
            </w:r>
          </w:p>
        </w:tc>
        <w:tc>
          <w:tcPr>
            <w:tcW w:w="2706" w:type="dxa"/>
            <w:vAlign w:val="center"/>
          </w:tcPr>
          <w:p w14:paraId="46C08952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0,6</w:t>
            </w:r>
          </w:p>
        </w:tc>
        <w:tc>
          <w:tcPr>
            <w:tcW w:w="2983" w:type="dxa"/>
            <w:vAlign w:val="center"/>
          </w:tcPr>
          <w:p w14:paraId="6360DAFD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43,62</w:t>
            </w:r>
          </w:p>
        </w:tc>
      </w:tr>
      <w:tr w:rsidR="00D6245A" w:rsidRPr="00A3262D" w14:paraId="0EA3FD29" w14:textId="77777777" w:rsidTr="00A208EE">
        <w:tc>
          <w:tcPr>
            <w:tcW w:w="3686" w:type="dxa"/>
          </w:tcPr>
          <w:p w14:paraId="37B9C82F" w14:textId="5DC7CCFC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skot ve věku do 6 měsíců</w:t>
            </w:r>
            <w:r w:rsidR="00F62D2D">
              <w:rPr>
                <w:rFonts w:cs="Arial"/>
                <w:szCs w:val="22"/>
              </w:rPr>
              <w:t xml:space="preserve"> </w:t>
            </w:r>
            <w:r w:rsidR="009873C2">
              <w:rPr>
                <w:rFonts w:cs="Arial"/>
                <w:szCs w:val="22"/>
              </w:rPr>
              <w:t>(bez ohledu na případného potomka)</w:t>
            </w:r>
          </w:p>
        </w:tc>
        <w:tc>
          <w:tcPr>
            <w:tcW w:w="2706" w:type="dxa"/>
            <w:vAlign w:val="center"/>
          </w:tcPr>
          <w:p w14:paraId="6D4189D7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0,4</w:t>
            </w:r>
          </w:p>
        </w:tc>
        <w:tc>
          <w:tcPr>
            <w:tcW w:w="2983" w:type="dxa"/>
            <w:vAlign w:val="center"/>
          </w:tcPr>
          <w:p w14:paraId="0651E3FC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18,5 </w:t>
            </w:r>
          </w:p>
        </w:tc>
      </w:tr>
      <w:tr w:rsidR="00D6245A" w:rsidRPr="00A3262D" w14:paraId="1797FC23" w14:textId="77777777" w:rsidTr="00A208EE">
        <w:tc>
          <w:tcPr>
            <w:tcW w:w="3686" w:type="dxa"/>
          </w:tcPr>
          <w:p w14:paraId="4433D3BA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koně ve věku nad 6 měsíců</w:t>
            </w:r>
          </w:p>
        </w:tc>
        <w:tc>
          <w:tcPr>
            <w:tcW w:w="2706" w:type="dxa"/>
            <w:vAlign w:val="center"/>
          </w:tcPr>
          <w:p w14:paraId="134E6B80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1</w:t>
            </w:r>
          </w:p>
        </w:tc>
        <w:tc>
          <w:tcPr>
            <w:tcW w:w="2983" w:type="dxa"/>
            <w:vAlign w:val="center"/>
          </w:tcPr>
          <w:p w14:paraId="427EDAAD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 xml:space="preserve">10,87 </w:t>
            </w:r>
          </w:p>
        </w:tc>
      </w:tr>
      <w:tr w:rsidR="00D6245A" w:rsidRPr="00A3262D" w14:paraId="275BD95C" w14:textId="77777777" w:rsidTr="00A208EE">
        <w:tc>
          <w:tcPr>
            <w:tcW w:w="3686" w:type="dxa"/>
          </w:tcPr>
          <w:p w14:paraId="3CB083A9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koně ve věku do 6 měsíců</w:t>
            </w:r>
          </w:p>
        </w:tc>
        <w:tc>
          <w:tcPr>
            <w:tcW w:w="2706" w:type="dxa"/>
            <w:vAlign w:val="center"/>
          </w:tcPr>
          <w:p w14:paraId="5AB7C608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0,4</w:t>
            </w:r>
          </w:p>
        </w:tc>
        <w:tc>
          <w:tcPr>
            <w:tcW w:w="2983" w:type="dxa"/>
            <w:vAlign w:val="center"/>
          </w:tcPr>
          <w:p w14:paraId="5735005D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10,87</w:t>
            </w:r>
          </w:p>
        </w:tc>
      </w:tr>
      <w:tr w:rsidR="00D6245A" w:rsidRPr="00A3262D" w14:paraId="2453F5D0" w14:textId="77777777" w:rsidTr="00A208EE">
        <w:tc>
          <w:tcPr>
            <w:tcW w:w="3686" w:type="dxa"/>
          </w:tcPr>
          <w:p w14:paraId="09AE75A4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prasnice</w:t>
            </w:r>
          </w:p>
        </w:tc>
        <w:tc>
          <w:tcPr>
            <w:tcW w:w="2706" w:type="dxa"/>
            <w:vAlign w:val="center"/>
          </w:tcPr>
          <w:p w14:paraId="04E3D88B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0,5</w:t>
            </w:r>
          </w:p>
        </w:tc>
        <w:tc>
          <w:tcPr>
            <w:tcW w:w="2983" w:type="dxa"/>
            <w:vAlign w:val="center"/>
          </w:tcPr>
          <w:p w14:paraId="33F6F64F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7</w:t>
            </w:r>
          </w:p>
        </w:tc>
      </w:tr>
      <w:tr w:rsidR="00D6245A" w:rsidRPr="00A3262D" w14:paraId="15B81399" w14:textId="77777777" w:rsidTr="00A208EE">
        <w:tc>
          <w:tcPr>
            <w:tcW w:w="3686" w:type="dxa"/>
          </w:tcPr>
          <w:p w14:paraId="440A007B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ostatní prasata</w:t>
            </w:r>
          </w:p>
        </w:tc>
        <w:tc>
          <w:tcPr>
            <w:tcW w:w="2706" w:type="dxa"/>
            <w:vAlign w:val="center"/>
          </w:tcPr>
          <w:p w14:paraId="4EC1594E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0,3</w:t>
            </w:r>
          </w:p>
        </w:tc>
        <w:tc>
          <w:tcPr>
            <w:tcW w:w="2983" w:type="dxa"/>
            <w:vAlign w:val="center"/>
          </w:tcPr>
          <w:p w14:paraId="6A8BF161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11,67</w:t>
            </w:r>
          </w:p>
        </w:tc>
      </w:tr>
      <w:tr w:rsidR="00D6245A" w:rsidRPr="00A3262D" w14:paraId="0F661FEF" w14:textId="77777777" w:rsidTr="00A208EE">
        <w:tc>
          <w:tcPr>
            <w:tcW w:w="3686" w:type="dxa"/>
          </w:tcPr>
          <w:p w14:paraId="51D483A3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ovce a kozy ve věku nad 1 rok</w:t>
            </w:r>
          </w:p>
        </w:tc>
        <w:tc>
          <w:tcPr>
            <w:tcW w:w="2706" w:type="dxa"/>
            <w:vAlign w:val="center"/>
          </w:tcPr>
          <w:p w14:paraId="60CAE0C0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0,15</w:t>
            </w:r>
          </w:p>
        </w:tc>
        <w:tc>
          <w:tcPr>
            <w:tcW w:w="2983" w:type="dxa"/>
            <w:vAlign w:val="center"/>
          </w:tcPr>
          <w:p w14:paraId="621D0C1A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10,27</w:t>
            </w:r>
          </w:p>
        </w:tc>
      </w:tr>
      <w:tr w:rsidR="00D6245A" w:rsidRPr="00A3262D" w14:paraId="483F1D2C" w14:textId="77777777" w:rsidTr="00A208EE">
        <w:tc>
          <w:tcPr>
            <w:tcW w:w="3686" w:type="dxa"/>
          </w:tcPr>
          <w:p w14:paraId="5BE3C92C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nosnice a kuřice</w:t>
            </w:r>
          </w:p>
        </w:tc>
        <w:tc>
          <w:tcPr>
            <w:tcW w:w="2706" w:type="dxa"/>
            <w:vAlign w:val="center"/>
          </w:tcPr>
          <w:p w14:paraId="4CA98369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0,014</w:t>
            </w:r>
          </w:p>
        </w:tc>
        <w:tc>
          <w:tcPr>
            <w:tcW w:w="2983" w:type="dxa"/>
            <w:vAlign w:val="center"/>
          </w:tcPr>
          <w:p w14:paraId="1E23389A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0,405</w:t>
            </w:r>
          </w:p>
        </w:tc>
      </w:tr>
      <w:tr w:rsidR="00D6245A" w:rsidRPr="00A3262D" w14:paraId="7E282CCC" w14:textId="77777777" w:rsidTr="00A208EE">
        <w:tc>
          <w:tcPr>
            <w:tcW w:w="3686" w:type="dxa"/>
          </w:tcPr>
          <w:p w14:paraId="384F07C9" w14:textId="77777777" w:rsidR="00D6245A" w:rsidRPr="00A3262D" w:rsidRDefault="00D6245A" w:rsidP="00F93B29">
            <w:pPr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ostatní drůbež</w:t>
            </w:r>
          </w:p>
        </w:tc>
        <w:tc>
          <w:tcPr>
            <w:tcW w:w="2706" w:type="dxa"/>
            <w:vAlign w:val="center"/>
          </w:tcPr>
          <w:p w14:paraId="4AEA8BF3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0,03</w:t>
            </w:r>
          </w:p>
        </w:tc>
        <w:tc>
          <w:tcPr>
            <w:tcW w:w="2983" w:type="dxa"/>
            <w:vAlign w:val="center"/>
          </w:tcPr>
          <w:p w14:paraId="2307D2A1" w14:textId="77777777" w:rsidR="00D6245A" w:rsidRPr="00A3262D" w:rsidRDefault="00D6245A" w:rsidP="00F93B29">
            <w:pPr>
              <w:jc w:val="right"/>
              <w:rPr>
                <w:rFonts w:cs="Arial"/>
                <w:szCs w:val="22"/>
              </w:rPr>
            </w:pPr>
            <w:r w:rsidRPr="00A3262D">
              <w:rPr>
                <w:rFonts w:cs="Arial"/>
                <w:szCs w:val="22"/>
              </w:rPr>
              <w:t>0,34</w:t>
            </w:r>
          </w:p>
        </w:tc>
      </w:tr>
    </w:tbl>
    <w:p w14:paraId="52A8992F" w14:textId="77777777" w:rsidR="00B22EA6" w:rsidRDefault="00B22EA6" w:rsidP="00B22EA6"/>
    <w:p w14:paraId="274D15CB" w14:textId="4F7618B3" w:rsidR="009F0F63" w:rsidRDefault="009F0F63" w:rsidP="00A208EE">
      <w:pPr>
        <w:pStyle w:val="Nadpis3"/>
      </w:pPr>
      <w:r>
        <w:t>Výpočet výměry obhospodařované zemědělské půdy</w:t>
      </w:r>
      <w:r w:rsidR="00E91B76">
        <w:t xml:space="preserve"> </w:t>
      </w:r>
    </w:p>
    <w:p w14:paraId="5349DA13" w14:textId="0C32EAE9" w:rsidR="009F0F63" w:rsidRPr="00E91B76" w:rsidRDefault="009F0F63" w:rsidP="009F0F63">
      <w:pPr>
        <w:jc w:val="both"/>
      </w:pPr>
      <w:r>
        <w:t xml:space="preserve">Pro zjištění výměry obhospodařované půdy </w:t>
      </w:r>
      <w:r w:rsidR="00E91B76">
        <w:t xml:space="preserve">pro stanovení intenzity </w:t>
      </w:r>
      <w:r>
        <w:t xml:space="preserve">bude při spuštění výpočtu z IZR volána </w:t>
      </w:r>
      <w:r w:rsidRPr="00DE12EC">
        <w:rPr>
          <w:b/>
        </w:rPr>
        <w:t>webová služba LPI_ATR01A</w:t>
      </w:r>
      <w:r>
        <w:t xml:space="preserve"> s variantou volání TYPDATAKOD = ZAKLAD, poskytující data výměry účinných DPB dle kultur z registru LPIS „k datu“.</w:t>
      </w:r>
      <w:r w:rsidR="00E91B76">
        <w:t xml:space="preserve"> Dle podmínek stanovených</w:t>
      </w:r>
      <w:r>
        <w:t xml:space="preserve"> vyhláškou bude služba volána </w:t>
      </w:r>
      <w:r w:rsidRPr="00E91B76">
        <w:t xml:space="preserve">s datem platnosti (atribut DATPLATNOST) </w:t>
      </w:r>
      <w:r w:rsidRPr="00E91B76">
        <w:lastRenderedPageBreak/>
        <w:t>k poslednímu dni kalendářních měsíců zdaňovacího období</w:t>
      </w:r>
      <w:r w:rsidR="009A5F5E">
        <w:t xml:space="preserve"> podle typu výpočtu</w:t>
      </w:r>
      <w:r w:rsidR="00EA628E" w:rsidRPr="00E91B76">
        <w:t xml:space="preserve"> (</w:t>
      </w:r>
      <w:r w:rsidR="009A5F5E">
        <w:t xml:space="preserve">pro stávající intenzitu 1 datum, </w:t>
      </w:r>
      <w:r w:rsidR="00EA628E" w:rsidRPr="00E91B76">
        <w:t xml:space="preserve">pro čtvrtletní intenzitu jsou to 3 </w:t>
      </w:r>
      <w:r w:rsidR="00E91B76">
        <w:t>datumy, pro roční intenzitu 12 datumů)</w:t>
      </w:r>
      <w:r w:rsidRPr="00E91B76">
        <w:t xml:space="preserve">. </w:t>
      </w:r>
    </w:p>
    <w:p w14:paraId="600E971A" w14:textId="77777777" w:rsidR="009F0F63" w:rsidRDefault="009F0F63" w:rsidP="009F0F63">
      <w:pPr>
        <w:jc w:val="both"/>
      </w:pPr>
      <w:r w:rsidRPr="004F1892">
        <w:t>Do v</w:t>
      </w:r>
      <w:r w:rsidRPr="004F1892">
        <w:rPr>
          <w:rFonts w:cs="Calibri"/>
          <w:szCs w:val="22"/>
        </w:rPr>
        <w:t xml:space="preserve">ýměry obhospodařované zemědělské půdy </w:t>
      </w:r>
      <w:r>
        <w:rPr>
          <w:rFonts w:cs="Calibri"/>
          <w:szCs w:val="22"/>
        </w:rPr>
        <w:t xml:space="preserve">pro stanovení intenzity </w:t>
      </w:r>
      <w:r w:rsidRPr="004F1892">
        <w:rPr>
          <w:rFonts w:cs="Calibri"/>
          <w:szCs w:val="22"/>
        </w:rPr>
        <w:t>je dle vyhlášky započítávána výměra zemědělské půdy s druhem zemědělské kultury orná půda, trvalý travní porost nebo trvalá kultura</w:t>
      </w:r>
      <w:r>
        <w:rPr>
          <w:rFonts w:cs="Calibri"/>
          <w:szCs w:val="22"/>
        </w:rPr>
        <w:t>, což zahrnuje následující kultury</w:t>
      </w:r>
      <w:r>
        <w:t>:</w:t>
      </w:r>
    </w:p>
    <w:p w14:paraId="2AC798CA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790E88">
        <w:t>R – standardní orná půda</w:t>
      </w:r>
    </w:p>
    <w:p w14:paraId="463D36C7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790E88">
        <w:t>U – úhor</w:t>
      </w:r>
    </w:p>
    <w:p w14:paraId="356B4F61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>
        <w:t>G – travní porost (na orné pudě</w:t>
      </w:r>
      <w:r w:rsidRPr="00790E88">
        <w:t>)</w:t>
      </w:r>
    </w:p>
    <w:p w14:paraId="70D102F8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790E88">
        <w:t>T – trvalý travní porost</w:t>
      </w:r>
    </w:p>
    <w:p w14:paraId="1D6BCFEB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790E88">
        <w:t>V – vinice</w:t>
      </w:r>
    </w:p>
    <w:p w14:paraId="4C142C88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790E88">
        <w:t>C – chmelnice</w:t>
      </w:r>
    </w:p>
    <w:p w14:paraId="3CFD4628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790E88">
        <w:t>S – sad</w:t>
      </w:r>
    </w:p>
    <w:p w14:paraId="5B7943D2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790E88">
        <w:t>K – školka</w:t>
      </w:r>
    </w:p>
    <w:p w14:paraId="562BC094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 w:rsidRPr="00790E88">
        <w:t>J – jiná trvalá kultura</w:t>
      </w:r>
    </w:p>
    <w:p w14:paraId="6787E02E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>
        <w:t>D – rychle rostoucí dřeviny pě</w:t>
      </w:r>
      <w:r w:rsidRPr="00790E88">
        <w:t>stované ve výmladkových plantážích</w:t>
      </w:r>
    </w:p>
    <w:p w14:paraId="62B02C8F" w14:textId="77777777" w:rsidR="009F0F63" w:rsidRDefault="009F0F63" w:rsidP="009F0F63">
      <w:pPr>
        <w:autoSpaceDE w:val="0"/>
        <w:autoSpaceDN w:val="0"/>
        <w:adjustRightInd w:val="0"/>
        <w:spacing w:after="0"/>
        <w:jc w:val="both"/>
      </w:pPr>
    </w:p>
    <w:p w14:paraId="1BAA60B7" w14:textId="77777777" w:rsidR="009F0F63" w:rsidRPr="00790E88" w:rsidRDefault="009F0F63" w:rsidP="009F0F63">
      <w:pPr>
        <w:autoSpaceDE w:val="0"/>
        <w:autoSpaceDN w:val="0"/>
        <w:adjustRightInd w:val="0"/>
        <w:spacing w:after="0"/>
        <w:jc w:val="both"/>
      </w:pPr>
      <w:r>
        <w:t>Do výsledného součtu výměry nebudou započítávány kultury:</w:t>
      </w:r>
    </w:p>
    <w:p w14:paraId="724CFC22" w14:textId="77777777" w:rsidR="009F0F63" w:rsidRPr="00790E88" w:rsidRDefault="009F0F63" w:rsidP="00625B9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</w:pPr>
      <w:r>
        <w:t xml:space="preserve">O </w:t>
      </w:r>
      <w:r w:rsidRPr="00790E88">
        <w:t>– jiná kultura</w:t>
      </w:r>
    </w:p>
    <w:p w14:paraId="0E719246" w14:textId="77777777" w:rsidR="009F0F63" w:rsidRPr="00790E88" w:rsidRDefault="009F0F63" w:rsidP="00625B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790E88">
        <w:t>M –</w:t>
      </w:r>
      <w:r>
        <w:t xml:space="preserve"> mimoprodukč</w:t>
      </w:r>
      <w:r w:rsidRPr="00790E88">
        <w:t>ní plocha</w:t>
      </w:r>
    </w:p>
    <w:p w14:paraId="36054CE4" w14:textId="77777777" w:rsidR="009F0F63" w:rsidRPr="00790E88" w:rsidRDefault="009F0F63" w:rsidP="00625B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>
        <w:t>L – zalesně</w:t>
      </w:r>
      <w:r w:rsidRPr="00790E88">
        <w:t>ná půda</w:t>
      </w:r>
    </w:p>
    <w:p w14:paraId="046388EB" w14:textId="77777777" w:rsidR="009F0F63" w:rsidRPr="00790E88" w:rsidRDefault="009F0F63" w:rsidP="00625B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</w:pPr>
      <w:r w:rsidRPr="00790E88">
        <w:t>B – rybník</w:t>
      </w:r>
    </w:p>
    <w:p w14:paraId="7F0FD2CB" w14:textId="143E7023" w:rsidR="009F0F63" w:rsidRDefault="009F0F63" w:rsidP="009F0F63">
      <w:pPr>
        <w:rPr>
          <w:rFonts w:cs="Calibri"/>
          <w:szCs w:val="22"/>
        </w:rPr>
      </w:pPr>
      <w:r w:rsidRPr="00DE12EC">
        <w:rPr>
          <w:rFonts w:cs="Calibri"/>
          <w:szCs w:val="22"/>
        </w:rPr>
        <w:t>Výměra obho</w:t>
      </w:r>
      <w:r w:rsidR="00EA628E">
        <w:rPr>
          <w:rFonts w:cs="Calibri"/>
          <w:szCs w:val="22"/>
        </w:rPr>
        <w:t xml:space="preserve">spodařované zemědělské půdy se zaokrouhluje </w:t>
      </w:r>
      <w:r w:rsidRPr="00DE12EC">
        <w:rPr>
          <w:rFonts w:cs="Calibri"/>
          <w:szCs w:val="22"/>
        </w:rPr>
        <w:t>na dvě desetinná místa</w:t>
      </w:r>
      <w:r w:rsidR="00EA628E">
        <w:rPr>
          <w:rFonts w:cs="Calibri"/>
          <w:szCs w:val="22"/>
        </w:rPr>
        <w:t xml:space="preserve"> dolů</w:t>
      </w:r>
      <w:r w:rsidRPr="00DE12EC">
        <w:rPr>
          <w:rFonts w:cs="Calibri"/>
          <w:szCs w:val="22"/>
        </w:rPr>
        <w:t>.</w:t>
      </w:r>
    </w:p>
    <w:p w14:paraId="3A609DEC" w14:textId="3D34BBF2" w:rsidR="009873C2" w:rsidRDefault="009873C2" w:rsidP="009F0F63">
      <w:pPr>
        <w:rPr>
          <w:rFonts w:cs="Calibri"/>
          <w:szCs w:val="22"/>
        </w:rPr>
      </w:pPr>
    </w:p>
    <w:p w14:paraId="2B1B0DF4" w14:textId="671136CA" w:rsidR="009873C2" w:rsidRPr="009873C2" w:rsidRDefault="009873C2" w:rsidP="009F0F63">
      <w:pPr>
        <w:rPr>
          <w:rFonts w:cs="Calibri"/>
          <w:i/>
          <w:szCs w:val="22"/>
        </w:rPr>
      </w:pPr>
      <w:r w:rsidRPr="009873C2">
        <w:rPr>
          <w:rFonts w:cs="Calibri"/>
          <w:i/>
          <w:szCs w:val="22"/>
        </w:rPr>
        <w:t>Poznámka: Výše uvedené je totožné se stávající situací u zelené nafty</w:t>
      </w:r>
    </w:p>
    <w:p w14:paraId="032E6E60" w14:textId="77777777" w:rsidR="009F0F63" w:rsidRPr="00B22EA6" w:rsidRDefault="009F0F63" w:rsidP="00B22EA6"/>
    <w:p w14:paraId="178F5DBF" w14:textId="77777777" w:rsidR="001D7762" w:rsidRDefault="001D7762" w:rsidP="00A208EE">
      <w:pPr>
        <w:pStyle w:val="Nadpis3"/>
      </w:pPr>
      <w:r w:rsidRPr="001D7762">
        <w:t>Čtvrtletní intenzita</w:t>
      </w:r>
      <w:r>
        <w:t xml:space="preserve"> </w:t>
      </w:r>
    </w:p>
    <w:p w14:paraId="2965D07B" w14:textId="3CD8E620" w:rsidR="001D5892" w:rsidRPr="00111EB8" w:rsidRDefault="00111EB8" w:rsidP="00111EB8">
      <w:pPr>
        <w:jc w:val="both"/>
      </w:pPr>
      <w:r w:rsidRPr="00111EB8">
        <w:rPr>
          <w:szCs w:val="22"/>
        </w:rPr>
        <w:t>Pokud subjekt prokazuje spotřebu minerálních olejů evidencí o skutečné spotřebě,</w:t>
      </w:r>
      <w:r w:rsidRPr="00111EB8">
        <w:t xml:space="preserve"> daňové přiznání předkládá za kalendářní čtvrtletí (vždy zpětně), </w:t>
      </w:r>
      <w:r w:rsidRPr="00111BAD">
        <w:rPr>
          <w:b/>
        </w:rPr>
        <w:t>zdaňovacím obdobím je kalendářní čtvrtletí</w:t>
      </w:r>
      <w:r w:rsidRPr="00111EB8">
        <w:t xml:space="preserve"> a musí doložit výslednou intenzitu chovu hospodářských zvířat za toto kalendářní čtvrtletí.</w:t>
      </w:r>
    </w:p>
    <w:p w14:paraId="41FBC677" w14:textId="6D1CCC6F" w:rsidR="001D5892" w:rsidRDefault="001D5892" w:rsidP="00A208EE">
      <w:pPr>
        <w:pStyle w:val="Nadpis4"/>
      </w:pPr>
      <w:r>
        <w:t>Specifikace výpočtu Čtvrtletní intenzita</w:t>
      </w:r>
    </w:p>
    <w:p w14:paraId="0B4F5FE3" w14:textId="1B3C4D05" w:rsidR="00287AF9" w:rsidRDefault="00111EB8" w:rsidP="00287AF9">
      <w:pPr>
        <w:pStyle w:val="Textodstavce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</w:t>
      </w:r>
      <w:r w:rsidR="00287AF9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>§ 5 V</w:t>
      </w:r>
      <w:r w:rsidR="00287AF9">
        <w:rPr>
          <w:rFonts w:ascii="Arial" w:hAnsi="Arial" w:cs="Arial"/>
          <w:sz w:val="22"/>
          <w:szCs w:val="22"/>
        </w:rPr>
        <w:t>yhlášky se intenz</w:t>
      </w:r>
      <w:r>
        <w:rPr>
          <w:rFonts w:ascii="Arial" w:hAnsi="Arial" w:cs="Arial"/>
          <w:sz w:val="22"/>
          <w:szCs w:val="22"/>
        </w:rPr>
        <w:t>ita chovu hospodářských zvířat</w:t>
      </w:r>
      <w:r w:rsidR="00287AF9">
        <w:rPr>
          <w:rFonts w:ascii="Arial" w:hAnsi="Arial" w:cs="Arial"/>
          <w:sz w:val="22"/>
          <w:szCs w:val="22"/>
        </w:rPr>
        <w:t xml:space="preserve"> pro osobu uplatňující nárok na vrácení daně vypočte jako podíl</w:t>
      </w:r>
    </w:p>
    <w:p w14:paraId="7F1E3B3D" w14:textId="77777777" w:rsidR="00287AF9" w:rsidRDefault="00287AF9" w:rsidP="00843F88">
      <w:pPr>
        <w:pStyle w:val="Textpsmene"/>
        <w:ind w:left="1133" w:hanging="425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  <w:lang w:val="x-none"/>
        </w:rPr>
        <w:t>a)    počtu hospodářských zvířat</w:t>
      </w:r>
      <w:r>
        <w:rPr>
          <w:rFonts w:ascii="Arial" w:hAnsi="Arial" w:cs="Arial"/>
          <w:sz w:val="22"/>
          <w:szCs w:val="22"/>
        </w:rPr>
        <w:t>, která jsou chována touto osobou, přepočteného</w:t>
      </w:r>
      <w:r>
        <w:rPr>
          <w:rFonts w:ascii="Arial" w:hAnsi="Arial" w:cs="Arial"/>
          <w:sz w:val="22"/>
          <w:szCs w:val="22"/>
          <w:lang w:val="x-none"/>
        </w:rPr>
        <w:t xml:space="preserve"> na velké dobytčí jednotky a </w:t>
      </w:r>
    </w:p>
    <w:p w14:paraId="6B745570" w14:textId="45D380B5" w:rsidR="00287AF9" w:rsidRDefault="00287AF9" w:rsidP="00843F88">
      <w:pPr>
        <w:ind w:left="708"/>
        <w:rPr>
          <w:rFonts w:cs="Arial"/>
          <w:lang w:val="x-none"/>
        </w:rPr>
      </w:pPr>
      <w:r>
        <w:rPr>
          <w:rFonts w:cs="Arial"/>
          <w:lang w:val="x-none"/>
        </w:rPr>
        <w:t>b)    výměry zemědělské půdy obhospodařované touto osobou</w:t>
      </w:r>
    </w:p>
    <w:p w14:paraId="003B0F05" w14:textId="77777777" w:rsidR="0094779C" w:rsidRDefault="0094779C" w:rsidP="00843F88">
      <w:pPr>
        <w:ind w:left="708"/>
        <w:rPr>
          <w:rFonts w:cs="Arial"/>
          <w:lang w:val="x-none"/>
        </w:rPr>
      </w:pPr>
    </w:p>
    <w:p w14:paraId="4B072AD8" w14:textId="544F5C5F" w:rsidR="008A7EE0" w:rsidRPr="003F1A5D" w:rsidRDefault="008A7EE0" w:rsidP="003F1A5D">
      <w:pPr>
        <w:pStyle w:val="Textpsmene"/>
        <w:ind w:left="1133" w:hanging="425"/>
        <w:rPr>
          <w:rFonts w:ascii="Arial" w:hAnsi="Arial" w:cs="Arial"/>
          <w:sz w:val="22"/>
          <w:szCs w:val="22"/>
          <w:lang w:val="x-none"/>
        </w:rPr>
      </w:pPr>
      <w:r w:rsidRPr="003F1A5D">
        <w:rPr>
          <w:rFonts w:ascii="Arial" w:hAnsi="Arial" w:cs="Arial"/>
          <w:sz w:val="22"/>
          <w:szCs w:val="22"/>
          <w:lang w:val="x-none"/>
        </w:rPr>
        <w:t xml:space="preserve">ad a) Podle § 4 Vyhlášky se určí počet chovaných hospodářských zvířat pro jejich jednotlivou kategorii jako </w:t>
      </w:r>
      <w:r w:rsidRPr="0094779C">
        <w:rPr>
          <w:rFonts w:ascii="Arial" w:hAnsi="Arial" w:cs="Arial"/>
          <w:b/>
          <w:sz w:val="22"/>
          <w:szCs w:val="22"/>
          <w:lang w:val="x-none"/>
        </w:rPr>
        <w:t>aritmetický průměr stavů hospodářských zvířat</w:t>
      </w:r>
      <w:r w:rsidRPr="003F1A5D">
        <w:rPr>
          <w:rFonts w:ascii="Arial" w:hAnsi="Arial" w:cs="Arial"/>
          <w:sz w:val="22"/>
          <w:szCs w:val="22"/>
          <w:lang w:val="x-none"/>
        </w:rPr>
        <w:t xml:space="preserve"> této kategorie evidovaných pro osobu uplatňující nárok na vrácení daně k poslednímu dni každého kalendářního měsíce zdaňovacího období, za které se uplatňuje nárok na vrácení spotřební daně z minerálních olejů. Počet chovaných hospodářských zvířat se zaokrouhluje na 2 desetinná místa dolů.</w:t>
      </w:r>
    </w:p>
    <w:p w14:paraId="2AD9F926" w14:textId="77777777" w:rsidR="008A7EE0" w:rsidRPr="003F1A5D" w:rsidRDefault="008A7EE0" w:rsidP="003F1A5D">
      <w:pPr>
        <w:pStyle w:val="Textpsmene"/>
        <w:ind w:left="1133" w:hanging="425"/>
        <w:rPr>
          <w:rFonts w:ascii="Arial" w:hAnsi="Arial" w:cs="Arial"/>
          <w:sz w:val="22"/>
          <w:szCs w:val="22"/>
          <w:lang w:val="x-none"/>
        </w:rPr>
      </w:pPr>
    </w:p>
    <w:p w14:paraId="3B7D6318" w14:textId="643A479B" w:rsidR="008A7EE0" w:rsidRPr="003F1A5D" w:rsidRDefault="008A7EE0" w:rsidP="003F1A5D">
      <w:pPr>
        <w:pStyle w:val="Textpsmene"/>
        <w:ind w:left="1133" w:hanging="425"/>
        <w:rPr>
          <w:rFonts w:ascii="Arial" w:hAnsi="Arial" w:cs="Arial"/>
          <w:sz w:val="22"/>
          <w:szCs w:val="22"/>
          <w:lang w:val="x-none"/>
        </w:rPr>
      </w:pPr>
      <w:r w:rsidRPr="003F1A5D">
        <w:rPr>
          <w:rFonts w:ascii="Arial" w:hAnsi="Arial" w:cs="Arial"/>
          <w:sz w:val="22"/>
          <w:szCs w:val="22"/>
          <w:lang w:val="x-none"/>
        </w:rPr>
        <w:t xml:space="preserve">ad b) Podle § 5 Vyhlášky se vypočte výměra zemědělské půdy jako </w:t>
      </w:r>
      <w:r w:rsidRPr="0094779C">
        <w:rPr>
          <w:rFonts w:ascii="Arial" w:hAnsi="Arial" w:cs="Arial"/>
          <w:b/>
          <w:sz w:val="22"/>
          <w:szCs w:val="22"/>
          <w:lang w:val="x-none"/>
        </w:rPr>
        <w:t>aritmetický průměr výměry půdy</w:t>
      </w:r>
      <w:r w:rsidRPr="003F1A5D">
        <w:rPr>
          <w:rFonts w:ascii="Arial" w:hAnsi="Arial" w:cs="Arial"/>
          <w:sz w:val="22"/>
          <w:szCs w:val="22"/>
          <w:lang w:val="x-none"/>
        </w:rPr>
        <w:t xml:space="preserve"> k poslednímu dni každého kalendářního měsíce zdaňovacího období. Výměra se zaokrouhluje na 2 desetinná místa dolů. </w:t>
      </w:r>
    </w:p>
    <w:p w14:paraId="1CE4081B" w14:textId="77777777" w:rsidR="00843F88" w:rsidRDefault="00843F88" w:rsidP="00843F88">
      <w:pPr>
        <w:rPr>
          <w:rFonts w:cs="Arial"/>
        </w:rPr>
      </w:pPr>
    </w:p>
    <w:p w14:paraId="4EB30AE7" w14:textId="4F2039FB" w:rsidR="00843F88" w:rsidRPr="00843F88" w:rsidRDefault="00843F88" w:rsidP="00843F88">
      <w:pPr>
        <w:rPr>
          <w:rFonts w:cs="Arial"/>
        </w:rPr>
      </w:pPr>
      <w:r>
        <w:rPr>
          <w:rFonts w:cs="Arial"/>
        </w:rPr>
        <w:t xml:space="preserve">Mechanismus výpočtu </w:t>
      </w:r>
      <w:r w:rsidR="009D0C80">
        <w:rPr>
          <w:rFonts w:cs="Arial"/>
        </w:rPr>
        <w:t xml:space="preserve">čtvrtletní </w:t>
      </w:r>
      <w:r>
        <w:rPr>
          <w:rFonts w:cs="Arial"/>
        </w:rPr>
        <w:t>intenzity v</w:t>
      </w:r>
      <w:r w:rsidR="009D0C80">
        <w:rPr>
          <w:rFonts w:cs="Arial"/>
        </w:rPr>
        <w:t xml:space="preserve"> jednotlivých </w:t>
      </w:r>
      <w:r>
        <w:rPr>
          <w:rFonts w:cs="Arial"/>
        </w:rPr>
        <w:t>krocích:</w:t>
      </w:r>
    </w:p>
    <w:p w14:paraId="71ABD819" w14:textId="57D837DD" w:rsidR="00843F88" w:rsidRPr="00B6199B" w:rsidRDefault="00843F88" w:rsidP="00625B90">
      <w:pPr>
        <w:pStyle w:val="Odstavecseseznamem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>Stanovení aritmetického průměru VDJ za 3 měsíce</w:t>
      </w:r>
      <w:r w:rsidRPr="00B6199B">
        <w:rPr>
          <w:szCs w:val="22"/>
        </w:rPr>
        <w:t xml:space="preserve"> </w:t>
      </w:r>
    </w:p>
    <w:p w14:paraId="3ED4F116" w14:textId="77777777" w:rsidR="00843F88" w:rsidRPr="00843F88" w:rsidRDefault="00843F88" w:rsidP="00625B90">
      <w:pPr>
        <w:pStyle w:val="Odstavecseseznamem"/>
        <w:numPr>
          <w:ilvl w:val="0"/>
          <w:numId w:val="8"/>
        </w:numPr>
        <w:spacing w:after="0"/>
        <w:jc w:val="both"/>
        <w:rPr>
          <w:b/>
          <w:szCs w:val="22"/>
        </w:rPr>
      </w:pPr>
      <w:r>
        <w:rPr>
          <w:szCs w:val="22"/>
        </w:rPr>
        <w:t>Stanovení aritmetického průměru výměry za 3 měsíce</w:t>
      </w:r>
    </w:p>
    <w:p w14:paraId="2E82102B" w14:textId="393E29D6" w:rsidR="00843F88" w:rsidRPr="00B6199B" w:rsidRDefault="00843F88" w:rsidP="00625B90">
      <w:pPr>
        <w:pStyle w:val="Odstavecseseznamem"/>
        <w:numPr>
          <w:ilvl w:val="0"/>
          <w:numId w:val="8"/>
        </w:numPr>
        <w:spacing w:after="0"/>
        <w:jc w:val="both"/>
        <w:rPr>
          <w:szCs w:val="22"/>
        </w:rPr>
      </w:pPr>
      <w:r w:rsidRPr="00B6199B">
        <w:rPr>
          <w:b/>
          <w:szCs w:val="22"/>
        </w:rPr>
        <w:lastRenderedPageBreak/>
        <w:t>Výpočet intenzity chovu hospodářských zvířat</w:t>
      </w:r>
      <w:r w:rsidRPr="00B6199B">
        <w:rPr>
          <w:szCs w:val="22"/>
        </w:rPr>
        <w:t xml:space="preserve"> </w:t>
      </w:r>
      <w:r>
        <w:rPr>
          <w:szCs w:val="22"/>
        </w:rPr>
        <w:t xml:space="preserve">jako </w:t>
      </w:r>
      <w:r w:rsidRPr="00B6199B">
        <w:rPr>
          <w:szCs w:val="22"/>
        </w:rPr>
        <w:t xml:space="preserve">podíl </w:t>
      </w:r>
      <w:r>
        <w:rPr>
          <w:szCs w:val="22"/>
        </w:rPr>
        <w:t>aritmetického průměru VDJ a aritmetického průměru výměry.</w:t>
      </w:r>
    </w:p>
    <w:p w14:paraId="47874225" w14:textId="407E85DE" w:rsidR="00BB3A35" w:rsidRPr="00D4711A" w:rsidRDefault="00843F88" w:rsidP="00A208EE">
      <w:pPr>
        <w:pStyle w:val="Nadpis4"/>
      </w:pPr>
      <w:r w:rsidRPr="00D4711A">
        <w:t>Stanovení aritmetického průměru VDJ</w:t>
      </w:r>
      <w:r w:rsidR="009D0C80">
        <w:t xml:space="preserve"> pro Čtvrtletní intenzitu</w:t>
      </w:r>
    </w:p>
    <w:p w14:paraId="212E1B17" w14:textId="74BBDB80" w:rsidR="00843F88" w:rsidRPr="00D4711A" w:rsidRDefault="00111BAD" w:rsidP="00111EB8">
      <w:pPr>
        <w:pStyle w:val="Textodstavce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Postup výpočtu na příkladu </w:t>
      </w:r>
      <w:r w:rsidR="00843F88" w:rsidRPr="00D471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abulky</w:t>
      </w:r>
      <w:r w:rsidR="00843F88" w:rsidRPr="00D4711A">
        <w:rPr>
          <w:rFonts w:ascii="Arial" w:hAnsi="Arial" w:cs="Arial"/>
          <w:sz w:val="22"/>
          <w:szCs w:val="22"/>
        </w:rPr>
        <w:t xml:space="preserve"> </w:t>
      </w:r>
      <w:r w:rsidR="00D4711A" w:rsidRPr="00D4711A">
        <w:rPr>
          <w:rFonts w:ascii="Arial" w:hAnsi="Arial" w:cs="Arial"/>
          <w:sz w:val="22"/>
          <w:szCs w:val="22"/>
        </w:rPr>
        <w:t xml:space="preserve">1. čtvrtletí 2019 </w:t>
      </w:r>
      <w:r w:rsidR="00843F88" w:rsidRPr="00D4711A">
        <w:rPr>
          <w:rFonts w:ascii="Arial" w:hAnsi="Arial" w:cs="Arial"/>
          <w:sz w:val="22"/>
          <w:szCs w:val="22"/>
        </w:rPr>
        <w:t xml:space="preserve">v podkapitole </w:t>
      </w:r>
      <w:r w:rsidR="0094779C">
        <w:rPr>
          <w:rFonts w:ascii="Arial" w:hAnsi="Arial" w:cs="Arial"/>
          <w:sz w:val="22"/>
          <w:szCs w:val="22"/>
        </w:rPr>
        <w:t xml:space="preserve">GUI obrazovky </w:t>
      </w:r>
      <w:r w:rsidR="00843F88" w:rsidRPr="00D4711A">
        <w:rPr>
          <w:rFonts w:ascii="Arial" w:hAnsi="Arial" w:cs="Arial"/>
          <w:sz w:val="22"/>
          <w:szCs w:val="22"/>
        </w:rPr>
        <w:t>IZR ˃ Zelená nafta ˃ Čtvrtletní intenzita ˃ Detail VDJ</w:t>
      </w:r>
      <w:r w:rsidR="00D4711A" w:rsidRPr="00D4711A">
        <w:rPr>
          <w:rFonts w:ascii="Arial" w:hAnsi="Arial" w:cs="Arial"/>
          <w:sz w:val="22"/>
          <w:szCs w:val="22"/>
        </w:rPr>
        <w:t>:</w:t>
      </w:r>
    </w:p>
    <w:p w14:paraId="6F4CD4A5" w14:textId="7229633B" w:rsidR="00D4711A" w:rsidRDefault="00D4711A" w:rsidP="00625B90">
      <w:pPr>
        <w:pStyle w:val="Textodstavce"/>
        <w:numPr>
          <w:ilvl w:val="0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D4711A">
        <w:rPr>
          <w:rFonts w:ascii="Arial" w:hAnsi="Arial" w:cs="Arial"/>
          <w:sz w:val="22"/>
          <w:szCs w:val="22"/>
        </w:rPr>
        <w:t xml:space="preserve">Vypočte se aritmetický průměr počtu </w:t>
      </w:r>
      <w:r w:rsidR="00111BAD">
        <w:rPr>
          <w:rFonts w:ascii="Arial" w:hAnsi="Arial" w:cs="Arial"/>
          <w:sz w:val="22"/>
          <w:szCs w:val="22"/>
        </w:rPr>
        <w:t xml:space="preserve">kusů </w:t>
      </w:r>
      <w:r w:rsidRPr="00D4711A">
        <w:rPr>
          <w:rFonts w:ascii="Arial" w:hAnsi="Arial" w:cs="Arial"/>
          <w:sz w:val="22"/>
          <w:szCs w:val="22"/>
        </w:rPr>
        <w:t>zvířat za každou kategorii</w:t>
      </w:r>
      <w:r w:rsidR="00B7677B">
        <w:rPr>
          <w:rFonts w:ascii="Arial" w:hAnsi="Arial" w:cs="Arial"/>
          <w:sz w:val="22"/>
          <w:szCs w:val="22"/>
        </w:rPr>
        <w:t xml:space="preserve"> (tzn. ze tří hodnot)</w:t>
      </w:r>
      <w:r w:rsidR="009D0C80">
        <w:rPr>
          <w:rFonts w:ascii="Arial" w:hAnsi="Arial" w:cs="Arial"/>
          <w:sz w:val="22"/>
          <w:szCs w:val="22"/>
        </w:rPr>
        <w:t xml:space="preserve"> a zaokrouhlí se na 2 desetinná místa dolů</w:t>
      </w:r>
      <w:r w:rsidR="0094779C">
        <w:rPr>
          <w:rFonts w:ascii="Arial" w:hAnsi="Arial" w:cs="Arial"/>
          <w:sz w:val="22"/>
          <w:szCs w:val="22"/>
        </w:rPr>
        <w:t xml:space="preserve"> = Průměrný počet kusů dle kategorií. </w:t>
      </w:r>
    </w:p>
    <w:p w14:paraId="7F2E0EA6" w14:textId="0A41030D" w:rsidR="006C19B5" w:rsidRPr="006C19B5" w:rsidRDefault="006C19B5" w:rsidP="006C19B5">
      <w:pPr>
        <w:pStyle w:val="Textodstavce"/>
        <w:spacing w:before="0" w:after="0"/>
        <w:ind w:left="780"/>
        <w:rPr>
          <w:rFonts w:ascii="Arial" w:hAnsi="Arial" w:cs="Arial"/>
          <w:color w:val="FF0000"/>
          <w:sz w:val="22"/>
          <w:szCs w:val="22"/>
        </w:rPr>
      </w:pPr>
      <w:r w:rsidRPr="005C6286">
        <w:rPr>
          <w:rFonts w:ascii="Arial" w:hAnsi="Arial" w:cs="Arial"/>
          <w:color w:val="FF0000"/>
          <w:sz w:val="22"/>
          <w:szCs w:val="22"/>
        </w:rPr>
        <w:t xml:space="preserve">Pozn. Pokud nebude subjekt registrován jako chovatel </w:t>
      </w:r>
      <w:r w:rsidR="00F84454">
        <w:rPr>
          <w:rFonts w:ascii="Arial" w:hAnsi="Arial" w:cs="Arial"/>
          <w:color w:val="FF0000"/>
          <w:sz w:val="22"/>
          <w:szCs w:val="22"/>
        </w:rPr>
        <w:t>k poslednímu dni příslušného měsíce</w:t>
      </w:r>
      <w:r w:rsidRPr="005C6286">
        <w:rPr>
          <w:rFonts w:ascii="Arial" w:hAnsi="Arial" w:cs="Arial"/>
          <w:color w:val="FF0000"/>
          <w:sz w:val="22"/>
          <w:szCs w:val="22"/>
        </w:rPr>
        <w:t xml:space="preserve"> zdaňovací období, </w:t>
      </w:r>
      <w:r w:rsidR="00F61C77">
        <w:rPr>
          <w:rFonts w:ascii="Arial" w:hAnsi="Arial" w:cs="Arial"/>
          <w:color w:val="FF0000"/>
          <w:sz w:val="22"/>
          <w:szCs w:val="22"/>
        </w:rPr>
        <w:t>bud</w:t>
      </w:r>
      <w:r w:rsidR="00F84454">
        <w:rPr>
          <w:rFonts w:ascii="Arial" w:hAnsi="Arial" w:cs="Arial"/>
          <w:color w:val="FF0000"/>
          <w:sz w:val="22"/>
          <w:szCs w:val="22"/>
        </w:rPr>
        <w:t xml:space="preserve">e </w:t>
      </w:r>
      <w:r w:rsidR="00F61C77">
        <w:rPr>
          <w:rFonts w:ascii="Arial" w:hAnsi="Arial" w:cs="Arial"/>
          <w:color w:val="FF0000"/>
          <w:sz w:val="22"/>
          <w:szCs w:val="22"/>
        </w:rPr>
        <w:t>za příslušn</w:t>
      </w:r>
      <w:r w:rsidR="00F84454">
        <w:rPr>
          <w:rFonts w:ascii="Arial" w:hAnsi="Arial" w:cs="Arial"/>
          <w:color w:val="FF0000"/>
          <w:sz w:val="22"/>
          <w:szCs w:val="22"/>
        </w:rPr>
        <w:t xml:space="preserve">ý datum </w:t>
      </w:r>
      <w:r w:rsidR="00F61C77">
        <w:rPr>
          <w:rFonts w:ascii="Arial" w:hAnsi="Arial" w:cs="Arial"/>
          <w:color w:val="FF0000"/>
          <w:sz w:val="22"/>
          <w:szCs w:val="22"/>
        </w:rPr>
        <w:t>vstupovat do výpočtu 0.</w:t>
      </w:r>
    </w:p>
    <w:p w14:paraId="15657170" w14:textId="71AD09DC" w:rsidR="00D4711A" w:rsidRPr="00D4711A" w:rsidRDefault="00D4711A" w:rsidP="00625B90">
      <w:pPr>
        <w:pStyle w:val="Textodstavce"/>
        <w:numPr>
          <w:ilvl w:val="0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D4711A">
        <w:rPr>
          <w:rFonts w:ascii="Arial" w:hAnsi="Arial" w:cs="Arial"/>
          <w:sz w:val="22"/>
          <w:szCs w:val="22"/>
        </w:rPr>
        <w:t>Aritmetický průměr v každé kategorii se přepočítá na VDJ</w:t>
      </w:r>
      <w:r>
        <w:rPr>
          <w:rFonts w:ascii="Arial" w:hAnsi="Arial" w:cs="Arial"/>
          <w:sz w:val="22"/>
          <w:szCs w:val="22"/>
        </w:rPr>
        <w:t xml:space="preserve"> </w:t>
      </w:r>
      <w:r w:rsidR="00FA2A60">
        <w:rPr>
          <w:rFonts w:ascii="Arial" w:hAnsi="Arial" w:cs="Arial"/>
          <w:sz w:val="22"/>
          <w:szCs w:val="22"/>
        </w:rPr>
        <w:t xml:space="preserve">a zaokrouhlí se na 2 desetinná místa dolů </w:t>
      </w:r>
      <w:r>
        <w:rPr>
          <w:rFonts w:ascii="Arial" w:hAnsi="Arial" w:cs="Arial"/>
          <w:sz w:val="22"/>
          <w:szCs w:val="22"/>
        </w:rPr>
        <w:t>= Průměrný počet VDJ dle kategorií (předposlední řádek)</w:t>
      </w:r>
    </w:p>
    <w:p w14:paraId="7421099F" w14:textId="6242074D" w:rsidR="00D4711A" w:rsidRPr="00D4711A" w:rsidRDefault="00111BAD" w:rsidP="00625B90">
      <w:pPr>
        <w:pStyle w:val="Textodstavce"/>
        <w:numPr>
          <w:ilvl w:val="0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Aritmetický průměr VDJ</w:t>
      </w:r>
      <w:r w:rsidR="00D4711A" w:rsidRPr="00D4711A">
        <w:rPr>
          <w:rFonts w:ascii="Arial" w:hAnsi="Arial" w:cs="Arial"/>
          <w:sz w:val="22"/>
          <w:szCs w:val="22"/>
        </w:rPr>
        <w:t xml:space="preserve"> v posledním řádku je součtem </w:t>
      </w:r>
      <w:r w:rsidR="0094779C">
        <w:rPr>
          <w:rFonts w:ascii="Arial" w:hAnsi="Arial" w:cs="Arial"/>
          <w:sz w:val="22"/>
          <w:szCs w:val="22"/>
        </w:rPr>
        <w:t>hodnot uvedených v předposledním řádku (součet Průměrných počtů VDJ dle kategorií)</w:t>
      </w:r>
      <w:r>
        <w:rPr>
          <w:rFonts w:ascii="Arial" w:hAnsi="Arial" w:cs="Arial"/>
          <w:sz w:val="22"/>
          <w:szCs w:val="22"/>
        </w:rPr>
        <w:t>. Tato</w:t>
      </w:r>
      <w:r w:rsidR="00D4711A" w:rsidRPr="00D4711A">
        <w:rPr>
          <w:rFonts w:ascii="Arial" w:hAnsi="Arial" w:cs="Arial"/>
          <w:sz w:val="22"/>
          <w:szCs w:val="22"/>
        </w:rPr>
        <w:t xml:space="preserve"> hodnota </w:t>
      </w:r>
      <w:r>
        <w:rPr>
          <w:rFonts w:ascii="Arial" w:hAnsi="Arial" w:cs="Arial"/>
          <w:sz w:val="22"/>
          <w:szCs w:val="22"/>
        </w:rPr>
        <w:t xml:space="preserve">bude </w:t>
      </w:r>
      <w:r w:rsidR="00FD5D78">
        <w:rPr>
          <w:rFonts w:ascii="Arial" w:hAnsi="Arial" w:cs="Arial"/>
          <w:sz w:val="22"/>
          <w:szCs w:val="22"/>
        </w:rPr>
        <w:t xml:space="preserve">dosazená do čitatele </w:t>
      </w:r>
      <w:r w:rsidR="00FD5D78" w:rsidRPr="00FD5D78">
        <w:rPr>
          <w:rFonts w:ascii="Arial" w:hAnsi="Arial" w:cs="Arial"/>
          <w:sz w:val="22"/>
          <w:szCs w:val="22"/>
        </w:rPr>
        <w:t>pro výpočet intenzity</w:t>
      </w:r>
      <w:r w:rsidR="00D4711A" w:rsidRPr="00D4711A">
        <w:rPr>
          <w:rFonts w:ascii="Arial" w:hAnsi="Arial" w:cs="Arial"/>
          <w:sz w:val="22"/>
          <w:szCs w:val="22"/>
        </w:rPr>
        <w:t>.</w:t>
      </w:r>
    </w:p>
    <w:p w14:paraId="6F57B47A" w14:textId="3D5F5239" w:rsidR="001D5892" w:rsidRDefault="001D5892" w:rsidP="00A208EE">
      <w:pPr>
        <w:pStyle w:val="Nadpis4"/>
      </w:pPr>
      <w:r>
        <w:t xml:space="preserve">GUI obrazovky IZR </w:t>
      </w:r>
      <w:r w:rsidRPr="00F03F69">
        <w:t>˃</w:t>
      </w:r>
      <w:r>
        <w:t xml:space="preserve"> Zelená nafta </w:t>
      </w:r>
      <w:r w:rsidRPr="00F03F69">
        <w:t xml:space="preserve">˃ </w:t>
      </w:r>
      <w:r>
        <w:t xml:space="preserve">Čtvrtletní intenzita </w:t>
      </w:r>
      <w:r w:rsidRPr="00F03F69">
        <w:t>˃</w:t>
      </w:r>
      <w:r>
        <w:t xml:space="preserve"> Detail VD</w:t>
      </w:r>
      <w:r w:rsidR="006439A5">
        <w:t>J</w:t>
      </w:r>
    </w:p>
    <w:p w14:paraId="6C2E95B7" w14:textId="72977C73" w:rsidR="005B452B" w:rsidRDefault="005B452B" w:rsidP="00111BAD">
      <w:pPr>
        <w:jc w:val="both"/>
      </w:pPr>
      <w:r>
        <w:t xml:space="preserve">Z tabulky výpočtu intenzity chovu bude umožněno z buňky Počet VDJ otevřít obrazovku (v plovoucím okně) </w:t>
      </w:r>
      <w:r w:rsidRPr="001173FB">
        <w:rPr>
          <w:b/>
        </w:rPr>
        <w:t>Zelená nafta ˃ Detail VDJ</w:t>
      </w:r>
      <w:r w:rsidRPr="00D25037">
        <w:t xml:space="preserve">, která bude </w:t>
      </w:r>
      <w:r>
        <w:t>zobrazovat</w:t>
      </w:r>
      <w:r w:rsidRPr="00D25037">
        <w:t xml:space="preserve"> zdrojová data pro výpočet hodnoty Počet VDJ</w:t>
      </w:r>
      <w:r>
        <w:t>.</w:t>
      </w:r>
    </w:p>
    <w:p w14:paraId="1A1EF08A" w14:textId="77777777" w:rsidR="0094779C" w:rsidRDefault="0094779C" w:rsidP="00111BAD">
      <w:pPr>
        <w:jc w:val="both"/>
      </w:pPr>
    </w:p>
    <w:p w14:paraId="325154E1" w14:textId="77777777" w:rsidR="00111BAD" w:rsidRPr="00111BAD" w:rsidRDefault="00111BAD" w:rsidP="00111BAD">
      <w:pPr>
        <w:jc w:val="both"/>
      </w:pPr>
      <w:r w:rsidRPr="00111BAD">
        <w:t xml:space="preserve">Legenda nad tabulkou: </w:t>
      </w:r>
      <w:r w:rsidRPr="00111BAD">
        <w:rPr>
          <w:i/>
        </w:rPr>
        <w:t>Stavy zvířat podle jednotlivých kategorií za období…….</w:t>
      </w:r>
    </w:p>
    <w:p w14:paraId="396D548C" w14:textId="1AB53FFF" w:rsidR="00111BAD" w:rsidRPr="00111BAD" w:rsidRDefault="00111BAD" w:rsidP="00111BAD">
      <w:pPr>
        <w:jc w:val="both"/>
      </w:pPr>
      <w:r w:rsidRPr="00111BAD">
        <w:t>Struktura tabulky Detail VDJ:</w:t>
      </w:r>
    </w:p>
    <w:tbl>
      <w:tblPr>
        <w:tblStyle w:val="Mkatabulky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5"/>
        <w:gridCol w:w="504"/>
        <w:gridCol w:w="426"/>
        <w:gridCol w:w="425"/>
        <w:gridCol w:w="425"/>
        <w:gridCol w:w="425"/>
        <w:gridCol w:w="426"/>
        <w:gridCol w:w="708"/>
        <w:gridCol w:w="567"/>
        <w:gridCol w:w="426"/>
        <w:gridCol w:w="425"/>
        <w:gridCol w:w="425"/>
        <w:gridCol w:w="425"/>
        <w:gridCol w:w="709"/>
        <w:gridCol w:w="567"/>
      </w:tblGrid>
      <w:tr w:rsidR="00287AF9" w:rsidRPr="00BC1F88" w14:paraId="765158AB" w14:textId="4C85D8C6" w:rsidTr="00236CF3">
        <w:trPr>
          <w:cantSplit/>
          <w:trHeight w:val="2588"/>
        </w:trPr>
        <w:tc>
          <w:tcPr>
            <w:tcW w:w="2785" w:type="dxa"/>
            <w:textDirection w:val="btLr"/>
            <w:vAlign w:val="center"/>
          </w:tcPr>
          <w:p w14:paraId="32EAE1E4" w14:textId="15AC439E" w:rsidR="00287AF9" w:rsidRPr="00515494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  <w:highlight w:val="yellow"/>
              </w:rPr>
            </w:pPr>
            <w:r w:rsidRPr="00C9411A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504" w:type="dxa"/>
            <w:textDirection w:val="btLr"/>
          </w:tcPr>
          <w:p w14:paraId="77E8A950" w14:textId="36670DB0" w:rsidR="00287AF9" w:rsidRPr="00515494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Dojnice nad 2 roky </w:t>
            </w:r>
          </w:p>
          <w:p w14:paraId="33B458D3" w14:textId="77777777" w:rsidR="00287AF9" w:rsidRPr="00515494" w:rsidRDefault="00287AF9" w:rsidP="005B0069">
            <w:pPr>
              <w:tabs>
                <w:tab w:val="left" w:pos="0"/>
              </w:tabs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28C06CBF" w14:textId="20B05944" w:rsidR="00287AF9" w:rsidRPr="00515494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Dojnice do 2 let včetně </w:t>
            </w:r>
          </w:p>
          <w:p w14:paraId="7918A9E9" w14:textId="77777777" w:rsidR="00287AF9" w:rsidRPr="00515494" w:rsidRDefault="00287AF9" w:rsidP="005B0069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4CEE0138" w14:textId="749404FD" w:rsidR="00287AF9" w:rsidRPr="00515494" w:rsidRDefault="00287AF9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KBTPM nad 2 roky</w:t>
            </w:r>
          </w:p>
        </w:tc>
        <w:tc>
          <w:tcPr>
            <w:tcW w:w="425" w:type="dxa"/>
            <w:textDirection w:val="btLr"/>
          </w:tcPr>
          <w:p w14:paraId="56AD9202" w14:textId="418DCE47" w:rsidR="00287AF9" w:rsidRPr="00515494" w:rsidRDefault="00287AF9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KBTPM do 2 let</w:t>
            </w:r>
          </w:p>
        </w:tc>
        <w:tc>
          <w:tcPr>
            <w:tcW w:w="425" w:type="dxa"/>
            <w:textDirection w:val="btLr"/>
          </w:tcPr>
          <w:p w14:paraId="50522D8C" w14:textId="052CCACD" w:rsidR="00287AF9" w:rsidRPr="00515494" w:rsidRDefault="00287AF9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Jalovice a býci nad 2 roky</w:t>
            </w:r>
          </w:p>
        </w:tc>
        <w:tc>
          <w:tcPr>
            <w:tcW w:w="426" w:type="dxa"/>
            <w:textDirection w:val="btLr"/>
          </w:tcPr>
          <w:p w14:paraId="6B52FB7E" w14:textId="0BF6ED5F" w:rsidR="00287AF9" w:rsidRPr="00515494" w:rsidRDefault="00287AF9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Jalovice a býci do 2 let</w:t>
            </w:r>
          </w:p>
        </w:tc>
        <w:tc>
          <w:tcPr>
            <w:tcW w:w="708" w:type="dxa"/>
            <w:textDirection w:val="btLr"/>
          </w:tcPr>
          <w:p w14:paraId="423B3745" w14:textId="01566AFC" w:rsidR="00287AF9" w:rsidRPr="00515494" w:rsidRDefault="00287AF9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515494">
              <w:rPr>
                <w:rFonts w:ascii="Calibri" w:hAnsi="Calibri" w:cs="Calibri"/>
                <w:b/>
                <w:bCs/>
                <w:szCs w:val="22"/>
              </w:rPr>
              <w:t xml:space="preserve">Skot ve věku do 6 měsíců včetně </w:t>
            </w:r>
          </w:p>
          <w:p w14:paraId="74C433FF" w14:textId="77777777" w:rsidR="00287AF9" w:rsidRPr="00515494" w:rsidRDefault="00287AF9" w:rsidP="005B0069">
            <w:pPr>
              <w:ind w:left="113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260BA6FD" w14:textId="368F328C" w:rsidR="00287AF9" w:rsidRPr="00515494" w:rsidRDefault="00287AF9" w:rsidP="005B0069">
            <w:pPr>
              <w:ind w:left="41" w:right="113"/>
              <w:rPr>
                <w:rFonts w:ascii="Calibri" w:hAnsi="Calibri" w:cs="Calibri"/>
                <w:b/>
                <w:bCs/>
                <w:szCs w:val="22"/>
              </w:rPr>
            </w:pPr>
            <w:r w:rsidRPr="00515494">
              <w:rPr>
                <w:rFonts w:ascii="Calibri" w:hAnsi="Calibri" w:cs="Calibri"/>
                <w:b/>
                <w:bCs/>
                <w:szCs w:val="22"/>
              </w:rPr>
              <w:t xml:space="preserve">Ovce a kozy nad 1 rok </w:t>
            </w:r>
          </w:p>
          <w:p w14:paraId="2811FA60" w14:textId="77777777" w:rsidR="00287AF9" w:rsidRPr="00515494" w:rsidRDefault="00287AF9" w:rsidP="005B0069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54BEECC5" w14:textId="05EB6052" w:rsidR="00287AF9" w:rsidRPr="00515494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Koně </w:t>
            </w:r>
            <w:r>
              <w:rPr>
                <w:rFonts w:cs="Calibri"/>
                <w:b/>
                <w:szCs w:val="22"/>
              </w:rPr>
              <w:t xml:space="preserve">nad </w:t>
            </w:r>
            <w:r w:rsidRPr="00515494">
              <w:rPr>
                <w:rFonts w:cs="Calibri"/>
                <w:b/>
                <w:szCs w:val="22"/>
              </w:rPr>
              <w:t xml:space="preserve">6 měsíců </w:t>
            </w:r>
          </w:p>
          <w:p w14:paraId="3B8E2EBD" w14:textId="77777777" w:rsidR="00287AF9" w:rsidRPr="00515494" w:rsidRDefault="00287AF9" w:rsidP="005B0069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58A3D516" w14:textId="31DAEBA7" w:rsidR="00287AF9" w:rsidRPr="00515494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>Koně do 6 měsíců včetně</w:t>
            </w:r>
          </w:p>
          <w:p w14:paraId="20329153" w14:textId="77777777" w:rsidR="00287AF9" w:rsidRPr="00515494" w:rsidRDefault="00287AF9" w:rsidP="005B0069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1B36A6D0" w14:textId="077D24DA" w:rsidR="00287AF9" w:rsidRPr="00515494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Prasnice</w:t>
            </w:r>
          </w:p>
        </w:tc>
        <w:tc>
          <w:tcPr>
            <w:tcW w:w="425" w:type="dxa"/>
            <w:textDirection w:val="btLr"/>
          </w:tcPr>
          <w:p w14:paraId="70500CF5" w14:textId="66224BAA" w:rsidR="00287AF9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Ostatní prasata</w:t>
            </w:r>
          </w:p>
        </w:tc>
        <w:tc>
          <w:tcPr>
            <w:tcW w:w="709" w:type="dxa"/>
            <w:textDirection w:val="btLr"/>
          </w:tcPr>
          <w:p w14:paraId="511B94DF" w14:textId="31A06641" w:rsidR="00287AF9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Nosnice a kuřice</w:t>
            </w:r>
          </w:p>
        </w:tc>
        <w:tc>
          <w:tcPr>
            <w:tcW w:w="567" w:type="dxa"/>
            <w:textDirection w:val="btLr"/>
          </w:tcPr>
          <w:p w14:paraId="45D9F394" w14:textId="7B341865" w:rsidR="00287AF9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Ostatní drůbež</w:t>
            </w:r>
          </w:p>
        </w:tc>
      </w:tr>
      <w:tr w:rsidR="00287AF9" w:rsidRPr="0000434F" w14:paraId="2A54EF25" w14:textId="556251D3" w:rsidTr="00236CF3">
        <w:tc>
          <w:tcPr>
            <w:tcW w:w="2785" w:type="dxa"/>
          </w:tcPr>
          <w:p w14:paraId="4D6FF414" w14:textId="568CB6AF" w:rsidR="00287AF9" w:rsidRPr="00C64B95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  <w:r w:rsidRPr="00C9411A">
              <w:rPr>
                <w:rFonts w:cs="Arial"/>
                <w:b/>
                <w:sz w:val="18"/>
                <w:szCs w:val="18"/>
              </w:rPr>
              <w:t>31.</w:t>
            </w:r>
            <w:r>
              <w:rPr>
                <w:rFonts w:cs="Arial"/>
                <w:b/>
                <w:sz w:val="18"/>
                <w:szCs w:val="18"/>
              </w:rPr>
              <w:t>1.2019</w:t>
            </w:r>
          </w:p>
        </w:tc>
        <w:tc>
          <w:tcPr>
            <w:tcW w:w="504" w:type="dxa"/>
          </w:tcPr>
          <w:p w14:paraId="5AF3753C" w14:textId="77777777" w:rsidR="00287AF9" w:rsidRPr="00BC1F88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48E5740F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221A28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37557F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6E3D5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613296" w14:textId="7BAA3CAE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A2478E" w14:textId="69870895" w:rsidR="00287AF9" w:rsidRPr="00515494" w:rsidRDefault="00287AF9" w:rsidP="00515494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5D9FDFD6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5AF8FF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0F29D4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433FA1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D32326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4D0160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9FC6C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287AF9" w:rsidRPr="0000434F" w14:paraId="1DE16E2F" w14:textId="26857CE0" w:rsidTr="00236CF3">
        <w:tc>
          <w:tcPr>
            <w:tcW w:w="2785" w:type="dxa"/>
          </w:tcPr>
          <w:p w14:paraId="6B12946A" w14:textId="14841037" w:rsidR="00287AF9" w:rsidRPr="00C64B95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28.2.2019</w:t>
            </w:r>
          </w:p>
        </w:tc>
        <w:tc>
          <w:tcPr>
            <w:tcW w:w="504" w:type="dxa"/>
          </w:tcPr>
          <w:p w14:paraId="42D4A8F5" w14:textId="77777777" w:rsidR="00287AF9" w:rsidRPr="00BC1F88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7362A1FB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29972B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52112E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616064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60E6D3" w14:textId="50BF4FB3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ED185D" w14:textId="37DEAB5D" w:rsidR="00287AF9" w:rsidRPr="00515494" w:rsidRDefault="00287AF9" w:rsidP="00515494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07CC7D22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E9308E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8A20E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4D4FB6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02EC19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A92D56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145558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287AF9" w:rsidRPr="0000434F" w14:paraId="651924A6" w14:textId="291B051C" w:rsidTr="00236CF3">
        <w:tc>
          <w:tcPr>
            <w:tcW w:w="2785" w:type="dxa"/>
          </w:tcPr>
          <w:p w14:paraId="558958F6" w14:textId="0F6CF93A" w:rsidR="00287AF9" w:rsidRPr="00C64B95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31.3.2019</w:t>
            </w:r>
          </w:p>
        </w:tc>
        <w:tc>
          <w:tcPr>
            <w:tcW w:w="504" w:type="dxa"/>
          </w:tcPr>
          <w:p w14:paraId="1126CA7C" w14:textId="77777777" w:rsidR="00287AF9" w:rsidRPr="00BC1F88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1832A6DB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4DF88F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284148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9E9D69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6F6546" w14:textId="70BBB86A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37CEB0" w14:textId="448416E7" w:rsidR="00287AF9" w:rsidRPr="00515494" w:rsidRDefault="00287AF9" w:rsidP="00515494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7A011970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39E649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43718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993E64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FB251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A84D4E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FCB7B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94779C" w:rsidRPr="0000434F" w14:paraId="3529A6BC" w14:textId="77777777" w:rsidTr="00236CF3">
        <w:tc>
          <w:tcPr>
            <w:tcW w:w="2785" w:type="dxa"/>
          </w:tcPr>
          <w:p w14:paraId="170719CF" w14:textId="19EE5603" w:rsidR="0094779C" w:rsidRDefault="0094779C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Průměrný počet kusů dle kategorií</w:t>
            </w:r>
          </w:p>
        </w:tc>
        <w:tc>
          <w:tcPr>
            <w:tcW w:w="504" w:type="dxa"/>
          </w:tcPr>
          <w:p w14:paraId="0675E728" w14:textId="77777777" w:rsidR="0094779C" w:rsidRPr="00BC1F88" w:rsidRDefault="0094779C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74318B8C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C36588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1AED00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02BD44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23B040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2D49DD" w14:textId="77777777" w:rsidR="0094779C" w:rsidRPr="00515494" w:rsidRDefault="0094779C" w:rsidP="00515494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0277691F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0888D4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5FA31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0C1E16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EB2E9A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67801E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AAE541" w14:textId="77777777" w:rsidR="0094779C" w:rsidRPr="0000434F" w:rsidRDefault="0094779C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287AF9" w:rsidRPr="00A51002" w14:paraId="3BA69D62" w14:textId="1F05CC0E" w:rsidTr="00236CF3">
        <w:tc>
          <w:tcPr>
            <w:tcW w:w="2785" w:type="dxa"/>
            <w:vAlign w:val="center"/>
          </w:tcPr>
          <w:p w14:paraId="78317F7D" w14:textId="5FB1F9B4" w:rsidR="00287AF9" w:rsidRPr="009D0C80" w:rsidRDefault="00287AF9" w:rsidP="00287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D0C80">
              <w:rPr>
                <w:rFonts w:ascii="Calibri" w:hAnsi="Calibri" w:cs="Calibri"/>
                <w:b/>
                <w:sz w:val="18"/>
                <w:szCs w:val="18"/>
              </w:rPr>
              <w:t>Koeficient přepočtu</w:t>
            </w:r>
            <w:r w:rsidR="009D0C80" w:rsidRPr="009D0C80">
              <w:rPr>
                <w:rFonts w:ascii="Calibri" w:hAnsi="Calibri" w:cs="Calibri"/>
                <w:b/>
                <w:sz w:val="18"/>
                <w:szCs w:val="18"/>
              </w:rPr>
              <w:t xml:space="preserve"> na VDJ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DF4C7FD" w14:textId="77777777" w:rsidR="00287AF9" w:rsidRPr="00A51002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jc w:val="center"/>
              <w:rPr>
                <w:rFonts w:cs="Calibri"/>
                <w:sz w:val="16"/>
                <w:szCs w:val="16"/>
              </w:rPr>
            </w:pPr>
            <w:r w:rsidRPr="00A51002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2A8F160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8107AED" w14:textId="3FAEED4A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27E8469" w14:textId="595A4D1A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DF8616" w14:textId="67E69416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81C07EA" w14:textId="13CBFA05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40E01E" w14:textId="5BF3193C" w:rsidR="00287AF9" w:rsidRPr="00A51002" w:rsidRDefault="00287AF9" w:rsidP="00515494">
            <w:pPr>
              <w:ind w:left="26" w:right="113"/>
              <w:rPr>
                <w:rFonts w:ascii="Calibri" w:hAnsi="Calibri" w:cs="Calibri"/>
                <w:bCs/>
                <w:sz w:val="16"/>
                <w:szCs w:val="16"/>
              </w:rPr>
            </w:pPr>
            <w:r w:rsidRPr="00A51002">
              <w:rPr>
                <w:rFonts w:ascii="Calibri" w:hAnsi="Calibri" w:cs="Calibri"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E2BC7B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265B5DE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2FED0CD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B736CF" w14:textId="66FB7B5C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92C064A" w14:textId="4CBD984A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98B718" w14:textId="717FA945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71ED5C" w14:textId="1898C3AB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0,03</w:t>
            </w:r>
          </w:p>
        </w:tc>
      </w:tr>
      <w:tr w:rsidR="00287AF9" w:rsidRPr="00A51002" w14:paraId="4B2FD402" w14:textId="77777777" w:rsidTr="00287AF9">
        <w:tc>
          <w:tcPr>
            <w:tcW w:w="2785" w:type="dxa"/>
            <w:vAlign w:val="center"/>
          </w:tcPr>
          <w:p w14:paraId="56C36CCF" w14:textId="0A1E3851" w:rsidR="00287AF9" w:rsidRPr="00A51002" w:rsidRDefault="00287AF9" w:rsidP="00287AF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Průměrný počet VDJ dle kategorií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232338B" w14:textId="77777777" w:rsidR="00287AF9" w:rsidRPr="00A51002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F01603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7896BF8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E00051A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D08187" w14:textId="77777777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705CBAB" w14:textId="77777777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633EBB" w14:textId="77777777" w:rsidR="00287AF9" w:rsidRPr="00A51002" w:rsidRDefault="00287AF9" w:rsidP="00515494">
            <w:pPr>
              <w:ind w:left="26" w:right="113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6A7416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4F4360C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7CA6431" w14:textId="77777777" w:rsidR="00287AF9" w:rsidRPr="00A51002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A729321" w14:textId="77777777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8831EF8" w14:textId="77777777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4802F6" w14:textId="77777777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A65C4E" w14:textId="77777777" w:rsidR="00287AF9" w:rsidRDefault="00287AF9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7AF9" w:rsidRPr="0000434F" w14:paraId="236907F9" w14:textId="79ABA5B4" w:rsidTr="00287AF9">
        <w:trPr>
          <w:trHeight w:val="417"/>
        </w:trPr>
        <w:tc>
          <w:tcPr>
            <w:tcW w:w="2785" w:type="dxa"/>
            <w:tcBorders>
              <w:right w:val="single" w:sz="8" w:space="0" w:color="auto"/>
            </w:tcBorders>
            <w:vAlign w:val="center"/>
          </w:tcPr>
          <w:p w14:paraId="03A21C93" w14:textId="6514AD6A" w:rsidR="00287AF9" w:rsidRPr="00A51002" w:rsidRDefault="00111BAD" w:rsidP="00287AF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  <w:r>
              <w:rPr>
                <w:rFonts w:cs="Arial"/>
                <w:b/>
                <w:sz w:val="18"/>
                <w:szCs w:val="18"/>
              </w:rPr>
              <w:t>Aritmetický průměr VDJ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D2EDFAF" w14:textId="77777777" w:rsidR="00287AF9" w:rsidRPr="00BC1F88" w:rsidRDefault="00287AF9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0A483AD3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E645DED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38DE985A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3F895E2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6A31400E" w14:textId="1127EE95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10055765" w14:textId="06684BD1" w:rsidR="00287AF9" w:rsidRPr="00515494" w:rsidRDefault="00287AF9" w:rsidP="00515494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7F66DA5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03D93660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3F07B5C6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B1D8252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3B8B32A2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3CCD78CF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00EEF0" w14:textId="77777777" w:rsidR="00287AF9" w:rsidRPr="0000434F" w:rsidRDefault="00287AF9" w:rsidP="005B006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1AD7BDF" w14:textId="038AFAEE" w:rsidR="00D4711A" w:rsidRPr="00FD5D78" w:rsidRDefault="00D4711A" w:rsidP="00A208EE">
      <w:pPr>
        <w:pStyle w:val="Nadpis4"/>
      </w:pPr>
      <w:r w:rsidRPr="00FD5D78">
        <w:t xml:space="preserve">Stanovení aritmetického průměru </w:t>
      </w:r>
      <w:r w:rsidR="00FD5D78">
        <w:t>výměry zemědělské půdy</w:t>
      </w:r>
      <w:r w:rsidR="009D0C80">
        <w:t xml:space="preserve"> pro Čtvrtletní intenzitu</w:t>
      </w:r>
    </w:p>
    <w:p w14:paraId="1F54D2CE" w14:textId="573E41CE" w:rsidR="00B7677B" w:rsidRDefault="00111BAD" w:rsidP="00B7677B">
      <w:pPr>
        <w:pStyle w:val="Textodstavce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Postup výpočtu na příkladu </w:t>
      </w:r>
      <w:r w:rsidR="00B7677B" w:rsidRPr="00D471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abulky</w:t>
      </w:r>
      <w:r w:rsidR="00B7677B" w:rsidRPr="00D4711A">
        <w:rPr>
          <w:rFonts w:ascii="Arial" w:hAnsi="Arial" w:cs="Arial"/>
          <w:sz w:val="22"/>
          <w:szCs w:val="22"/>
        </w:rPr>
        <w:t xml:space="preserve"> 1. čtvrtletí 2019 v podkapitole </w:t>
      </w:r>
      <w:r w:rsidR="00B7677B">
        <w:rPr>
          <w:rFonts w:ascii="Arial" w:hAnsi="Arial" w:cs="Arial"/>
          <w:sz w:val="22"/>
          <w:szCs w:val="22"/>
        </w:rPr>
        <w:t xml:space="preserve">GUI obrazovky </w:t>
      </w:r>
      <w:r w:rsidR="00B7677B" w:rsidRPr="00D4711A">
        <w:rPr>
          <w:rFonts w:ascii="Arial" w:hAnsi="Arial" w:cs="Arial"/>
          <w:sz w:val="22"/>
          <w:szCs w:val="22"/>
        </w:rPr>
        <w:t xml:space="preserve">IZR ˃ Zelená nafta ˃ Čtvrtletní intenzita ˃ </w:t>
      </w:r>
      <w:r w:rsidR="00B7677B">
        <w:rPr>
          <w:rFonts w:ascii="Arial" w:hAnsi="Arial" w:cs="Arial"/>
          <w:sz w:val="22"/>
          <w:szCs w:val="22"/>
        </w:rPr>
        <w:t>Výměra zem. půdy</w:t>
      </w:r>
      <w:r w:rsidR="00B7677B" w:rsidRPr="00D4711A">
        <w:rPr>
          <w:rFonts w:ascii="Arial" w:hAnsi="Arial" w:cs="Arial"/>
          <w:sz w:val="22"/>
          <w:szCs w:val="22"/>
        </w:rPr>
        <w:t>:</w:t>
      </w:r>
    </w:p>
    <w:p w14:paraId="6F6DF0F7" w14:textId="65AD6AAA" w:rsidR="00B7677B" w:rsidRPr="00D4711A" w:rsidRDefault="00B7677B" w:rsidP="00625B90">
      <w:pPr>
        <w:pStyle w:val="Textodstavce"/>
        <w:numPr>
          <w:ilvl w:val="0"/>
          <w:numId w:val="2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 se součet výměr za všechny kultury v poptávaném dni (údaje z </w:t>
      </w:r>
      <w:r>
        <w:rPr>
          <w:b/>
        </w:rPr>
        <w:t>LPI_ATR01)</w:t>
      </w:r>
      <w:r>
        <w:rPr>
          <w:rFonts w:ascii="Arial" w:hAnsi="Arial" w:cs="Arial"/>
          <w:sz w:val="22"/>
          <w:szCs w:val="22"/>
        </w:rPr>
        <w:t xml:space="preserve"> = sloupec Výměra celkem</w:t>
      </w:r>
    </w:p>
    <w:p w14:paraId="2015AC29" w14:textId="442E1246" w:rsidR="00B7677B" w:rsidRDefault="00111BAD" w:rsidP="00625B90">
      <w:pPr>
        <w:pStyle w:val="Textodstavce"/>
        <w:numPr>
          <w:ilvl w:val="0"/>
          <w:numId w:val="2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Aritmetický průměr výměry</w:t>
      </w:r>
      <w:r w:rsidR="00FD5D78">
        <w:rPr>
          <w:rFonts w:ascii="Arial" w:hAnsi="Arial" w:cs="Arial"/>
          <w:sz w:val="22"/>
          <w:szCs w:val="22"/>
        </w:rPr>
        <w:t xml:space="preserve"> v posledním řádku je a</w:t>
      </w:r>
      <w:r w:rsidR="00B7677B" w:rsidRPr="00D4711A">
        <w:rPr>
          <w:rFonts w:ascii="Arial" w:hAnsi="Arial" w:cs="Arial"/>
          <w:sz w:val="22"/>
          <w:szCs w:val="22"/>
        </w:rPr>
        <w:t xml:space="preserve">ritmetický průměr </w:t>
      </w:r>
      <w:r w:rsidR="00FD5D78">
        <w:rPr>
          <w:rFonts w:ascii="Arial" w:hAnsi="Arial" w:cs="Arial"/>
          <w:sz w:val="22"/>
          <w:szCs w:val="22"/>
        </w:rPr>
        <w:t>tří</w:t>
      </w:r>
      <w:r w:rsidR="00B7677B">
        <w:rPr>
          <w:rFonts w:ascii="Arial" w:hAnsi="Arial" w:cs="Arial"/>
          <w:sz w:val="22"/>
          <w:szCs w:val="22"/>
        </w:rPr>
        <w:t xml:space="preserve"> hodnot</w:t>
      </w:r>
      <w:r>
        <w:rPr>
          <w:rFonts w:ascii="Arial" w:hAnsi="Arial" w:cs="Arial"/>
          <w:sz w:val="22"/>
          <w:szCs w:val="22"/>
        </w:rPr>
        <w:t xml:space="preserve"> ve sloupci Výměra celkem. Tato</w:t>
      </w:r>
      <w:r w:rsidR="00B7677B" w:rsidRPr="00FD5D78">
        <w:rPr>
          <w:rFonts w:ascii="Arial" w:hAnsi="Arial" w:cs="Arial"/>
          <w:sz w:val="22"/>
          <w:szCs w:val="22"/>
        </w:rPr>
        <w:t xml:space="preserve"> hodnota </w:t>
      </w:r>
      <w:r w:rsidR="000D6AF4">
        <w:rPr>
          <w:rFonts w:ascii="Arial" w:hAnsi="Arial" w:cs="Arial"/>
          <w:sz w:val="22"/>
          <w:szCs w:val="22"/>
        </w:rPr>
        <w:t xml:space="preserve">se zaokrouhlí na 2 desetinná místa dolů a </w:t>
      </w:r>
      <w:r>
        <w:rPr>
          <w:rFonts w:ascii="Arial" w:hAnsi="Arial" w:cs="Arial"/>
          <w:sz w:val="22"/>
          <w:szCs w:val="22"/>
        </w:rPr>
        <w:t xml:space="preserve">bude </w:t>
      </w:r>
      <w:r w:rsidR="00FD5D78">
        <w:rPr>
          <w:rFonts w:ascii="Arial" w:hAnsi="Arial" w:cs="Arial"/>
          <w:sz w:val="22"/>
          <w:szCs w:val="22"/>
        </w:rPr>
        <w:t xml:space="preserve">dosazená do jmenovatele </w:t>
      </w:r>
      <w:r w:rsidR="00B7677B" w:rsidRPr="00FD5D78">
        <w:rPr>
          <w:rFonts w:ascii="Arial" w:hAnsi="Arial" w:cs="Arial"/>
          <w:sz w:val="22"/>
          <w:szCs w:val="22"/>
        </w:rPr>
        <w:t>pro výpočet intenzity.</w:t>
      </w:r>
    </w:p>
    <w:p w14:paraId="32574041" w14:textId="0C33F8EB" w:rsidR="00F61C77" w:rsidRPr="006C19B5" w:rsidRDefault="00F61C77" w:rsidP="004753B6">
      <w:pPr>
        <w:pStyle w:val="Textodstavce"/>
        <w:spacing w:before="0" w:after="0"/>
        <w:ind w:left="780"/>
        <w:rPr>
          <w:rFonts w:ascii="Arial" w:hAnsi="Arial" w:cs="Arial"/>
          <w:color w:val="FF0000"/>
          <w:sz w:val="22"/>
          <w:szCs w:val="22"/>
        </w:rPr>
      </w:pPr>
      <w:r w:rsidRPr="005C6286">
        <w:rPr>
          <w:rFonts w:ascii="Arial" w:hAnsi="Arial" w:cs="Arial"/>
          <w:color w:val="FF0000"/>
          <w:sz w:val="22"/>
          <w:szCs w:val="22"/>
        </w:rPr>
        <w:t xml:space="preserve">Pozn. Pokud nebude subjekt registrován jako </w:t>
      </w:r>
      <w:r>
        <w:rPr>
          <w:rFonts w:ascii="Arial" w:hAnsi="Arial" w:cs="Arial"/>
          <w:color w:val="FF0000"/>
          <w:sz w:val="22"/>
          <w:szCs w:val="22"/>
        </w:rPr>
        <w:t>uživatel</w:t>
      </w:r>
      <w:r w:rsidRPr="005C6286">
        <w:rPr>
          <w:rFonts w:ascii="Arial" w:hAnsi="Arial" w:cs="Arial"/>
          <w:color w:val="FF0000"/>
          <w:sz w:val="22"/>
          <w:szCs w:val="22"/>
        </w:rPr>
        <w:t xml:space="preserve"> </w:t>
      </w:r>
      <w:r w:rsidR="00F84454">
        <w:rPr>
          <w:rFonts w:ascii="Arial" w:hAnsi="Arial" w:cs="Arial"/>
          <w:color w:val="FF0000"/>
          <w:sz w:val="22"/>
          <w:szCs w:val="22"/>
        </w:rPr>
        <w:t>k poslednímu dni příslušného měsíce zdaňovacího období</w:t>
      </w:r>
      <w:r w:rsidRPr="005C6286"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bud</w:t>
      </w:r>
      <w:r w:rsidR="00F84454">
        <w:rPr>
          <w:rFonts w:ascii="Arial" w:hAnsi="Arial" w:cs="Arial"/>
          <w:color w:val="FF0000"/>
          <w:sz w:val="22"/>
          <w:szCs w:val="22"/>
        </w:rPr>
        <w:t>e</w:t>
      </w:r>
      <w:r>
        <w:rPr>
          <w:rFonts w:ascii="Arial" w:hAnsi="Arial" w:cs="Arial"/>
          <w:color w:val="FF0000"/>
          <w:sz w:val="22"/>
          <w:szCs w:val="22"/>
        </w:rPr>
        <w:t xml:space="preserve"> za příslušné období vstupovat do výpočtu – intenzita v daném měsíci bude 0</w:t>
      </w:r>
    </w:p>
    <w:p w14:paraId="337C1C29" w14:textId="351D71BE" w:rsidR="001D5892" w:rsidRDefault="001D5892" w:rsidP="00A208EE">
      <w:pPr>
        <w:pStyle w:val="Nadpis4"/>
      </w:pPr>
      <w:r>
        <w:t xml:space="preserve">GUI obrazovky IZR </w:t>
      </w:r>
      <w:r w:rsidRPr="00F03F69">
        <w:t>˃</w:t>
      </w:r>
      <w:r>
        <w:t xml:space="preserve"> Zelená nafta </w:t>
      </w:r>
      <w:r w:rsidRPr="00F03F69">
        <w:t xml:space="preserve">˃ </w:t>
      </w:r>
      <w:r>
        <w:t xml:space="preserve">Čtvrtletní intenzita </w:t>
      </w:r>
      <w:r w:rsidRPr="00F03F69">
        <w:t>˃</w:t>
      </w:r>
      <w:r>
        <w:t xml:space="preserve"> Výměra zem. půdy</w:t>
      </w:r>
    </w:p>
    <w:p w14:paraId="008BAC1B" w14:textId="77777777" w:rsidR="00236CF3" w:rsidRDefault="00236CF3" w:rsidP="005B452B">
      <w:pPr>
        <w:jc w:val="both"/>
      </w:pPr>
      <w:r>
        <w:t xml:space="preserve">Z tabulky výpočtu intenzity chovu bude umožněno z buňky Výměra otevřít obrazovku (v plovoucím okně) </w:t>
      </w:r>
      <w:r w:rsidRPr="001173FB">
        <w:rPr>
          <w:b/>
        </w:rPr>
        <w:t xml:space="preserve">Zelená nafta ˃ </w:t>
      </w:r>
      <w:r>
        <w:rPr>
          <w:b/>
        </w:rPr>
        <w:t>Výměra zem. půdy</w:t>
      </w:r>
      <w:r w:rsidRPr="00D25037">
        <w:t xml:space="preserve">, která bude </w:t>
      </w:r>
      <w:r>
        <w:t>zobrazovat</w:t>
      </w:r>
      <w:r w:rsidRPr="00D25037">
        <w:t xml:space="preserve"> zdrojová data pro výpočet hodnoty </w:t>
      </w:r>
      <w:r>
        <w:t>výměry.</w:t>
      </w:r>
    </w:p>
    <w:p w14:paraId="6BB0C79E" w14:textId="77777777" w:rsidR="009D0C80" w:rsidRDefault="009D0C80" w:rsidP="005B452B">
      <w:pPr>
        <w:jc w:val="both"/>
      </w:pPr>
    </w:p>
    <w:p w14:paraId="588D5F72" w14:textId="4D9D20A3" w:rsidR="005B452B" w:rsidRPr="00111BAD" w:rsidRDefault="005B452B" w:rsidP="005B452B">
      <w:pPr>
        <w:jc w:val="both"/>
      </w:pPr>
      <w:r w:rsidRPr="00111BAD">
        <w:t xml:space="preserve">Legenda nad tabulkou: </w:t>
      </w:r>
      <w:r>
        <w:rPr>
          <w:i/>
        </w:rPr>
        <w:t>Výměra obhospodařované půdy</w:t>
      </w:r>
      <w:r w:rsidRPr="00111BAD">
        <w:rPr>
          <w:i/>
        </w:rPr>
        <w:t xml:space="preserve"> za období…….</w:t>
      </w:r>
    </w:p>
    <w:p w14:paraId="40E97DD6" w14:textId="4C0A753F" w:rsidR="005B452B" w:rsidRDefault="005B452B" w:rsidP="001B1313">
      <w:pPr>
        <w:jc w:val="both"/>
      </w:pPr>
      <w:r w:rsidRPr="00111BAD">
        <w:t xml:space="preserve">Struktura tabulky </w:t>
      </w:r>
      <w:r>
        <w:t>Výměra zem. půdy</w:t>
      </w:r>
      <w:r w:rsidRPr="00111BAD">
        <w:t>:</w:t>
      </w:r>
    </w:p>
    <w:tbl>
      <w:tblPr>
        <w:tblStyle w:val="Mkatabulky"/>
        <w:tblW w:w="7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485"/>
        <w:gridCol w:w="504"/>
        <w:gridCol w:w="426"/>
        <w:gridCol w:w="708"/>
        <w:gridCol w:w="426"/>
        <w:gridCol w:w="425"/>
        <w:gridCol w:w="425"/>
        <w:gridCol w:w="425"/>
        <w:gridCol w:w="567"/>
        <w:gridCol w:w="426"/>
        <w:gridCol w:w="425"/>
      </w:tblGrid>
      <w:tr w:rsidR="006439A5" w:rsidRPr="006439A5" w14:paraId="1D8F50FB" w14:textId="77777777" w:rsidTr="006439A5">
        <w:trPr>
          <w:cantSplit/>
          <w:trHeight w:val="2588"/>
        </w:trPr>
        <w:tc>
          <w:tcPr>
            <w:tcW w:w="2300" w:type="dxa"/>
            <w:textDirection w:val="btLr"/>
            <w:vAlign w:val="center"/>
          </w:tcPr>
          <w:p w14:paraId="733502F6" w14:textId="77777777" w:rsidR="006439A5" w:rsidRPr="006439A5" w:rsidRDefault="006439A5" w:rsidP="00332775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  <w:r w:rsidRPr="006439A5">
              <w:rPr>
                <w:rFonts w:ascii="Calibri" w:hAnsi="Calibri" w:cs="Calibri"/>
                <w:b/>
                <w:szCs w:val="22"/>
              </w:rPr>
              <w:t>Datum</w:t>
            </w:r>
          </w:p>
        </w:tc>
        <w:tc>
          <w:tcPr>
            <w:tcW w:w="485" w:type="dxa"/>
            <w:textDirection w:val="btLr"/>
          </w:tcPr>
          <w:p w14:paraId="53BF8895" w14:textId="3BCE1124" w:rsidR="006439A5" w:rsidRPr="006439A5" w:rsidRDefault="00287AF9" w:rsidP="00332775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  <w:highlight w:val="yellow"/>
              </w:rPr>
            </w:pPr>
            <w:r>
              <w:rPr>
                <w:rFonts w:cs="Calibri"/>
                <w:b/>
                <w:szCs w:val="22"/>
              </w:rPr>
              <w:t>Výměr</w:t>
            </w:r>
            <w:r w:rsidR="00BB3A35" w:rsidRPr="00BB3A35">
              <w:rPr>
                <w:rFonts w:cs="Calibri"/>
                <w:b/>
                <w:szCs w:val="22"/>
              </w:rPr>
              <w:t>a</w:t>
            </w:r>
            <w:r>
              <w:rPr>
                <w:rFonts w:cs="Calibri"/>
                <w:b/>
                <w:szCs w:val="22"/>
              </w:rPr>
              <w:t xml:space="preserve"> celkem</w:t>
            </w:r>
          </w:p>
        </w:tc>
        <w:tc>
          <w:tcPr>
            <w:tcW w:w="504" w:type="dxa"/>
            <w:textDirection w:val="btLr"/>
          </w:tcPr>
          <w:p w14:paraId="75E7A7A6" w14:textId="324433AF" w:rsidR="006439A5" w:rsidRPr="006439A5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6439A5">
              <w:rPr>
                <w:rFonts w:cs="Calibri"/>
                <w:b/>
              </w:rPr>
              <w:t>R – standardní orná půda</w:t>
            </w:r>
            <w:r w:rsidRPr="006439A5">
              <w:rPr>
                <w:rFonts w:cs="Calibri"/>
                <w:b/>
                <w:szCs w:val="22"/>
              </w:rPr>
              <w:t xml:space="preserve"> </w:t>
            </w:r>
          </w:p>
          <w:p w14:paraId="53177E3E" w14:textId="77777777" w:rsidR="006439A5" w:rsidRPr="006439A5" w:rsidRDefault="006439A5" w:rsidP="00332775">
            <w:pPr>
              <w:tabs>
                <w:tab w:val="left" w:pos="0"/>
              </w:tabs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475302F0" w14:textId="4CE1995E" w:rsidR="006439A5" w:rsidRPr="006439A5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6439A5">
              <w:rPr>
                <w:rFonts w:cs="Calibri"/>
                <w:b/>
              </w:rPr>
              <w:t>U – úhor</w:t>
            </w:r>
            <w:r w:rsidRPr="006439A5">
              <w:rPr>
                <w:rFonts w:cs="Calibri"/>
                <w:b/>
                <w:szCs w:val="22"/>
              </w:rPr>
              <w:t xml:space="preserve"> </w:t>
            </w:r>
          </w:p>
          <w:p w14:paraId="56A49909" w14:textId="7B09A363" w:rsidR="006439A5" w:rsidRPr="006439A5" w:rsidRDefault="00287AF9" w:rsidP="00332775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14:paraId="038FE509" w14:textId="7AEAE0F6" w:rsidR="006439A5" w:rsidRPr="006439A5" w:rsidRDefault="006439A5" w:rsidP="00332775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G – travní porost (na orné pudě)</w:t>
            </w:r>
          </w:p>
        </w:tc>
        <w:tc>
          <w:tcPr>
            <w:tcW w:w="426" w:type="dxa"/>
            <w:textDirection w:val="btLr"/>
          </w:tcPr>
          <w:p w14:paraId="425239ED" w14:textId="58A0B5A8" w:rsidR="006439A5" w:rsidRPr="006439A5" w:rsidRDefault="006439A5" w:rsidP="00332775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T – trvalý travní porost</w:t>
            </w:r>
          </w:p>
        </w:tc>
        <w:tc>
          <w:tcPr>
            <w:tcW w:w="425" w:type="dxa"/>
            <w:textDirection w:val="btLr"/>
          </w:tcPr>
          <w:p w14:paraId="678500A7" w14:textId="334C521C" w:rsidR="006439A5" w:rsidRPr="006439A5" w:rsidRDefault="006439A5" w:rsidP="00332775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V – vinice</w:t>
            </w:r>
          </w:p>
        </w:tc>
        <w:tc>
          <w:tcPr>
            <w:tcW w:w="425" w:type="dxa"/>
            <w:textDirection w:val="btLr"/>
          </w:tcPr>
          <w:p w14:paraId="7476F269" w14:textId="422FC9EC" w:rsidR="006439A5" w:rsidRPr="006439A5" w:rsidRDefault="006439A5" w:rsidP="006439A5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C – chmelnice</w:t>
            </w:r>
            <w:r w:rsidRPr="006439A5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14:paraId="09A5A8E4" w14:textId="39C234AA" w:rsidR="006439A5" w:rsidRPr="006439A5" w:rsidRDefault="006439A5" w:rsidP="006439A5">
            <w:pPr>
              <w:ind w:left="26" w:right="113"/>
              <w:rPr>
                <w:rFonts w:ascii="Calibri" w:hAnsi="Calibri" w:cs="Calibri"/>
                <w:b/>
              </w:rPr>
            </w:pPr>
            <w:r w:rsidRPr="006439A5">
              <w:rPr>
                <w:rFonts w:ascii="Calibri" w:hAnsi="Calibri" w:cs="Calibri"/>
                <w:b/>
              </w:rPr>
              <w:t xml:space="preserve">S – sad </w:t>
            </w:r>
          </w:p>
        </w:tc>
        <w:tc>
          <w:tcPr>
            <w:tcW w:w="567" w:type="dxa"/>
            <w:textDirection w:val="btLr"/>
          </w:tcPr>
          <w:p w14:paraId="334CEE79" w14:textId="2467C692" w:rsidR="006439A5" w:rsidRPr="006439A5" w:rsidRDefault="006439A5" w:rsidP="00332775">
            <w:pPr>
              <w:ind w:left="41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K – školka</w:t>
            </w:r>
            <w:r w:rsidRPr="006439A5">
              <w:rPr>
                <w:rFonts w:ascii="Calibri" w:hAnsi="Calibri" w:cs="Calibri"/>
                <w:b/>
                <w:bCs/>
                <w:szCs w:val="22"/>
              </w:rPr>
              <w:t xml:space="preserve">  </w:t>
            </w:r>
          </w:p>
          <w:p w14:paraId="296561EA" w14:textId="77777777" w:rsidR="006439A5" w:rsidRPr="006439A5" w:rsidRDefault="006439A5" w:rsidP="00332775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316A0C33" w14:textId="04216B8A" w:rsidR="006439A5" w:rsidRPr="006439A5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6439A5">
              <w:rPr>
                <w:rFonts w:cs="Calibri"/>
                <w:b/>
              </w:rPr>
              <w:t>J – jiná trvalá kultura</w:t>
            </w:r>
            <w:r w:rsidRPr="006439A5">
              <w:rPr>
                <w:rFonts w:cs="Calibri"/>
                <w:b/>
                <w:szCs w:val="22"/>
              </w:rPr>
              <w:t xml:space="preserve"> </w:t>
            </w:r>
          </w:p>
          <w:p w14:paraId="4C62D13A" w14:textId="77777777" w:rsidR="006439A5" w:rsidRPr="006439A5" w:rsidRDefault="006439A5" w:rsidP="00332775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0601699A" w14:textId="783261E3" w:rsidR="006439A5" w:rsidRPr="006439A5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6439A5">
              <w:rPr>
                <w:rFonts w:cs="Calibri"/>
                <w:b/>
              </w:rPr>
              <w:t xml:space="preserve">D – rychle rostoucí dřeviny pěstované </w:t>
            </w:r>
            <w:r w:rsidRPr="006439A5">
              <w:rPr>
                <w:rFonts w:cs="Calibri"/>
                <w:b/>
              </w:rPr>
              <w:br/>
              <w:t>ve výmladkových plantážích</w:t>
            </w:r>
            <w:r w:rsidRPr="006439A5">
              <w:rPr>
                <w:rFonts w:cs="Calibri"/>
                <w:b/>
                <w:szCs w:val="22"/>
              </w:rPr>
              <w:t xml:space="preserve"> ě</w:t>
            </w:r>
          </w:p>
          <w:p w14:paraId="7F3CF004" w14:textId="77777777" w:rsidR="006439A5" w:rsidRPr="006439A5" w:rsidRDefault="006439A5" w:rsidP="00332775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6439A5" w:rsidRPr="0000434F" w14:paraId="26F75A84" w14:textId="77777777" w:rsidTr="006439A5">
        <w:tc>
          <w:tcPr>
            <w:tcW w:w="2300" w:type="dxa"/>
          </w:tcPr>
          <w:p w14:paraId="1E2274D2" w14:textId="77777777" w:rsidR="006439A5" w:rsidRPr="00C9411A" w:rsidRDefault="006439A5" w:rsidP="00332775">
            <w:pPr>
              <w:rPr>
                <w:rFonts w:cs="Arial"/>
                <w:b/>
                <w:sz w:val="18"/>
                <w:szCs w:val="18"/>
              </w:rPr>
            </w:pPr>
            <w:r w:rsidRPr="00C9411A">
              <w:rPr>
                <w:rFonts w:cs="Arial"/>
                <w:b/>
                <w:sz w:val="18"/>
                <w:szCs w:val="18"/>
              </w:rPr>
              <w:t>31.</w:t>
            </w:r>
            <w:r>
              <w:rPr>
                <w:rFonts w:cs="Arial"/>
                <w:b/>
                <w:sz w:val="18"/>
                <w:szCs w:val="18"/>
              </w:rPr>
              <w:t>1.2019</w:t>
            </w:r>
          </w:p>
        </w:tc>
        <w:tc>
          <w:tcPr>
            <w:tcW w:w="485" w:type="dxa"/>
          </w:tcPr>
          <w:p w14:paraId="2AE85948" w14:textId="77777777" w:rsidR="006439A5" w:rsidRPr="00C64B95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</w:tcPr>
          <w:p w14:paraId="2EB5F374" w14:textId="77777777" w:rsidR="006439A5" w:rsidRPr="00BC1F88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154969E2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6FB42E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602194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F4EE94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716600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62FDB9" w14:textId="77777777" w:rsidR="006439A5" w:rsidRPr="006439A5" w:rsidRDefault="006439A5" w:rsidP="00332775">
            <w:pPr>
              <w:ind w:left="26" w:right="113"/>
            </w:pPr>
          </w:p>
        </w:tc>
        <w:tc>
          <w:tcPr>
            <w:tcW w:w="567" w:type="dxa"/>
          </w:tcPr>
          <w:p w14:paraId="7AAC4F03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6017C2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7C3615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</w:tr>
      <w:tr w:rsidR="006439A5" w:rsidRPr="0000434F" w14:paraId="7E28AB3C" w14:textId="77777777" w:rsidTr="006439A5">
        <w:tc>
          <w:tcPr>
            <w:tcW w:w="2300" w:type="dxa"/>
          </w:tcPr>
          <w:p w14:paraId="7A583717" w14:textId="77777777" w:rsidR="006439A5" w:rsidRPr="00C9411A" w:rsidRDefault="006439A5" w:rsidP="0033277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28.2.2019</w:t>
            </w:r>
          </w:p>
        </w:tc>
        <w:tc>
          <w:tcPr>
            <w:tcW w:w="485" w:type="dxa"/>
          </w:tcPr>
          <w:p w14:paraId="254675F4" w14:textId="77777777" w:rsidR="006439A5" w:rsidRPr="00C64B95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</w:tcPr>
          <w:p w14:paraId="1B27CA37" w14:textId="77777777" w:rsidR="006439A5" w:rsidRPr="00BC1F88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608558C6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AB97FE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F2D2FA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948349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7D3F6B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F6B2AE" w14:textId="77777777" w:rsidR="006439A5" w:rsidRPr="006439A5" w:rsidRDefault="006439A5" w:rsidP="00332775">
            <w:pPr>
              <w:ind w:left="26" w:right="113"/>
            </w:pPr>
          </w:p>
        </w:tc>
        <w:tc>
          <w:tcPr>
            <w:tcW w:w="567" w:type="dxa"/>
          </w:tcPr>
          <w:p w14:paraId="273189A4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7A168C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BFB4A8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</w:tr>
      <w:tr w:rsidR="006439A5" w:rsidRPr="0000434F" w14:paraId="05168180" w14:textId="77777777" w:rsidTr="00287AF9">
        <w:tc>
          <w:tcPr>
            <w:tcW w:w="2300" w:type="dxa"/>
          </w:tcPr>
          <w:p w14:paraId="793E0DC9" w14:textId="77777777" w:rsidR="006439A5" w:rsidRPr="00C9411A" w:rsidRDefault="006439A5" w:rsidP="0033277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31.3.2019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5CA3D4EC" w14:textId="77777777" w:rsidR="006439A5" w:rsidRPr="00C64B95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142C5A26" w14:textId="77777777" w:rsidR="006439A5" w:rsidRPr="00BC1F88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8B1350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709DAE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95E1034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A05542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F3B1EC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FD88C5" w14:textId="77777777" w:rsidR="006439A5" w:rsidRPr="006439A5" w:rsidRDefault="006439A5" w:rsidP="00332775">
            <w:pPr>
              <w:ind w:left="26" w:right="113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74C5D6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D6552C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8E35D3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</w:tr>
      <w:tr w:rsidR="006439A5" w:rsidRPr="0000434F" w14:paraId="396F7582" w14:textId="77777777" w:rsidTr="00287AF9">
        <w:trPr>
          <w:trHeight w:val="417"/>
        </w:trPr>
        <w:tc>
          <w:tcPr>
            <w:tcW w:w="2300" w:type="dxa"/>
            <w:tcBorders>
              <w:right w:val="single" w:sz="8" w:space="0" w:color="auto"/>
            </w:tcBorders>
            <w:vAlign w:val="center"/>
          </w:tcPr>
          <w:p w14:paraId="77E348D8" w14:textId="6FC5A234" w:rsidR="006439A5" w:rsidRPr="00A51002" w:rsidRDefault="00111BAD" w:rsidP="0033277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Aritmetický průměr výměry</w:t>
            </w:r>
            <w:r w:rsidR="006439A5" w:rsidRPr="00A5100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56E79B5" w14:textId="77777777" w:rsidR="006439A5" w:rsidRPr="00A51002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504" w:type="dxa"/>
            <w:tcBorders>
              <w:left w:val="nil"/>
              <w:bottom w:val="single" w:sz="4" w:space="0" w:color="auto"/>
              <w:right w:val="nil"/>
            </w:tcBorders>
          </w:tcPr>
          <w:p w14:paraId="5A3FFCAE" w14:textId="77777777" w:rsidR="006439A5" w:rsidRPr="00BC1F88" w:rsidRDefault="006439A5" w:rsidP="00332775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63CD7693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5C4ADDA9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3F268AB0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4A36A2A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C2C9A22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621F220" w14:textId="77777777" w:rsidR="006439A5" w:rsidRPr="006439A5" w:rsidRDefault="006439A5" w:rsidP="00332775">
            <w:pPr>
              <w:ind w:left="26" w:right="113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F52A56B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60A0D402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F23E46" w14:textId="77777777" w:rsidR="006439A5" w:rsidRPr="0000434F" w:rsidRDefault="006439A5" w:rsidP="0033277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EE5EFCE" w14:textId="502F816C" w:rsidR="00EC44C4" w:rsidRDefault="001B1313" w:rsidP="00A208EE">
      <w:pPr>
        <w:pStyle w:val="Nadpis4"/>
      </w:pPr>
      <w:r>
        <w:t>Export do PDF</w:t>
      </w:r>
    </w:p>
    <w:p w14:paraId="792F3EF9" w14:textId="77777777" w:rsidR="005B452B" w:rsidRDefault="005B452B" w:rsidP="005B452B">
      <w:pPr>
        <w:jc w:val="both"/>
      </w:pPr>
      <w:r>
        <w:t xml:space="preserve">Po ukončení výpočtu na stránce IZR </w:t>
      </w:r>
      <w:r>
        <w:rPr>
          <w:rFonts w:cs="Calibri"/>
        </w:rPr>
        <w:t>˃</w:t>
      </w:r>
      <w:r>
        <w:t xml:space="preserve"> Zelená nafta bude umožněno doklad o provedeném výpočtu exportovat do PDF dle přiloženého vzoru. Pro každý výpočet lze tisk opakovat, musí být zajištěno, že tisk obsahuje vždy totožná data identifikovaná jednoznačným ID datové sady.</w:t>
      </w:r>
    </w:p>
    <w:p w14:paraId="7883F3DC" w14:textId="77777777" w:rsidR="005B452B" w:rsidRPr="005B452B" w:rsidRDefault="005B452B" w:rsidP="005B452B"/>
    <w:bookmarkStart w:id="1" w:name="_MON_1612692744"/>
    <w:bookmarkEnd w:id="1"/>
    <w:p w14:paraId="4984F176" w14:textId="6F6BD248" w:rsidR="001B1313" w:rsidRPr="001B1313" w:rsidRDefault="00746FCB" w:rsidP="001B1313">
      <w:r>
        <w:object w:dxaOrig="1469" w:dyaOrig="950" w14:anchorId="41558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7.25pt" o:ole="">
            <v:imagedata r:id="rId9" o:title=""/>
          </v:shape>
          <o:OLEObject Type="Embed" ProgID="Word.Document.12" ShapeID="_x0000_i1025" DrawAspect="Icon" ObjectID="_1617521377" r:id="rId10">
            <o:FieldCodes>\s</o:FieldCodes>
          </o:OLEObject>
        </w:object>
      </w:r>
    </w:p>
    <w:p w14:paraId="1343461F" w14:textId="79FA3D87" w:rsidR="00EC44C4" w:rsidRDefault="00EC44C4" w:rsidP="00A208EE">
      <w:pPr>
        <w:pStyle w:val="Nadpis3"/>
      </w:pPr>
      <w:r>
        <w:t xml:space="preserve">Roční intenzita </w:t>
      </w:r>
    </w:p>
    <w:p w14:paraId="05C5BB69" w14:textId="2FC75E55" w:rsidR="00630527" w:rsidRPr="00111EB8" w:rsidRDefault="00630527" w:rsidP="00630527">
      <w:pPr>
        <w:jc w:val="both"/>
      </w:pPr>
      <w:r w:rsidRPr="00111EB8">
        <w:rPr>
          <w:szCs w:val="22"/>
        </w:rPr>
        <w:t xml:space="preserve">Pokud subjekt prokazuje spotřebu minerálních olejů evidencí </w:t>
      </w:r>
      <w:r>
        <w:rPr>
          <w:szCs w:val="22"/>
        </w:rPr>
        <w:t xml:space="preserve">LPIS a IZR </w:t>
      </w:r>
      <w:r w:rsidRPr="00397A6B">
        <w:rPr>
          <w:szCs w:val="22"/>
        </w:rPr>
        <w:t>pomocí ročních normativů minimální spotřeby</w:t>
      </w:r>
      <w:r w:rsidRPr="00111EB8">
        <w:rPr>
          <w:szCs w:val="22"/>
        </w:rPr>
        <w:t>,</w:t>
      </w:r>
      <w:r w:rsidRPr="00111EB8">
        <w:t xml:space="preserve"> daňové přiznání předkládá za kalendářní </w:t>
      </w:r>
      <w:r>
        <w:t>rok</w:t>
      </w:r>
      <w:r w:rsidRPr="00111EB8">
        <w:t xml:space="preserve"> (vždy zpětně), </w:t>
      </w:r>
      <w:r w:rsidRPr="00111BAD">
        <w:rPr>
          <w:b/>
        </w:rPr>
        <w:t xml:space="preserve">zdaňovacím obdobím je kalendářní </w:t>
      </w:r>
      <w:r>
        <w:rPr>
          <w:b/>
        </w:rPr>
        <w:t>rok</w:t>
      </w:r>
      <w:r w:rsidRPr="00111EB8">
        <w:t xml:space="preserve"> a musí doložit výslednou intenzitu chovu hospodářských zvířat za </w:t>
      </w:r>
      <w:r>
        <w:t>tento kalendářní rok.</w:t>
      </w:r>
    </w:p>
    <w:p w14:paraId="0DB355DB" w14:textId="0009E8C7" w:rsidR="00630527" w:rsidRDefault="00630527" w:rsidP="00A208EE">
      <w:pPr>
        <w:pStyle w:val="Nadpis4"/>
      </w:pPr>
      <w:r>
        <w:t xml:space="preserve">Specifikace výpočtu </w:t>
      </w:r>
      <w:r w:rsidR="00A20BC8">
        <w:t>Roční</w:t>
      </w:r>
      <w:r>
        <w:t xml:space="preserve"> intenzita</w:t>
      </w:r>
    </w:p>
    <w:p w14:paraId="0E7AB30E" w14:textId="35F384D9" w:rsidR="00630527" w:rsidRDefault="00630527" w:rsidP="00630527">
      <w:pPr>
        <w:pStyle w:val="Textodstavce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 intenzity je shodný s mechanismem výpočtu </w:t>
      </w:r>
      <w:r w:rsidR="00A20BC8">
        <w:rPr>
          <w:rFonts w:ascii="Arial" w:hAnsi="Arial" w:cs="Arial"/>
          <w:sz w:val="22"/>
          <w:szCs w:val="22"/>
        </w:rPr>
        <w:t>čtvrtletní intenzity, rozdíl je pouze v počtu hodnot, z kterých se aritmetické průměry vypočítávají. U roční intenzity je to 12 hodnot</w:t>
      </w:r>
      <w:r w:rsidR="00F84454">
        <w:rPr>
          <w:rFonts w:ascii="Arial" w:hAnsi="Arial" w:cs="Arial"/>
          <w:sz w:val="22"/>
          <w:szCs w:val="22"/>
        </w:rPr>
        <w:t>, přičemž spuštění sestavy je možné až po skončení kal. roku</w:t>
      </w:r>
      <w:r w:rsidR="00A20BC8">
        <w:rPr>
          <w:rFonts w:ascii="Arial" w:hAnsi="Arial" w:cs="Arial"/>
          <w:sz w:val="22"/>
          <w:szCs w:val="22"/>
        </w:rPr>
        <w:t xml:space="preserve">. </w:t>
      </w:r>
    </w:p>
    <w:p w14:paraId="5E3CBE26" w14:textId="4AD6A6F2" w:rsidR="00630527" w:rsidRPr="00843F88" w:rsidRDefault="00630527" w:rsidP="00630527">
      <w:pPr>
        <w:rPr>
          <w:rFonts w:cs="Arial"/>
        </w:rPr>
      </w:pPr>
      <w:r>
        <w:rPr>
          <w:rFonts w:cs="Arial"/>
        </w:rPr>
        <w:t>Mechanismus výpočtu</w:t>
      </w:r>
      <w:r w:rsidR="009D0C80">
        <w:rPr>
          <w:rFonts w:cs="Arial"/>
        </w:rPr>
        <w:t xml:space="preserve"> roční</w:t>
      </w:r>
      <w:r>
        <w:rPr>
          <w:rFonts w:cs="Arial"/>
        </w:rPr>
        <w:t xml:space="preserve"> intenzity v</w:t>
      </w:r>
      <w:r w:rsidR="009D0C80">
        <w:rPr>
          <w:rFonts w:cs="Arial"/>
        </w:rPr>
        <w:t xml:space="preserve"> jednotlivých </w:t>
      </w:r>
      <w:r>
        <w:rPr>
          <w:rFonts w:cs="Arial"/>
        </w:rPr>
        <w:t>krocích:</w:t>
      </w:r>
    </w:p>
    <w:p w14:paraId="5B57A3C6" w14:textId="0E5BFF4A" w:rsidR="00630527" w:rsidRPr="00B6199B" w:rsidRDefault="00630527" w:rsidP="00625B90">
      <w:pPr>
        <w:pStyle w:val="Odstavecseseznamem"/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lastRenderedPageBreak/>
        <w:t xml:space="preserve">Stanovení aritmetického průměru VDJ za </w:t>
      </w:r>
      <w:r w:rsidR="00A20BC8">
        <w:rPr>
          <w:szCs w:val="22"/>
        </w:rPr>
        <w:t>12 měsíců</w:t>
      </w:r>
      <w:r w:rsidRPr="00B6199B">
        <w:rPr>
          <w:szCs w:val="22"/>
        </w:rPr>
        <w:t xml:space="preserve"> </w:t>
      </w:r>
    </w:p>
    <w:p w14:paraId="4C32D951" w14:textId="6FA33849" w:rsidR="00630527" w:rsidRPr="00843F88" w:rsidRDefault="00630527" w:rsidP="00625B90">
      <w:pPr>
        <w:pStyle w:val="Odstavecseseznamem"/>
        <w:numPr>
          <w:ilvl w:val="0"/>
          <w:numId w:val="8"/>
        </w:numPr>
        <w:spacing w:after="0"/>
        <w:jc w:val="both"/>
        <w:rPr>
          <w:b/>
          <w:szCs w:val="22"/>
        </w:rPr>
      </w:pPr>
      <w:r>
        <w:rPr>
          <w:szCs w:val="22"/>
        </w:rPr>
        <w:t xml:space="preserve">Stanovení aritmetického průměru výměry za </w:t>
      </w:r>
      <w:r w:rsidR="00A20BC8">
        <w:rPr>
          <w:szCs w:val="22"/>
        </w:rPr>
        <w:t>12 měsíců</w:t>
      </w:r>
    </w:p>
    <w:p w14:paraId="55C7D1F7" w14:textId="77777777" w:rsidR="00630527" w:rsidRPr="00B6199B" w:rsidRDefault="00630527" w:rsidP="00625B90">
      <w:pPr>
        <w:pStyle w:val="Odstavecseseznamem"/>
        <w:numPr>
          <w:ilvl w:val="0"/>
          <w:numId w:val="8"/>
        </w:numPr>
        <w:spacing w:after="0"/>
        <w:jc w:val="both"/>
        <w:rPr>
          <w:szCs w:val="22"/>
        </w:rPr>
      </w:pPr>
      <w:r w:rsidRPr="00B6199B">
        <w:rPr>
          <w:b/>
          <w:szCs w:val="22"/>
        </w:rPr>
        <w:t>Výpočet intenzity chovu hospodářských zvířat</w:t>
      </w:r>
      <w:r w:rsidRPr="00B6199B">
        <w:rPr>
          <w:szCs w:val="22"/>
        </w:rPr>
        <w:t xml:space="preserve"> </w:t>
      </w:r>
      <w:r>
        <w:rPr>
          <w:szCs w:val="22"/>
        </w:rPr>
        <w:t xml:space="preserve">jako </w:t>
      </w:r>
      <w:r w:rsidRPr="00B6199B">
        <w:rPr>
          <w:szCs w:val="22"/>
        </w:rPr>
        <w:t xml:space="preserve">podíl </w:t>
      </w:r>
      <w:r>
        <w:rPr>
          <w:szCs w:val="22"/>
        </w:rPr>
        <w:t>aritmetického průměru VDJ a aritmetického průměru výměry.</w:t>
      </w:r>
    </w:p>
    <w:p w14:paraId="6DCECCE4" w14:textId="05C9400D" w:rsidR="00630527" w:rsidRPr="00D4711A" w:rsidRDefault="00630527" w:rsidP="00A208EE">
      <w:pPr>
        <w:pStyle w:val="Nadpis4"/>
      </w:pPr>
      <w:r w:rsidRPr="00D4711A">
        <w:t>Stanovení aritmetického průměru VDJ</w:t>
      </w:r>
      <w:r w:rsidR="009D0C80">
        <w:t xml:space="preserve"> pro Roční intenzitu</w:t>
      </w:r>
    </w:p>
    <w:p w14:paraId="10343632" w14:textId="10F3FF03" w:rsidR="00630527" w:rsidRPr="00D4711A" w:rsidRDefault="00630527" w:rsidP="00630527">
      <w:pPr>
        <w:pStyle w:val="Textodstavce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Postup výpočtu na příkladu </w:t>
      </w:r>
      <w:r w:rsidRPr="00D471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abulky</w:t>
      </w:r>
      <w:r w:rsidRPr="00D4711A">
        <w:rPr>
          <w:rFonts w:ascii="Arial" w:hAnsi="Arial" w:cs="Arial"/>
          <w:sz w:val="22"/>
          <w:szCs w:val="22"/>
        </w:rPr>
        <w:t xml:space="preserve"> </w:t>
      </w:r>
      <w:r w:rsidR="00A20BC8">
        <w:rPr>
          <w:rFonts w:ascii="Arial" w:hAnsi="Arial" w:cs="Arial"/>
          <w:sz w:val="22"/>
          <w:szCs w:val="22"/>
        </w:rPr>
        <w:t>rok</w:t>
      </w:r>
      <w:r w:rsidRPr="00D4711A">
        <w:rPr>
          <w:rFonts w:ascii="Arial" w:hAnsi="Arial" w:cs="Arial"/>
          <w:sz w:val="22"/>
          <w:szCs w:val="22"/>
        </w:rPr>
        <w:t xml:space="preserve"> 2019 v podkapitole </w:t>
      </w:r>
      <w:r w:rsidR="00A20BC8">
        <w:rPr>
          <w:rFonts w:ascii="Arial" w:hAnsi="Arial" w:cs="Arial"/>
          <w:sz w:val="22"/>
          <w:szCs w:val="22"/>
        </w:rPr>
        <w:t xml:space="preserve">GUI obrazovky </w:t>
      </w:r>
      <w:r w:rsidRPr="00D4711A">
        <w:rPr>
          <w:rFonts w:ascii="Arial" w:hAnsi="Arial" w:cs="Arial"/>
          <w:sz w:val="22"/>
          <w:szCs w:val="22"/>
        </w:rPr>
        <w:t xml:space="preserve">IZR ˃ Zelená nafta ˃ </w:t>
      </w:r>
      <w:r w:rsidR="00A20BC8">
        <w:rPr>
          <w:rFonts w:ascii="Arial" w:hAnsi="Arial" w:cs="Arial"/>
          <w:sz w:val="22"/>
          <w:szCs w:val="22"/>
        </w:rPr>
        <w:t>Roční intenzita</w:t>
      </w:r>
      <w:r w:rsidRPr="00D4711A">
        <w:rPr>
          <w:rFonts w:ascii="Arial" w:hAnsi="Arial" w:cs="Arial"/>
          <w:sz w:val="22"/>
          <w:szCs w:val="22"/>
        </w:rPr>
        <w:t xml:space="preserve"> ˃ Detail VDJ:</w:t>
      </w:r>
    </w:p>
    <w:p w14:paraId="3E0FD69C" w14:textId="3A18FD0E" w:rsidR="00630527" w:rsidRPr="0094779C" w:rsidRDefault="00630527" w:rsidP="00625B90">
      <w:pPr>
        <w:pStyle w:val="Textodstavce"/>
        <w:numPr>
          <w:ilvl w:val="0"/>
          <w:numId w:val="24"/>
        </w:numPr>
        <w:spacing w:before="0" w:after="0"/>
        <w:rPr>
          <w:rFonts w:ascii="Arial" w:hAnsi="Arial" w:cs="Arial"/>
          <w:sz w:val="22"/>
          <w:szCs w:val="22"/>
        </w:rPr>
      </w:pPr>
      <w:r w:rsidRPr="00D4711A">
        <w:rPr>
          <w:rFonts w:ascii="Arial" w:hAnsi="Arial" w:cs="Arial"/>
          <w:sz w:val="22"/>
          <w:szCs w:val="22"/>
        </w:rPr>
        <w:t xml:space="preserve">Vypočte se aritmetický průměr počtu </w:t>
      </w:r>
      <w:r>
        <w:rPr>
          <w:rFonts w:ascii="Arial" w:hAnsi="Arial" w:cs="Arial"/>
          <w:sz w:val="22"/>
          <w:szCs w:val="22"/>
        </w:rPr>
        <w:t xml:space="preserve">kusů </w:t>
      </w:r>
      <w:r w:rsidRPr="00D4711A">
        <w:rPr>
          <w:rFonts w:ascii="Arial" w:hAnsi="Arial" w:cs="Arial"/>
          <w:sz w:val="22"/>
          <w:szCs w:val="22"/>
        </w:rPr>
        <w:t>zvířat za každou kategorii</w:t>
      </w:r>
      <w:r>
        <w:rPr>
          <w:rFonts w:ascii="Arial" w:hAnsi="Arial" w:cs="Arial"/>
          <w:sz w:val="22"/>
          <w:szCs w:val="22"/>
        </w:rPr>
        <w:t xml:space="preserve"> (tzn. </w:t>
      </w:r>
      <w:r w:rsidR="00A20BC8">
        <w:rPr>
          <w:rFonts w:ascii="Arial" w:hAnsi="Arial" w:cs="Arial"/>
          <w:sz w:val="22"/>
          <w:szCs w:val="22"/>
        </w:rPr>
        <w:t>ze 12</w:t>
      </w:r>
      <w:r>
        <w:rPr>
          <w:rFonts w:ascii="Arial" w:hAnsi="Arial" w:cs="Arial"/>
          <w:sz w:val="22"/>
          <w:szCs w:val="22"/>
        </w:rPr>
        <w:t xml:space="preserve"> hodnot)</w:t>
      </w:r>
      <w:r w:rsidR="0094779C">
        <w:rPr>
          <w:rFonts w:ascii="Arial" w:hAnsi="Arial" w:cs="Arial"/>
          <w:sz w:val="22"/>
          <w:szCs w:val="22"/>
        </w:rPr>
        <w:t xml:space="preserve"> </w:t>
      </w:r>
      <w:r w:rsidR="009D0C80">
        <w:rPr>
          <w:rFonts w:ascii="Arial" w:hAnsi="Arial" w:cs="Arial"/>
          <w:sz w:val="22"/>
          <w:szCs w:val="22"/>
        </w:rPr>
        <w:t xml:space="preserve">a zaokrouhlí se na 2 desetinná místa dolů </w:t>
      </w:r>
      <w:r w:rsidR="0094779C">
        <w:rPr>
          <w:rFonts w:ascii="Arial" w:hAnsi="Arial" w:cs="Arial"/>
          <w:sz w:val="22"/>
          <w:szCs w:val="22"/>
        </w:rPr>
        <w:t xml:space="preserve">= Průměrný počet kusů dle kategorií. </w:t>
      </w:r>
    </w:p>
    <w:p w14:paraId="1E119C7F" w14:textId="77777777" w:rsidR="00F84454" w:rsidRPr="006C19B5" w:rsidRDefault="00F84454" w:rsidP="00F84454">
      <w:pPr>
        <w:pStyle w:val="Textodstavce"/>
        <w:spacing w:before="0" w:after="0"/>
        <w:ind w:left="780"/>
        <w:rPr>
          <w:rFonts w:ascii="Arial" w:hAnsi="Arial" w:cs="Arial"/>
          <w:color w:val="FF0000"/>
          <w:sz w:val="22"/>
          <w:szCs w:val="22"/>
        </w:rPr>
      </w:pPr>
      <w:r w:rsidRPr="005C6286">
        <w:rPr>
          <w:rFonts w:ascii="Arial" w:hAnsi="Arial" w:cs="Arial"/>
          <w:color w:val="FF0000"/>
          <w:sz w:val="22"/>
          <w:szCs w:val="22"/>
        </w:rPr>
        <w:t xml:space="preserve">Pozn. Pokud nebude subjekt registrován jako chovatel </w:t>
      </w:r>
      <w:r>
        <w:rPr>
          <w:rFonts w:ascii="Arial" w:hAnsi="Arial" w:cs="Arial"/>
          <w:color w:val="FF0000"/>
          <w:sz w:val="22"/>
          <w:szCs w:val="22"/>
        </w:rPr>
        <w:t>k poslednímu dni příslušného měsíce</w:t>
      </w:r>
      <w:r w:rsidRPr="005C6286">
        <w:rPr>
          <w:rFonts w:ascii="Arial" w:hAnsi="Arial" w:cs="Arial"/>
          <w:color w:val="FF0000"/>
          <w:sz w:val="22"/>
          <w:szCs w:val="22"/>
        </w:rPr>
        <w:t xml:space="preserve"> zdaňovací období, </w:t>
      </w:r>
      <w:r>
        <w:rPr>
          <w:rFonts w:ascii="Arial" w:hAnsi="Arial" w:cs="Arial"/>
          <w:color w:val="FF0000"/>
          <w:sz w:val="22"/>
          <w:szCs w:val="22"/>
        </w:rPr>
        <w:t>bude za příslušný datum vstupovat do výpočtu 0.</w:t>
      </w:r>
    </w:p>
    <w:p w14:paraId="542C9405" w14:textId="5C8D96F1" w:rsidR="005C6286" w:rsidRPr="005C6286" w:rsidRDefault="004753B6" w:rsidP="005C6286">
      <w:pPr>
        <w:pStyle w:val="Textodstavce"/>
        <w:spacing w:before="0" w:after="0"/>
        <w:ind w:left="7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.</w:t>
      </w:r>
    </w:p>
    <w:p w14:paraId="00A8EC3A" w14:textId="62DAF23C" w:rsidR="00630527" w:rsidRPr="00D4711A" w:rsidRDefault="00630527" w:rsidP="00625B90">
      <w:pPr>
        <w:pStyle w:val="Textodstavce"/>
        <w:numPr>
          <w:ilvl w:val="0"/>
          <w:numId w:val="24"/>
        </w:numPr>
        <w:spacing w:before="0" w:after="0"/>
        <w:rPr>
          <w:rFonts w:ascii="Arial" w:hAnsi="Arial" w:cs="Arial"/>
          <w:sz w:val="22"/>
          <w:szCs w:val="22"/>
        </w:rPr>
      </w:pPr>
      <w:r w:rsidRPr="00D4711A">
        <w:rPr>
          <w:rFonts w:ascii="Arial" w:hAnsi="Arial" w:cs="Arial"/>
          <w:sz w:val="22"/>
          <w:szCs w:val="22"/>
        </w:rPr>
        <w:t>Aritmetický průměr v každé kategorii se přepočítá na VDJ</w:t>
      </w:r>
      <w:r>
        <w:rPr>
          <w:rFonts w:ascii="Arial" w:hAnsi="Arial" w:cs="Arial"/>
          <w:sz w:val="22"/>
          <w:szCs w:val="22"/>
        </w:rPr>
        <w:t xml:space="preserve"> </w:t>
      </w:r>
      <w:r w:rsidR="000D6AF4">
        <w:rPr>
          <w:rFonts w:ascii="Arial" w:hAnsi="Arial" w:cs="Arial"/>
          <w:sz w:val="22"/>
          <w:szCs w:val="22"/>
        </w:rPr>
        <w:t xml:space="preserve">a zaokrouhlí se na 2 desetinná místa dolů </w:t>
      </w:r>
      <w:r>
        <w:rPr>
          <w:rFonts w:ascii="Arial" w:hAnsi="Arial" w:cs="Arial"/>
          <w:sz w:val="22"/>
          <w:szCs w:val="22"/>
        </w:rPr>
        <w:t>= Průměrný počet VDJ dle kategorií (předposlední řádek)</w:t>
      </w:r>
    </w:p>
    <w:p w14:paraId="6B7B2078" w14:textId="428D9E1B" w:rsidR="00630527" w:rsidRDefault="00630527" w:rsidP="00625B90">
      <w:pPr>
        <w:pStyle w:val="Textodstavce"/>
        <w:numPr>
          <w:ilvl w:val="0"/>
          <w:numId w:val="24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Aritmetický průměr VDJ</w:t>
      </w:r>
      <w:r w:rsidR="0060261A">
        <w:rPr>
          <w:rFonts w:ascii="Arial" w:hAnsi="Arial" w:cs="Arial"/>
          <w:sz w:val="22"/>
          <w:szCs w:val="22"/>
        </w:rPr>
        <w:t xml:space="preserve"> </w:t>
      </w:r>
      <w:r w:rsidR="0060261A" w:rsidRPr="00D4711A">
        <w:rPr>
          <w:rFonts w:ascii="Arial" w:hAnsi="Arial" w:cs="Arial"/>
          <w:sz w:val="22"/>
          <w:szCs w:val="22"/>
        </w:rPr>
        <w:t xml:space="preserve">v posledním řádku je součtem </w:t>
      </w:r>
      <w:r w:rsidR="0060261A">
        <w:rPr>
          <w:rFonts w:ascii="Arial" w:hAnsi="Arial" w:cs="Arial"/>
          <w:sz w:val="22"/>
          <w:szCs w:val="22"/>
        </w:rPr>
        <w:t xml:space="preserve">hodnot uvedených v předposledním řádku (součet Průměrných počtů VDJ dle kategorií). </w:t>
      </w:r>
      <w:r>
        <w:rPr>
          <w:rFonts w:ascii="Arial" w:hAnsi="Arial" w:cs="Arial"/>
          <w:sz w:val="22"/>
          <w:szCs w:val="22"/>
        </w:rPr>
        <w:t>Tato</w:t>
      </w:r>
      <w:r w:rsidRPr="00D4711A">
        <w:rPr>
          <w:rFonts w:ascii="Arial" w:hAnsi="Arial" w:cs="Arial"/>
          <w:sz w:val="22"/>
          <w:szCs w:val="22"/>
        </w:rPr>
        <w:t xml:space="preserve"> hodnota </w:t>
      </w:r>
      <w:r>
        <w:rPr>
          <w:rFonts w:ascii="Arial" w:hAnsi="Arial" w:cs="Arial"/>
          <w:sz w:val="22"/>
          <w:szCs w:val="22"/>
        </w:rPr>
        <w:t xml:space="preserve">bude dosazená do čitatele </w:t>
      </w:r>
      <w:r w:rsidRPr="00FD5D78">
        <w:rPr>
          <w:rFonts w:ascii="Arial" w:hAnsi="Arial" w:cs="Arial"/>
          <w:sz w:val="22"/>
          <w:szCs w:val="22"/>
        </w:rPr>
        <w:t>pro výpočet intenzity</w:t>
      </w:r>
      <w:r w:rsidRPr="00D4711A">
        <w:rPr>
          <w:rFonts w:ascii="Arial" w:hAnsi="Arial" w:cs="Arial"/>
          <w:sz w:val="22"/>
          <w:szCs w:val="22"/>
        </w:rPr>
        <w:t>.</w:t>
      </w:r>
    </w:p>
    <w:p w14:paraId="6D998CA9" w14:textId="1A961C26" w:rsidR="00630527" w:rsidRDefault="00630527" w:rsidP="00A208EE">
      <w:pPr>
        <w:pStyle w:val="Nadpis4"/>
      </w:pPr>
      <w:r>
        <w:t xml:space="preserve">GUI obrazovky IZR </w:t>
      </w:r>
      <w:r w:rsidRPr="00F03F69">
        <w:t>˃</w:t>
      </w:r>
      <w:r>
        <w:t xml:space="preserve"> Zelená nafta </w:t>
      </w:r>
      <w:r w:rsidRPr="00F03F69">
        <w:t xml:space="preserve">˃ </w:t>
      </w:r>
      <w:r w:rsidR="001434E6">
        <w:t>Roční</w:t>
      </w:r>
      <w:r>
        <w:t xml:space="preserve"> intenzita </w:t>
      </w:r>
      <w:r w:rsidRPr="00F03F69">
        <w:t>˃</w:t>
      </w:r>
      <w:r>
        <w:t xml:space="preserve"> Detail VDJ</w:t>
      </w:r>
    </w:p>
    <w:p w14:paraId="36B61885" w14:textId="77777777" w:rsidR="00630527" w:rsidRDefault="00630527" w:rsidP="00630527">
      <w:pPr>
        <w:jc w:val="both"/>
      </w:pPr>
      <w:r>
        <w:t xml:space="preserve">Z tabulky výpočtu intenzity chovu bude umožněno z buňky Počet VDJ otevřít obrazovku (v plovoucím okně) </w:t>
      </w:r>
      <w:r w:rsidRPr="001173FB">
        <w:rPr>
          <w:b/>
        </w:rPr>
        <w:t>Zelená nafta ˃ Detail VDJ</w:t>
      </w:r>
      <w:r w:rsidRPr="00D25037">
        <w:t xml:space="preserve">, která bude </w:t>
      </w:r>
      <w:r>
        <w:t>zobrazovat</w:t>
      </w:r>
      <w:r w:rsidRPr="00D25037">
        <w:t xml:space="preserve"> zdrojová data pro výpočet hodnoty Počet VDJ</w:t>
      </w:r>
      <w:r>
        <w:t>.</w:t>
      </w:r>
    </w:p>
    <w:p w14:paraId="4DF75324" w14:textId="77777777" w:rsidR="0060261A" w:rsidRDefault="0060261A" w:rsidP="00630527">
      <w:pPr>
        <w:jc w:val="both"/>
      </w:pPr>
    </w:p>
    <w:p w14:paraId="02D77A2A" w14:textId="77777777" w:rsidR="00630527" w:rsidRPr="00111BAD" w:rsidRDefault="00630527" w:rsidP="00630527">
      <w:pPr>
        <w:jc w:val="both"/>
      </w:pPr>
      <w:r w:rsidRPr="00111BAD">
        <w:t xml:space="preserve">Legenda nad tabulkou: </w:t>
      </w:r>
      <w:r w:rsidRPr="00111BAD">
        <w:rPr>
          <w:i/>
        </w:rPr>
        <w:t>Stavy zvířat podle jednotlivých kategorií za období…….</w:t>
      </w:r>
    </w:p>
    <w:p w14:paraId="22A70DF5" w14:textId="77777777" w:rsidR="00630527" w:rsidRPr="00111BAD" w:rsidRDefault="00630527" w:rsidP="00630527">
      <w:pPr>
        <w:jc w:val="both"/>
      </w:pPr>
      <w:r w:rsidRPr="00111BAD">
        <w:t>Struktura tabulky Detail VDJ:</w:t>
      </w:r>
    </w:p>
    <w:tbl>
      <w:tblPr>
        <w:tblStyle w:val="Mkatabulky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5"/>
        <w:gridCol w:w="504"/>
        <w:gridCol w:w="426"/>
        <w:gridCol w:w="425"/>
        <w:gridCol w:w="425"/>
        <w:gridCol w:w="425"/>
        <w:gridCol w:w="426"/>
        <w:gridCol w:w="708"/>
        <w:gridCol w:w="567"/>
        <w:gridCol w:w="426"/>
        <w:gridCol w:w="425"/>
        <w:gridCol w:w="425"/>
        <w:gridCol w:w="425"/>
        <w:gridCol w:w="709"/>
        <w:gridCol w:w="567"/>
      </w:tblGrid>
      <w:tr w:rsidR="00630527" w:rsidRPr="00BC1F88" w14:paraId="3B2E47DA" w14:textId="77777777" w:rsidTr="00236CF3">
        <w:trPr>
          <w:cantSplit/>
          <w:trHeight w:val="2588"/>
        </w:trPr>
        <w:tc>
          <w:tcPr>
            <w:tcW w:w="2785" w:type="dxa"/>
            <w:textDirection w:val="btLr"/>
            <w:vAlign w:val="center"/>
          </w:tcPr>
          <w:p w14:paraId="7DCF2E1E" w14:textId="77777777" w:rsidR="00630527" w:rsidRPr="00515494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  <w:highlight w:val="yellow"/>
              </w:rPr>
            </w:pPr>
            <w:r w:rsidRPr="00C9411A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504" w:type="dxa"/>
            <w:textDirection w:val="btLr"/>
          </w:tcPr>
          <w:p w14:paraId="102924FF" w14:textId="77777777" w:rsidR="00630527" w:rsidRPr="00515494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Dojnice nad 2 roky </w:t>
            </w:r>
          </w:p>
          <w:p w14:paraId="157CF3ED" w14:textId="77777777" w:rsidR="00630527" w:rsidRPr="00515494" w:rsidRDefault="00630527" w:rsidP="00236CF3">
            <w:pPr>
              <w:tabs>
                <w:tab w:val="left" w:pos="0"/>
              </w:tabs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75A681CB" w14:textId="77777777" w:rsidR="00630527" w:rsidRPr="00515494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Dojnice do 2 let včetně </w:t>
            </w:r>
          </w:p>
          <w:p w14:paraId="0FCE3984" w14:textId="77777777" w:rsidR="00630527" w:rsidRPr="00515494" w:rsidRDefault="00630527" w:rsidP="00236CF3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75813EAA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KBTPM nad 2 roky</w:t>
            </w:r>
          </w:p>
        </w:tc>
        <w:tc>
          <w:tcPr>
            <w:tcW w:w="425" w:type="dxa"/>
            <w:textDirection w:val="btLr"/>
          </w:tcPr>
          <w:p w14:paraId="7A4DE50F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KBTPM do 2 let</w:t>
            </w:r>
          </w:p>
        </w:tc>
        <w:tc>
          <w:tcPr>
            <w:tcW w:w="425" w:type="dxa"/>
            <w:textDirection w:val="btLr"/>
          </w:tcPr>
          <w:p w14:paraId="19596078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Jalovice a býci nad 2 roky</w:t>
            </w:r>
          </w:p>
        </w:tc>
        <w:tc>
          <w:tcPr>
            <w:tcW w:w="426" w:type="dxa"/>
            <w:textDirection w:val="btLr"/>
          </w:tcPr>
          <w:p w14:paraId="14D6A45A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Jalovice a býci do 2 let</w:t>
            </w:r>
          </w:p>
        </w:tc>
        <w:tc>
          <w:tcPr>
            <w:tcW w:w="708" w:type="dxa"/>
            <w:textDirection w:val="btLr"/>
          </w:tcPr>
          <w:p w14:paraId="096BD27C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515494">
              <w:rPr>
                <w:rFonts w:ascii="Calibri" w:hAnsi="Calibri" w:cs="Calibri"/>
                <w:b/>
                <w:bCs/>
                <w:szCs w:val="22"/>
              </w:rPr>
              <w:t xml:space="preserve">Skot ve věku do 6 měsíců včetně </w:t>
            </w:r>
          </w:p>
          <w:p w14:paraId="0876A4F5" w14:textId="77777777" w:rsidR="00630527" w:rsidRPr="00515494" w:rsidRDefault="00630527" w:rsidP="00236CF3">
            <w:pPr>
              <w:ind w:left="113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4AA31089" w14:textId="77777777" w:rsidR="00630527" w:rsidRPr="00515494" w:rsidRDefault="00630527" w:rsidP="00236CF3">
            <w:pPr>
              <w:ind w:left="41" w:right="113"/>
              <w:rPr>
                <w:rFonts w:ascii="Calibri" w:hAnsi="Calibri" w:cs="Calibri"/>
                <w:b/>
                <w:bCs/>
                <w:szCs w:val="22"/>
              </w:rPr>
            </w:pPr>
            <w:r w:rsidRPr="00515494">
              <w:rPr>
                <w:rFonts w:ascii="Calibri" w:hAnsi="Calibri" w:cs="Calibri"/>
                <w:b/>
                <w:bCs/>
                <w:szCs w:val="22"/>
              </w:rPr>
              <w:t xml:space="preserve">Ovce a kozy nad 1 rok </w:t>
            </w:r>
          </w:p>
          <w:p w14:paraId="6CBE472F" w14:textId="77777777" w:rsidR="00630527" w:rsidRPr="00515494" w:rsidRDefault="00630527" w:rsidP="00236CF3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5ABDDA19" w14:textId="77777777" w:rsidR="00630527" w:rsidRPr="00515494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Koně </w:t>
            </w:r>
            <w:r>
              <w:rPr>
                <w:rFonts w:cs="Calibri"/>
                <w:b/>
                <w:szCs w:val="22"/>
              </w:rPr>
              <w:t xml:space="preserve">nad </w:t>
            </w:r>
            <w:r w:rsidRPr="00515494">
              <w:rPr>
                <w:rFonts w:cs="Calibri"/>
                <w:b/>
                <w:szCs w:val="22"/>
              </w:rPr>
              <w:t xml:space="preserve">6 měsíců </w:t>
            </w:r>
          </w:p>
          <w:p w14:paraId="4064CD05" w14:textId="77777777" w:rsidR="00630527" w:rsidRPr="00515494" w:rsidRDefault="00630527" w:rsidP="00236CF3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761A0DC8" w14:textId="77777777" w:rsidR="00630527" w:rsidRPr="00515494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>Koně do 6 měsíců včetně</w:t>
            </w:r>
          </w:p>
          <w:p w14:paraId="608FB11C" w14:textId="77777777" w:rsidR="00630527" w:rsidRPr="00515494" w:rsidRDefault="00630527" w:rsidP="00236CF3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038A57F7" w14:textId="77777777" w:rsidR="00630527" w:rsidRPr="00515494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Prasnice</w:t>
            </w:r>
          </w:p>
        </w:tc>
        <w:tc>
          <w:tcPr>
            <w:tcW w:w="425" w:type="dxa"/>
            <w:textDirection w:val="btLr"/>
          </w:tcPr>
          <w:p w14:paraId="6D5D5B92" w14:textId="77777777" w:rsidR="00630527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Ostatní prasata</w:t>
            </w:r>
          </w:p>
        </w:tc>
        <w:tc>
          <w:tcPr>
            <w:tcW w:w="709" w:type="dxa"/>
            <w:textDirection w:val="btLr"/>
          </w:tcPr>
          <w:p w14:paraId="318EDCC3" w14:textId="77777777" w:rsidR="00630527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Nosnice a kuřice</w:t>
            </w:r>
          </w:p>
        </w:tc>
        <w:tc>
          <w:tcPr>
            <w:tcW w:w="567" w:type="dxa"/>
            <w:textDirection w:val="btLr"/>
          </w:tcPr>
          <w:p w14:paraId="50B7EDE5" w14:textId="77777777" w:rsidR="00630527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Ostatní drůbež</w:t>
            </w:r>
          </w:p>
        </w:tc>
      </w:tr>
      <w:tr w:rsidR="00630527" w:rsidRPr="0000434F" w14:paraId="5682B811" w14:textId="77777777" w:rsidTr="00236CF3">
        <w:tc>
          <w:tcPr>
            <w:tcW w:w="2785" w:type="dxa"/>
          </w:tcPr>
          <w:p w14:paraId="798751FB" w14:textId="77777777" w:rsidR="00630527" w:rsidRPr="00C64B9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  <w:r w:rsidRPr="00C9411A">
              <w:rPr>
                <w:rFonts w:cs="Arial"/>
                <w:b/>
                <w:sz w:val="18"/>
                <w:szCs w:val="18"/>
              </w:rPr>
              <w:t>31.</w:t>
            </w:r>
            <w:r>
              <w:rPr>
                <w:rFonts w:cs="Arial"/>
                <w:b/>
                <w:sz w:val="18"/>
                <w:szCs w:val="18"/>
              </w:rPr>
              <w:t>1.2019</w:t>
            </w:r>
          </w:p>
        </w:tc>
        <w:tc>
          <w:tcPr>
            <w:tcW w:w="504" w:type="dxa"/>
          </w:tcPr>
          <w:p w14:paraId="5760F794" w14:textId="77777777" w:rsidR="00630527" w:rsidRPr="00BC1F88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3E06CA19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83F90D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F624A3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E874E7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D9AD24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41526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6B3C08D3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2B856E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AAB3B1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BC41FA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3BE1E5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55F25F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3FFABB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630527" w:rsidRPr="0000434F" w14:paraId="7DB88E69" w14:textId="77777777" w:rsidTr="00236CF3">
        <w:tc>
          <w:tcPr>
            <w:tcW w:w="2785" w:type="dxa"/>
          </w:tcPr>
          <w:p w14:paraId="6FDC3FBC" w14:textId="77777777" w:rsidR="00630527" w:rsidRPr="00C64B9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28.2.2019</w:t>
            </w:r>
          </w:p>
        </w:tc>
        <w:tc>
          <w:tcPr>
            <w:tcW w:w="504" w:type="dxa"/>
          </w:tcPr>
          <w:p w14:paraId="6F860E26" w14:textId="77777777" w:rsidR="00630527" w:rsidRPr="00BC1F88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04D9B594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17A64A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532F36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70BA6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96C1C4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94233E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1B18CD5A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8AC8A5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401856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F29681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847E9F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FA769A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4A772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1434E6" w:rsidRPr="0000434F" w14:paraId="2B45438D" w14:textId="77777777" w:rsidTr="00236CF3">
        <w:tc>
          <w:tcPr>
            <w:tcW w:w="2785" w:type="dxa"/>
          </w:tcPr>
          <w:p w14:paraId="6F6625BC" w14:textId="1B3D4DB8" w:rsidR="001434E6" w:rsidRDefault="001434E6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04" w:type="dxa"/>
          </w:tcPr>
          <w:p w14:paraId="3CC2860C" w14:textId="77777777" w:rsidR="001434E6" w:rsidRPr="00BC1F88" w:rsidRDefault="001434E6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0D9D51CE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57FE56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C5136B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86B21B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6BA587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B9FF37" w14:textId="77777777" w:rsidR="001434E6" w:rsidRPr="00515494" w:rsidRDefault="001434E6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5480AC48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5E350C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2606F8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E62A5D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41C8F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F86D93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048CA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1434E6" w:rsidRPr="0000434F" w14:paraId="01EF725F" w14:textId="77777777" w:rsidTr="00236CF3">
        <w:tc>
          <w:tcPr>
            <w:tcW w:w="2785" w:type="dxa"/>
          </w:tcPr>
          <w:p w14:paraId="481A27C2" w14:textId="19DB48FD" w:rsidR="001434E6" w:rsidRDefault="001434E6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04" w:type="dxa"/>
          </w:tcPr>
          <w:p w14:paraId="2E740961" w14:textId="77777777" w:rsidR="001434E6" w:rsidRPr="00BC1F88" w:rsidRDefault="001434E6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3498A827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77B8CE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F9B279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07432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B66A64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1C826D" w14:textId="77777777" w:rsidR="001434E6" w:rsidRPr="00515494" w:rsidRDefault="001434E6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14C4726E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66AFD7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74A8B1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78631E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7F676B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AF2E77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9666B9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1434E6" w:rsidRPr="0000434F" w14:paraId="327B3CE0" w14:textId="77777777" w:rsidTr="00236CF3">
        <w:tc>
          <w:tcPr>
            <w:tcW w:w="2785" w:type="dxa"/>
          </w:tcPr>
          <w:p w14:paraId="22EB9759" w14:textId="0C8BCDC8" w:rsidR="001434E6" w:rsidRDefault="001434E6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04" w:type="dxa"/>
          </w:tcPr>
          <w:p w14:paraId="431A057A" w14:textId="77777777" w:rsidR="001434E6" w:rsidRPr="00BC1F88" w:rsidRDefault="001434E6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5850F27C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35EBB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06040D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D63194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38BFD9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24D3CE" w14:textId="77777777" w:rsidR="001434E6" w:rsidRPr="00515494" w:rsidRDefault="001434E6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3DDE55DC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90B277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B3507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CE376C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30D0AC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C2374A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005CB" w14:textId="77777777" w:rsidR="001434E6" w:rsidRPr="0000434F" w:rsidRDefault="001434E6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630527" w:rsidRPr="0000434F" w14:paraId="7BB3C569" w14:textId="77777777" w:rsidTr="00236CF3">
        <w:tc>
          <w:tcPr>
            <w:tcW w:w="2785" w:type="dxa"/>
          </w:tcPr>
          <w:p w14:paraId="2C3C55B8" w14:textId="52F7F25C" w:rsidR="00630527" w:rsidRPr="00C64B95" w:rsidRDefault="00630527" w:rsidP="001434E6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31.</w:t>
            </w:r>
            <w:r w:rsidR="001434E6">
              <w:rPr>
                <w:rFonts w:cs="Arial"/>
                <w:b/>
                <w:sz w:val="18"/>
                <w:szCs w:val="18"/>
              </w:rPr>
              <w:t>12</w:t>
            </w:r>
            <w:r>
              <w:rPr>
                <w:rFonts w:cs="Arial"/>
                <w:b/>
                <w:sz w:val="18"/>
                <w:szCs w:val="18"/>
              </w:rPr>
              <w:t>.2019</w:t>
            </w:r>
          </w:p>
        </w:tc>
        <w:tc>
          <w:tcPr>
            <w:tcW w:w="504" w:type="dxa"/>
          </w:tcPr>
          <w:p w14:paraId="21B14C30" w14:textId="77777777" w:rsidR="00630527" w:rsidRPr="00BC1F88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29C486D6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57876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9B33F6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255030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8229F6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90AB1E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44017531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F9A3BC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0B08FD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49365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778073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7B83C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3A452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94779C" w:rsidRPr="0000434F" w14:paraId="1597A172" w14:textId="77777777" w:rsidTr="00236CF3">
        <w:tc>
          <w:tcPr>
            <w:tcW w:w="2785" w:type="dxa"/>
          </w:tcPr>
          <w:p w14:paraId="46630CA3" w14:textId="75193C85" w:rsidR="0094779C" w:rsidRDefault="0094779C" w:rsidP="001434E6">
            <w:pPr>
              <w:pStyle w:val="Zkladntextodsazen"/>
              <w:tabs>
                <w:tab w:val="left" w:pos="0"/>
              </w:tabs>
              <w:ind w:left="10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Průměrný počet kusů dle kategorií</w:t>
            </w:r>
          </w:p>
        </w:tc>
        <w:tc>
          <w:tcPr>
            <w:tcW w:w="504" w:type="dxa"/>
          </w:tcPr>
          <w:p w14:paraId="60E8ABE5" w14:textId="77777777" w:rsidR="0094779C" w:rsidRPr="00BC1F88" w:rsidRDefault="0094779C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5917527F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C4B7F6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D252CE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BF54D2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25C7AB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69BA9F" w14:textId="77777777" w:rsidR="0094779C" w:rsidRPr="00515494" w:rsidRDefault="0094779C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7C2934E2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DEBB1C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D0880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FBDC7C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464D8E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19DF29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2DF91" w14:textId="77777777" w:rsidR="0094779C" w:rsidRPr="0000434F" w:rsidRDefault="0094779C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630527" w:rsidRPr="00A51002" w14:paraId="6D8E03E3" w14:textId="77777777" w:rsidTr="00236CF3">
        <w:tc>
          <w:tcPr>
            <w:tcW w:w="2785" w:type="dxa"/>
            <w:vAlign w:val="center"/>
          </w:tcPr>
          <w:p w14:paraId="3AA95571" w14:textId="458D7AEF" w:rsidR="00630527" w:rsidRPr="009D0C80" w:rsidRDefault="00630527" w:rsidP="00236CF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D0C80">
              <w:rPr>
                <w:rFonts w:ascii="Calibri" w:hAnsi="Calibri" w:cs="Calibri"/>
                <w:b/>
                <w:sz w:val="18"/>
                <w:szCs w:val="18"/>
              </w:rPr>
              <w:t>Koeficient přepočtu</w:t>
            </w:r>
            <w:r w:rsidR="009D0C80" w:rsidRPr="009D0C80">
              <w:rPr>
                <w:rFonts w:ascii="Calibri" w:hAnsi="Calibri" w:cs="Calibri"/>
                <w:b/>
                <w:sz w:val="18"/>
                <w:szCs w:val="18"/>
              </w:rPr>
              <w:t xml:space="preserve"> na VDJ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D3F931D" w14:textId="77777777" w:rsidR="00630527" w:rsidRPr="00A51002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jc w:val="center"/>
              <w:rPr>
                <w:rFonts w:cs="Calibri"/>
                <w:sz w:val="16"/>
                <w:szCs w:val="16"/>
              </w:rPr>
            </w:pPr>
            <w:r w:rsidRPr="00A51002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AFB88D0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BC8620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1726F6A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E28FDAA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5983986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E3B08E" w14:textId="77777777" w:rsidR="00630527" w:rsidRPr="00A51002" w:rsidRDefault="00630527" w:rsidP="00236CF3">
            <w:pPr>
              <w:ind w:left="26" w:right="113"/>
              <w:rPr>
                <w:rFonts w:ascii="Calibri" w:hAnsi="Calibri" w:cs="Calibri"/>
                <w:bCs/>
                <w:sz w:val="16"/>
                <w:szCs w:val="16"/>
              </w:rPr>
            </w:pPr>
            <w:r w:rsidRPr="00A51002">
              <w:rPr>
                <w:rFonts w:ascii="Calibri" w:hAnsi="Calibri" w:cs="Calibri"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F9207C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8601A47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9DCD87A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69B37D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177CDA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1DAB1C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3A2AEF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0,03</w:t>
            </w:r>
          </w:p>
        </w:tc>
      </w:tr>
      <w:tr w:rsidR="00630527" w:rsidRPr="00A51002" w14:paraId="7379A02C" w14:textId="77777777" w:rsidTr="00236CF3">
        <w:tc>
          <w:tcPr>
            <w:tcW w:w="2785" w:type="dxa"/>
            <w:vAlign w:val="center"/>
          </w:tcPr>
          <w:p w14:paraId="7C381F56" w14:textId="77777777" w:rsidR="00630527" w:rsidRPr="00A51002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Průměrný počet VDJ dle kategorií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0171A76" w14:textId="77777777" w:rsidR="00630527" w:rsidRPr="00A51002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15EC9DA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7297C0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3345547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9B844EF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D394AE2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9FA9393" w14:textId="77777777" w:rsidR="00630527" w:rsidRPr="00A51002" w:rsidRDefault="00630527" w:rsidP="00236CF3">
            <w:pPr>
              <w:ind w:left="26" w:right="113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FC2F37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AC2F64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5A2E412" w14:textId="77777777" w:rsidR="00630527" w:rsidRPr="00A51002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5147116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433E12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B113A8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4BC2B7" w14:textId="77777777" w:rsidR="00630527" w:rsidRDefault="00630527" w:rsidP="00236C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0527" w:rsidRPr="0000434F" w14:paraId="60A21C12" w14:textId="77777777" w:rsidTr="00236CF3">
        <w:trPr>
          <w:trHeight w:val="417"/>
        </w:trPr>
        <w:tc>
          <w:tcPr>
            <w:tcW w:w="2785" w:type="dxa"/>
            <w:tcBorders>
              <w:right w:val="single" w:sz="8" w:space="0" w:color="auto"/>
            </w:tcBorders>
            <w:vAlign w:val="center"/>
          </w:tcPr>
          <w:p w14:paraId="1C02B2F2" w14:textId="77777777" w:rsidR="00630527" w:rsidRPr="00A51002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  <w:r>
              <w:rPr>
                <w:rFonts w:cs="Arial"/>
                <w:b/>
                <w:sz w:val="18"/>
                <w:szCs w:val="18"/>
              </w:rPr>
              <w:t>Aritmetický průměr VDJ</w:t>
            </w:r>
          </w:p>
        </w:tc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2E97A43D" w14:textId="77777777" w:rsidR="00630527" w:rsidRPr="00BC1F88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0A848617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1918D03D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7F96A42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66E455C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2F67BD07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39CB90E2" w14:textId="77777777" w:rsidR="00630527" w:rsidRPr="00515494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5181F1B0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0121C0A3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06E7DC93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08059F17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5AB4F05C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6A75E80D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542F29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61BD91F" w14:textId="77777777" w:rsidR="00630527" w:rsidRDefault="00630527" w:rsidP="00630527"/>
    <w:p w14:paraId="35655A65" w14:textId="14AAE00F" w:rsidR="00630527" w:rsidRPr="00FD5D78" w:rsidRDefault="00630527" w:rsidP="00A208EE">
      <w:pPr>
        <w:pStyle w:val="Nadpis4"/>
      </w:pPr>
      <w:r w:rsidRPr="00FD5D78">
        <w:lastRenderedPageBreak/>
        <w:t xml:space="preserve">Stanovení aritmetického průměru </w:t>
      </w:r>
      <w:r>
        <w:t>výměry zemědělské půdy</w:t>
      </w:r>
      <w:r w:rsidR="009D0C80">
        <w:t xml:space="preserve"> pro Roční intenzitu</w:t>
      </w:r>
    </w:p>
    <w:p w14:paraId="01FB861C" w14:textId="29AB1B71" w:rsidR="00630527" w:rsidRDefault="00630527" w:rsidP="00630527">
      <w:pPr>
        <w:pStyle w:val="Textodstavce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Postup výpočtu na příkladu </w:t>
      </w:r>
      <w:r w:rsidRPr="00D471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abulky</w:t>
      </w:r>
      <w:r w:rsidRPr="00D4711A">
        <w:rPr>
          <w:rFonts w:ascii="Arial" w:hAnsi="Arial" w:cs="Arial"/>
          <w:sz w:val="22"/>
          <w:szCs w:val="22"/>
        </w:rPr>
        <w:t xml:space="preserve"> </w:t>
      </w:r>
      <w:r w:rsidR="00F17911">
        <w:rPr>
          <w:rFonts w:ascii="Arial" w:hAnsi="Arial" w:cs="Arial"/>
          <w:sz w:val="22"/>
          <w:szCs w:val="22"/>
        </w:rPr>
        <w:t>rok</w:t>
      </w:r>
      <w:r w:rsidRPr="00D4711A">
        <w:rPr>
          <w:rFonts w:ascii="Arial" w:hAnsi="Arial" w:cs="Arial"/>
          <w:sz w:val="22"/>
          <w:szCs w:val="22"/>
        </w:rPr>
        <w:t xml:space="preserve"> 2019 v podkapitole </w:t>
      </w:r>
      <w:r>
        <w:rPr>
          <w:rFonts w:ascii="Arial" w:hAnsi="Arial" w:cs="Arial"/>
          <w:sz w:val="22"/>
          <w:szCs w:val="22"/>
        </w:rPr>
        <w:t xml:space="preserve">GUI obrazovky </w:t>
      </w:r>
      <w:r w:rsidRPr="00D4711A">
        <w:rPr>
          <w:rFonts w:ascii="Arial" w:hAnsi="Arial" w:cs="Arial"/>
          <w:sz w:val="22"/>
          <w:szCs w:val="22"/>
        </w:rPr>
        <w:t xml:space="preserve">IZR ˃ Zelená nafta ˃ </w:t>
      </w:r>
      <w:r w:rsidR="00F17911">
        <w:rPr>
          <w:rFonts w:ascii="Arial" w:hAnsi="Arial" w:cs="Arial"/>
          <w:sz w:val="22"/>
          <w:szCs w:val="22"/>
        </w:rPr>
        <w:t>Roční</w:t>
      </w:r>
      <w:r w:rsidRPr="00D4711A">
        <w:rPr>
          <w:rFonts w:ascii="Arial" w:hAnsi="Arial" w:cs="Arial"/>
          <w:sz w:val="22"/>
          <w:szCs w:val="22"/>
        </w:rPr>
        <w:t xml:space="preserve"> intenzita ˃ </w:t>
      </w:r>
      <w:r>
        <w:rPr>
          <w:rFonts w:ascii="Arial" w:hAnsi="Arial" w:cs="Arial"/>
          <w:sz w:val="22"/>
          <w:szCs w:val="22"/>
        </w:rPr>
        <w:t>Výměra zem. půdy</w:t>
      </w:r>
      <w:r w:rsidRPr="00D4711A">
        <w:rPr>
          <w:rFonts w:ascii="Arial" w:hAnsi="Arial" w:cs="Arial"/>
          <w:sz w:val="22"/>
          <w:szCs w:val="22"/>
        </w:rPr>
        <w:t>:</w:t>
      </w:r>
    </w:p>
    <w:p w14:paraId="29548124" w14:textId="08B9F2BA" w:rsidR="00630527" w:rsidRPr="00D4711A" w:rsidRDefault="00630527" w:rsidP="00625B90">
      <w:pPr>
        <w:pStyle w:val="Textodstavce"/>
        <w:numPr>
          <w:ilvl w:val="0"/>
          <w:numId w:val="22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 se součet výměr za všechny kultury v poptávaném dni (údaje z </w:t>
      </w:r>
      <w:r>
        <w:rPr>
          <w:b/>
        </w:rPr>
        <w:t>LPI_ATR01)</w:t>
      </w:r>
      <w:r>
        <w:rPr>
          <w:rFonts w:ascii="Arial" w:hAnsi="Arial" w:cs="Arial"/>
          <w:sz w:val="22"/>
          <w:szCs w:val="22"/>
        </w:rPr>
        <w:t xml:space="preserve"> = sloupec Výměra celkem</w:t>
      </w:r>
      <w:r w:rsidR="008528C7">
        <w:rPr>
          <w:rFonts w:ascii="Arial" w:hAnsi="Arial" w:cs="Arial"/>
          <w:sz w:val="22"/>
          <w:szCs w:val="22"/>
        </w:rPr>
        <w:t>.</w:t>
      </w:r>
    </w:p>
    <w:p w14:paraId="29EB18ED" w14:textId="2F5B6350" w:rsidR="00630527" w:rsidRDefault="00630527" w:rsidP="00625B90">
      <w:pPr>
        <w:pStyle w:val="Textodstavce"/>
        <w:numPr>
          <w:ilvl w:val="0"/>
          <w:numId w:val="22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Aritmetický průměr výměry v posledním řádku je a</w:t>
      </w:r>
      <w:r w:rsidRPr="00D4711A">
        <w:rPr>
          <w:rFonts w:ascii="Arial" w:hAnsi="Arial" w:cs="Arial"/>
          <w:sz w:val="22"/>
          <w:szCs w:val="22"/>
        </w:rPr>
        <w:t xml:space="preserve">ritmetický průměr </w:t>
      </w:r>
      <w:r w:rsidR="00F17911">
        <w:rPr>
          <w:rFonts w:ascii="Arial" w:hAnsi="Arial" w:cs="Arial"/>
          <w:sz w:val="22"/>
          <w:szCs w:val="22"/>
        </w:rPr>
        <w:t>dvanácti</w:t>
      </w:r>
      <w:r>
        <w:rPr>
          <w:rFonts w:ascii="Arial" w:hAnsi="Arial" w:cs="Arial"/>
          <w:sz w:val="22"/>
          <w:szCs w:val="22"/>
        </w:rPr>
        <w:t xml:space="preserve"> hodnot ve sloupci Výměra celkem. Tato</w:t>
      </w:r>
      <w:r w:rsidRPr="00FD5D78">
        <w:rPr>
          <w:rFonts w:ascii="Arial" w:hAnsi="Arial" w:cs="Arial"/>
          <w:sz w:val="22"/>
          <w:szCs w:val="22"/>
        </w:rPr>
        <w:t xml:space="preserve"> hodnota </w:t>
      </w:r>
      <w:r w:rsidR="000D6AF4">
        <w:rPr>
          <w:rFonts w:ascii="Arial" w:hAnsi="Arial" w:cs="Arial"/>
          <w:sz w:val="22"/>
          <w:szCs w:val="22"/>
        </w:rPr>
        <w:t xml:space="preserve">se zaokrouhlí na 2 desetinná místa dolů a </w:t>
      </w:r>
      <w:r>
        <w:rPr>
          <w:rFonts w:ascii="Arial" w:hAnsi="Arial" w:cs="Arial"/>
          <w:sz w:val="22"/>
          <w:szCs w:val="22"/>
        </w:rPr>
        <w:t xml:space="preserve">bude dosazená do jmenovatele </w:t>
      </w:r>
      <w:r w:rsidRPr="00FD5D78">
        <w:rPr>
          <w:rFonts w:ascii="Arial" w:hAnsi="Arial" w:cs="Arial"/>
          <w:sz w:val="22"/>
          <w:szCs w:val="22"/>
        </w:rPr>
        <w:t>pro výpočet intenzity.</w:t>
      </w:r>
    </w:p>
    <w:p w14:paraId="66E1A4DD" w14:textId="77777777" w:rsidR="00F84454" w:rsidRPr="006C19B5" w:rsidRDefault="00F84454" w:rsidP="00F84454">
      <w:pPr>
        <w:pStyle w:val="Textodstavce"/>
        <w:spacing w:before="0" w:after="0"/>
        <w:ind w:left="780"/>
        <w:rPr>
          <w:rFonts w:ascii="Arial" w:hAnsi="Arial" w:cs="Arial"/>
          <w:color w:val="FF0000"/>
          <w:sz w:val="22"/>
          <w:szCs w:val="22"/>
        </w:rPr>
      </w:pPr>
      <w:r w:rsidRPr="005C6286">
        <w:rPr>
          <w:rFonts w:ascii="Arial" w:hAnsi="Arial" w:cs="Arial"/>
          <w:color w:val="FF0000"/>
          <w:sz w:val="22"/>
          <w:szCs w:val="22"/>
        </w:rPr>
        <w:t xml:space="preserve">Pozn. Pokud nebude subjekt registrován jako </w:t>
      </w:r>
      <w:r>
        <w:rPr>
          <w:rFonts w:ascii="Arial" w:hAnsi="Arial" w:cs="Arial"/>
          <w:color w:val="FF0000"/>
          <w:sz w:val="22"/>
          <w:szCs w:val="22"/>
        </w:rPr>
        <w:t>uživatel</w:t>
      </w:r>
      <w:r w:rsidRPr="005C628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k poslednímu dni příslušného měsíce zdaňovacího období</w:t>
      </w:r>
      <w:r w:rsidRPr="005C6286"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bude za příslušné období vstupovat do výpočtu – intenzita v daném měsíci bude 0</w:t>
      </w:r>
    </w:p>
    <w:p w14:paraId="3B27F438" w14:textId="600C355D" w:rsidR="00630527" w:rsidRDefault="00630527" w:rsidP="00A208EE">
      <w:pPr>
        <w:pStyle w:val="Nadpis4"/>
      </w:pPr>
      <w:r>
        <w:t xml:space="preserve">GUI obrazovky IZR </w:t>
      </w:r>
      <w:r w:rsidRPr="00F03F69">
        <w:t>˃</w:t>
      </w:r>
      <w:r>
        <w:t xml:space="preserve"> Zelená nafta </w:t>
      </w:r>
      <w:r w:rsidRPr="00F03F69">
        <w:t xml:space="preserve">˃ </w:t>
      </w:r>
      <w:r w:rsidR="00F17911">
        <w:t>Roční</w:t>
      </w:r>
      <w:r>
        <w:t xml:space="preserve"> intenzita </w:t>
      </w:r>
      <w:r w:rsidRPr="00F03F69">
        <w:t>˃</w:t>
      </w:r>
      <w:r>
        <w:t xml:space="preserve"> Výměra zem. půdy</w:t>
      </w:r>
    </w:p>
    <w:p w14:paraId="46DAB1AE" w14:textId="77777777" w:rsidR="00236CF3" w:rsidRDefault="00236CF3" w:rsidP="00236CF3">
      <w:pPr>
        <w:jc w:val="both"/>
      </w:pPr>
      <w:r>
        <w:t xml:space="preserve">Z tabulky výpočtu intenzity chovu bude umožněno z buňky Výměra otevřít obrazovku (v plovoucím okně) </w:t>
      </w:r>
      <w:r w:rsidRPr="001173FB">
        <w:rPr>
          <w:b/>
        </w:rPr>
        <w:t xml:space="preserve">Zelená nafta ˃ </w:t>
      </w:r>
      <w:r>
        <w:rPr>
          <w:b/>
        </w:rPr>
        <w:t>Výměra zem. půdy</w:t>
      </w:r>
      <w:r w:rsidRPr="00D25037">
        <w:t xml:space="preserve">, která bude </w:t>
      </w:r>
      <w:r>
        <w:t>zobrazovat</w:t>
      </w:r>
      <w:r w:rsidRPr="00D25037">
        <w:t xml:space="preserve"> zdrojová data pro výpočet hodnoty </w:t>
      </w:r>
      <w:r>
        <w:t>výměry.</w:t>
      </w:r>
    </w:p>
    <w:p w14:paraId="60A1704E" w14:textId="77777777" w:rsidR="008528C7" w:rsidRDefault="008528C7" w:rsidP="00630527">
      <w:pPr>
        <w:jc w:val="both"/>
      </w:pPr>
    </w:p>
    <w:p w14:paraId="06D0E40F" w14:textId="77777777" w:rsidR="00630527" w:rsidRPr="00111BAD" w:rsidRDefault="00630527" w:rsidP="00630527">
      <w:pPr>
        <w:jc w:val="both"/>
      </w:pPr>
      <w:r w:rsidRPr="00111BAD">
        <w:t xml:space="preserve">Legenda nad tabulkou: </w:t>
      </w:r>
      <w:r>
        <w:rPr>
          <w:i/>
        </w:rPr>
        <w:t>Výměra obhospodařované půdy</w:t>
      </w:r>
      <w:r w:rsidRPr="00111BAD">
        <w:rPr>
          <w:i/>
        </w:rPr>
        <w:t xml:space="preserve"> za období…….</w:t>
      </w:r>
    </w:p>
    <w:p w14:paraId="16C9D384" w14:textId="77777777" w:rsidR="00630527" w:rsidRDefault="00630527" w:rsidP="00630527">
      <w:pPr>
        <w:jc w:val="both"/>
      </w:pPr>
      <w:r w:rsidRPr="00111BAD">
        <w:t xml:space="preserve">Struktura tabulky </w:t>
      </w:r>
      <w:r>
        <w:t>Výměra zem. půdy</w:t>
      </w:r>
      <w:r w:rsidRPr="00111BAD">
        <w:t>:</w:t>
      </w:r>
    </w:p>
    <w:tbl>
      <w:tblPr>
        <w:tblStyle w:val="Mkatabulky"/>
        <w:tblW w:w="7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485"/>
        <w:gridCol w:w="504"/>
        <w:gridCol w:w="426"/>
        <w:gridCol w:w="708"/>
        <w:gridCol w:w="426"/>
        <w:gridCol w:w="425"/>
        <w:gridCol w:w="425"/>
        <w:gridCol w:w="425"/>
        <w:gridCol w:w="567"/>
        <w:gridCol w:w="426"/>
        <w:gridCol w:w="425"/>
      </w:tblGrid>
      <w:tr w:rsidR="00630527" w:rsidRPr="006439A5" w14:paraId="4B204F46" w14:textId="77777777" w:rsidTr="00236CF3">
        <w:trPr>
          <w:cantSplit/>
          <w:trHeight w:val="2588"/>
        </w:trPr>
        <w:tc>
          <w:tcPr>
            <w:tcW w:w="2300" w:type="dxa"/>
            <w:textDirection w:val="btLr"/>
            <w:vAlign w:val="center"/>
          </w:tcPr>
          <w:p w14:paraId="57C42E0B" w14:textId="77777777" w:rsidR="00630527" w:rsidRPr="006439A5" w:rsidRDefault="00630527" w:rsidP="00236CF3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  <w:r w:rsidRPr="006439A5">
              <w:rPr>
                <w:rFonts w:ascii="Calibri" w:hAnsi="Calibri" w:cs="Calibri"/>
                <w:b/>
                <w:szCs w:val="22"/>
              </w:rPr>
              <w:t>Datum</w:t>
            </w:r>
          </w:p>
        </w:tc>
        <w:tc>
          <w:tcPr>
            <w:tcW w:w="485" w:type="dxa"/>
            <w:textDirection w:val="btLr"/>
          </w:tcPr>
          <w:p w14:paraId="1C273397" w14:textId="77777777" w:rsidR="00630527" w:rsidRPr="006439A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  <w:highlight w:val="yellow"/>
              </w:rPr>
            </w:pPr>
            <w:r>
              <w:rPr>
                <w:rFonts w:cs="Calibri"/>
                <w:b/>
                <w:szCs w:val="22"/>
              </w:rPr>
              <w:t>Výměr</w:t>
            </w:r>
            <w:r w:rsidRPr="00BB3A35">
              <w:rPr>
                <w:rFonts w:cs="Calibri"/>
                <w:b/>
                <w:szCs w:val="22"/>
              </w:rPr>
              <w:t>a</w:t>
            </w:r>
            <w:r>
              <w:rPr>
                <w:rFonts w:cs="Calibri"/>
                <w:b/>
                <w:szCs w:val="22"/>
              </w:rPr>
              <w:t xml:space="preserve"> celkem</w:t>
            </w:r>
          </w:p>
        </w:tc>
        <w:tc>
          <w:tcPr>
            <w:tcW w:w="504" w:type="dxa"/>
            <w:textDirection w:val="btLr"/>
          </w:tcPr>
          <w:p w14:paraId="26F2E84C" w14:textId="77777777" w:rsidR="00630527" w:rsidRPr="006439A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6439A5">
              <w:rPr>
                <w:rFonts w:cs="Calibri"/>
                <w:b/>
              </w:rPr>
              <w:t>R – standardní orná půda</w:t>
            </w:r>
            <w:r w:rsidRPr="006439A5">
              <w:rPr>
                <w:rFonts w:cs="Calibri"/>
                <w:b/>
                <w:szCs w:val="22"/>
              </w:rPr>
              <w:t xml:space="preserve"> </w:t>
            </w:r>
          </w:p>
          <w:p w14:paraId="4FC6672D" w14:textId="77777777" w:rsidR="00630527" w:rsidRPr="006439A5" w:rsidRDefault="00630527" w:rsidP="00236CF3">
            <w:pPr>
              <w:tabs>
                <w:tab w:val="left" w:pos="0"/>
              </w:tabs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097112B3" w14:textId="77777777" w:rsidR="00630527" w:rsidRPr="006439A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6439A5">
              <w:rPr>
                <w:rFonts w:cs="Calibri"/>
                <w:b/>
              </w:rPr>
              <w:t>U – úhor</w:t>
            </w:r>
            <w:r w:rsidRPr="006439A5">
              <w:rPr>
                <w:rFonts w:cs="Calibri"/>
                <w:b/>
                <w:szCs w:val="22"/>
              </w:rPr>
              <w:t xml:space="preserve"> </w:t>
            </w:r>
          </w:p>
          <w:p w14:paraId="51E71F57" w14:textId="77777777" w:rsidR="00630527" w:rsidRPr="006439A5" w:rsidRDefault="00630527" w:rsidP="00236CF3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14:paraId="2AAA1CEE" w14:textId="77777777" w:rsidR="00630527" w:rsidRPr="006439A5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G – travní porost (na orné pudě)</w:t>
            </w:r>
          </w:p>
        </w:tc>
        <w:tc>
          <w:tcPr>
            <w:tcW w:w="426" w:type="dxa"/>
            <w:textDirection w:val="btLr"/>
          </w:tcPr>
          <w:p w14:paraId="5B24A582" w14:textId="77777777" w:rsidR="00630527" w:rsidRPr="006439A5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T – trvalý travní porost</w:t>
            </w:r>
          </w:p>
        </w:tc>
        <w:tc>
          <w:tcPr>
            <w:tcW w:w="425" w:type="dxa"/>
            <w:textDirection w:val="btLr"/>
          </w:tcPr>
          <w:p w14:paraId="27EE5E45" w14:textId="77777777" w:rsidR="00630527" w:rsidRPr="006439A5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V – vinice</w:t>
            </w:r>
          </w:p>
        </w:tc>
        <w:tc>
          <w:tcPr>
            <w:tcW w:w="425" w:type="dxa"/>
            <w:textDirection w:val="btLr"/>
          </w:tcPr>
          <w:p w14:paraId="7EA34212" w14:textId="77777777" w:rsidR="00630527" w:rsidRPr="006439A5" w:rsidRDefault="00630527" w:rsidP="00236CF3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C – chmelnice</w:t>
            </w:r>
            <w:r w:rsidRPr="006439A5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14:paraId="582AB7E8" w14:textId="77777777" w:rsidR="00630527" w:rsidRPr="006439A5" w:rsidRDefault="00630527" w:rsidP="00236CF3">
            <w:pPr>
              <w:ind w:left="26" w:right="113"/>
              <w:rPr>
                <w:rFonts w:ascii="Calibri" w:hAnsi="Calibri" w:cs="Calibri"/>
                <w:b/>
              </w:rPr>
            </w:pPr>
            <w:r w:rsidRPr="006439A5">
              <w:rPr>
                <w:rFonts w:ascii="Calibri" w:hAnsi="Calibri" w:cs="Calibri"/>
                <w:b/>
              </w:rPr>
              <w:t xml:space="preserve">S – sad </w:t>
            </w:r>
          </w:p>
        </w:tc>
        <w:tc>
          <w:tcPr>
            <w:tcW w:w="567" w:type="dxa"/>
            <w:textDirection w:val="btLr"/>
          </w:tcPr>
          <w:p w14:paraId="79DE136C" w14:textId="77777777" w:rsidR="00630527" w:rsidRPr="006439A5" w:rsidRDefault="00630527" w:rsidP="00236CF3">
            <w:pPr>
              <w:ind w:left="41" w:right="113"/>
              <w:rPr>
                <w:rFonts w:ascii="Calibri" w:hAnsi="Calibri" w:cs="Calibri"/>
                <w:b/>
                <w:bCs/>
                <w:szCs w:val="22"/>
              </w:rPr>
            </w:pPr>
            <w:r w:rsidRPr="006439A5">
              <w:rPr>
                <w:rFonts w:ascii="Calibri" w:hAnsi="Calibri" w:cs="Calibri"/>
                <w:b/>
              </w:rPr>
              <w:t>K – školka</w:t>
            </w:r>
            <w:r w:rsidRPr="006439A5">
              <w:rPr>
                <w:rFonts w:ascii="Calibri" w:hAnsi="Calibri" w:cs="Calibri"/>
                <w:b/>
                <w:bCs/>
                <w:szCs w:val="22"/>
              </w:rPr>
              <w:t xml:space="preserve">  </w:t>
            </w:r>
          </w:p>
          <w:p w14:paraId="579C15C3" w14:textId="77777777" w:rsidR="00630527" w:rsidRPr="006439A5" w:rsidRDefault="00630527" w:rsidP="00236CF3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</w:tcPr>
          <w:p w14:paraId="19FBB9AD" w14:textId="77777777" w:rsidR="00630527" w:rsidRPr="006439A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6439A5">
              <w:rPr>
                <w:rFonts w:cs="Calibri"/>
                <w:b/>
              </w:rPr>
              <w:t>J – jiná trvalá kultura</w:t>
            </w:r>
            <w:r w:rsidRPr="006439A5">
              <w:rPr>
                <w:rFonts w:cs="Calibri"/>
                <w:b/>
                <w:szCs w:val="22"/>
              </w:rPr>
              <w:t xml:space="preserve"> </w:t>
            </w:r>
          </w:p>
          <w:p w14:paraId="690EE189" w14:textId="77777777" w:rsidR="00630527" w:rsidRPr="006439A5" w:rsidRDefault="00630527" w:rsidP="00236CF3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</w:tcPr>
          <w:p w14:paraId="7AEF2DBE" w14:textId="77777777" w:rsidR="00630527" w:rsidRPr="006439A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6439A5">
              <w:rPr>
                <w:rFonts w:cs="Calibri"/>
                <w:b/>
              </w:rPr>
              <w:t xml:space="preserve">D – rychle rostoucí dřeviny pěstované </w:t>
            </w:r>
            <w:r w:rsidRPr="006439A5">
              <w:rPr>
                <w:rFonts w:cs="Calibri"/>
                <w:b/>
              </w:rPr>
              <w:br/>
              <w:t>ve výmladkových plantážích</w:t>
            </w:r>
            <w:r w:rsidRPr="006439A5">
              <w:rPr>
                <w:rFonts w:cs="Calibri"/>
                <w:b/>
                <w:szCs w:val="22"/>
              </w:rPr>
              <w:t xml:space="preserve"> ě</w:t>
            </w:r>
          </w:p>
          <w:p w14:paraId="44BABE38" w14:textId="77777777" w:rsidR="00630527" w:rsidRPr="006439A5" w:rsidRDefault="00630527" w:rsidP="00236CF3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</w:tr>
      <w:tr w:rsidR="00630527" w:rsidRPr="0000434F" w14:paraId="0891CFCF" w14:textId="77777777" w:rsidTr="00236CF3">
        <w:tc>
          <w:tcPr>
            <w:tcW w:w="2300" w:type="dxa"/>
          </w:tcPr>
          <w:p w14:paraId="318DFD9B" w14:textId="77777777" w:rsidR="00630527" w:rsidRPr="00C9411A" w:rsidRDefault="00630527" w:rsidP="00236CF3">
            <w:pPr>
              <w:rPr>
                <w:rFonts w:cs="Arial"/>
                <w:b/>
                <w:sz w:val="18"/>
                <w:szCs w:val="18"/>
              </w:rPr>
            </w:pPr>
            <w:r w:rsidRPr="00C9411A">
              <w:rPr>
                <w:rFonts w:cs="Arial"/>
                <w:b/>
                <w:sz w:val="18"/>
                <w:szCs w:val="18"/>
              </w:rPr>
              <w:t>31.</w:t>
            </w:r>
            <w:r>
              <w:rPr>
                <w:rFonts w:cs="Arial"/>
                <w:b/>
                <w:sz w:val="18"/>
                <w:szCs w:val="18"/>
              </w:rPr>
              <w:t>1.2019</w:t>
            </w:r>
          </w:p>
        </w:tc>
        <w:tc>
          <w:tcPr>
            <w:tcW w:w="485" w:type="dxa"/>
          </w:tcPr>
          <w:p w14:paraId="2F470098" w14:textId="77777777" w:rsidR="00630527" w:rsidRPr="00C64B9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</w:tcPr>
          <w:p w14:paraId="51EEA687" w14:textId="77777777" w:rsidR="00630527" w:rsidRPr="00BC1F88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4B7764AE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5E46AC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C9F7B2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303EE1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E9280F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B2BE0F" w14:textId="77777777" w:rsidR="00630527" w:rsidRPr="006439A5" w:rsidRDefault="00630527" w:rsidP="00236CF3">
            <w:pPr>
              <w:ind w:left="26" w:right="113"/>
            </w:pPr>
          </w:p>
        </w:tc>
        <w:tc>
          <w:tcPr>
            <w:tcW w:w="567" w:type="dxa"/>
          </w:tcPr>
          <w:p w14:paraId="0C3233E6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FDA7FD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227FE9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630527" w:rsidRPr="0000434F" w14:paraId="2FD4D396" w14:textId="77777777" w:rsidTr="00236CF3">
        <w:tc>
          <w:tcPr>
            <w:tcW w:w="2300" w:type="dxa"/>
          </w:tcPr>
          <w:p w14:paraId="5CDDFA96" w14:textId="77777777" w:rsidR="00630527" w:rsidRPr="00C9411A" w:rsidRDefault="00630527" w:rsidP="00236C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28.2.2019</w:t>
            </w:r>
          </w:p>
        </w:tc>
        <w:tc>
          <w:tcPr>
            <w:tcW w:w="485" w:type="dxa"/>
          </w:tcPr>
          <w:p w14:paraId="4AE323C9" w14:textId="77777777" w:rsidR="00630527" w:rsidRPr="00C64B9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</w:tcPr>
          <w:p w14:paraId="06E0A0F4" w14:textId="77777777" w:rsidR="00630527" w:rsidRPr="00BC1F88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728B5654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7BBC5D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F632B3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03BA9F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1B2514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6A3665" w14:textId="77777777" w:rsidR="00630527" w:rsidRPr="006439A5" w:rsidRDefault="00630527" w:rsidP="00236CF3">
            <w:pPr>
              <w:ind w:left="26" w:right="113"/>
            </w:pPr>
          </w:p>
        </w:tc>
        <w:tc>
          <w:tcPr>
            <w:tcW w:w="567" w:type="dxa"/>
          </w:tcPr>
          <w:p w14:paraId="1EB5C17F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CCE1E7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0340AB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F17911" w:rsidRPr="0000434F" w14:paraId="5E782223" w14:textId="77777777" w:rsidTr="00236CF3">
        <w:tc>
          <w:tcPr>
            <w:tcW w:w="2300" w:type="dxa"/>
          </w:tcPr>
          <w:p w14:paraId="6C7DAF62" w14:textId="41C28489" w:rsidR="00F17911" w:rsidRDefault="00F17911" w:rsidP="00236C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14:paraId="2CBE3E16" w14:textId="77777777" w:rsidR="00F17911" w:rsidRPr="00C64B95" w:rsidRDefault="00F17911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</w:tcPr>
          <w:p w14:paraId="196092A8" w14:textId="77777777" w:rsidR="00F17911" w:rsidRPr="00BC1F88" w:rsidRDefault="00F17911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28E70782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17BCD9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B4BAA2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89E9C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99A4A2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4DAC27" w14:textId="77777777" w:rsidR="00F17911" w:rsidRPr="006439A5" w:rsidRDefault="00F17911" w:rsidP="00236CF3">
            <w:pPr>
              <w:ind w:left="26" w:right="113"/>
            </w:pPr>
          </w:p>
        </w:tc>
        <w:tc>
          <w:tcPr>
            <w:tcW w:w="567" w:type="dxa"/>
          </w:tcPr>
          <w:p w14:paraId="46D20AB7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F1F151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353F2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F17911" w:rsidRPr="0000434F" w14:paraId="278B5FBC" w14:textId="77777777" w:rsidTr="00236CF3">
        <w:tc>
          <w:tcPr>
            <w:tcW w:w="2300" w:type="dxa"/>
          </w:tcPr>
          <w:p w14:paraId="3675CD3A" w14:textId="5E636438" w:rsidR="00F17911" w:rsidRDefault="00F17911" w:rsidP="00236C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14:paraId="604F0D0D" w14:textId="77777777" w:rsidR="00F17911" w:rsidRPr="00C64B95" w:rsidRDefault="00F17911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</w:tcPr>
          <w:p w14:paraId="53B4838A" w14:textId="77777777" w:rsidR="00F17911" w:rsidRPr="00BC1F88" w:rsidRDefault="00F17911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4F271A7A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2F8FE4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AFE1EF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7B924C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A84CD8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98CF24" w14:textId="77777777" w:rsidR="00F17911" w:rsidRPr="006439A5" w:rsidRDefault="00F17911" w:rsidP="00236CF3">
            <w:pPr>
              <w:ind w:left="26" w:right="113"/>
            </w:pPr>
          </w:p>
        </w:tc>
        <w:tc>
          <w:tcPr>
            <w:tcW w:w="567" w:type="dxa"/>
          </w:tcPr>
          <w:p w14:paraId="5A4F554B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880772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927B26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F17911" w:rsidRPr="0000434F" w14:paraId="55460736" w14:textId="77777777" w:rsidTr="00236CF3">
        <w:tc>
          <w:tcPr>
            <w:tcW w:w="2300" w:type="dxa"/>
          </w:tcPr>
          <w:p w14:paraId="1371A9D5" w14:textId="26089A21" w:rsidR="00F17911" w:rsidRDefault="00F17911" w:rsidP="00236C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14:paraId="0A8D1BC3" w14:textId="77777777" w:rsidR="00F17911" w:rsidRPr="00C64B95" w:rsidRDefault="00F17911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</w:tcPr>
          <w:p w14:paraId="626EB0F9" w14:textId="77777777" w:rsidR="00F17911" w:rsidRPr="00BC1F88" w:rsidRDefault="00F17911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</w:tcPr>
          <w:p w14:paraId="4B8835F2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8A578F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4DF034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04B9E8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5CC9E8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BA8DD7" w14:textId="77777777" w:rsidR="00F17911" w:rsidRPr="006439A5" w:rsidRDefault="00F17911" w:rsidP="00236CF3">
            <w:pPr>
              <w:ind w:left="26" w:right="113"/>
            </w:pPr>
          </w:p>
        </w:tc>
        <w:tc>
          <w:tcPr>
            <w:tcW w:w="567" w:type="dxa"/>
          </w:tcPr>
          <w:p w14:paraId="43E052AA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D00A45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26A99F" w14:textId="77777777" w:rsidR="00F17911" w:rsidRPr="0000434F" w:rsidRDefault="00F17911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630527" w:rsidRPr="0000434F" w14:paraId="34102361" w14:textId="77777777" w:rsidTr="00236CF3">
        <w:tc>
          <w:tcPr>
            <w:tcW w:w="2300" w:type="dxa"/>
          </w:tcPr>
          <w:p w14:paraId="12C5F7E3" w14:textId="2BB4DF30" w:rsidR="00630527" w:rsidRPr="00C9411A" w:rsidRDefault="00F17911" w:rsidP="00236C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31.12</w:t>
            </w:r>
            <w:r w:rsidR="00630527">
              <w:rPr>
                <w:rFonts w:cs="Arial"/>
                <w:b/>
                <w:sz w:val="18"/>
                <w:szCs w:val="18"/>
              </w:rPr>
              <w:t>.2019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4FC38380" w14:textId="77777777" w:rsidR="00630527" w:rsidRPr="00C64B95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  <w:highlight w:val="yellow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1A989CA5" w14:textId="77777777" w:rsidR="00630527" w:rsidRPr="00BC1F88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BE22EE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4EFF1E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99E0914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CEFC64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B53DAE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0BFC47" w14:textId="77777777" w:rsidR="00630527" w:rsidRPr="006439A5" w:rsidRDefault="00630527" w:rsidP="00236CF3">
            <w:pPr>
              <w:ind w:left="26" w:right="113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D9EEE2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AE2BB1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CF0C1A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</w:tr>
      <w:tr w:rsidR="00630527" w:rsidRPr="0000434F" w14:paraId="06E7B77C" w14:textId="77777777" w:rsidTr="00236CF3">
        <w:trPr>
          <w:trHeight w:val="417"/>
        </w:trPr>
        <w:tc>
          <w:tcPr>
            <w:tcW w:w="2300" w:type="dxa"/>
            <w:tcBorders>
              <w:right w:val="single" w:sz="8" w:space="0" w:color="auto"/>
            </w:tcBorders>
            <w:vAlign w:val="center"/>
          </w:tcPr>
          <w:p w14:paraId="6A2A0339" w14:textId="77777777" w:rsidR="00630527" w:rsidRPr="00A51002" w:rsidRDefault="00630527" w:rsidP="00236C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Aritmetický průměr výměry</w:t>
            </w:r>
            <w:r w:rsidRPr="00A5100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8CA8A61" w14:textId="77777777" w:rsidR="00630527" w:rsidRPr="00A51002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504" w:type="dxa"/>
            <w:tcBorders>
              <w:left w:val="nil"/>
              <w:bottom w:val="single" w:sz="4" w:space="0" w:color="auto"/>
              <w:right w:val="nil"/>
            </w:tcBorders>
          </w:tcPr>
          <w:p w14:paraId="3D2BA1ED" w14:textId="77777777" w:rsidR="00630527" w:rsidRPr="00BC1F88" w:rsidRDefault="00630527" w:rsidP="00236CF3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4DEFD025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04110D7C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1D3F130F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17CAE518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5DC37780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2ECC42AB" w14:textId="77777777" w:rsidR="00630527" w:rsidRPr="006439A5" w:rsidRDefault="00630527" w:rsidP="00236CF3">
            <w:pPr>
              <w:ind w:left="26" w:right="113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D265370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725BEE2A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CCB279" w14:textId="77777777" w:rsidR="00630527" w:rsidRPr="0000434F" w:rsidRDefault="00630527" w:rsidP="00236CF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F3AF43F" w14:textId="77777777" w:rsidR="00630527" w:rsidRDefault="00630527" w:rsidP="00A208EE">
      <w:pPr>
        <w:pStyle w:val="Nadpis4"/>
      </w:pPr>
      <w:r>
        <w:t>Export do PDF</w:t>
      </w:r>
    </w:p>
    <w:p w14:paraId="33B8C871" w14:textId="77777777" w:rsidR="00630527" w:rsidRDefault="00630527" w:rsidP="00630527">
      <w:pPr>
        <w:jc w:val="both"/>
      </w:pPr>
      <w:r>
        <w:t xml:space="preserve">Po ukončení výpočtu na stránce IZR </w:t>
      </w:r>
      <w:r>
        <w:rPr>
          <w:rFonts w:cs="Calibri"/>
        </w:rPr>
        <w:t>˃</w:t>
      </w:r>
      <w:r>
        <w:t xml:space="preserve"> Zelená nafta bude umožněno doklad o provedeném výpočtu exportovat do PDF dle přiloženého vzoru. Pro každý výpočet lze tisk opakovat, musí být zajištěno, že tisk obsahuje vždy totožná data identifikovaná jednoznačným ID datové sady.</w:t>
      </w:r>
    </w:p>
    <w:bookmarkStart w:id="2" w:name="_MON_1612693969"/>
    <w:bookmarkEnd w:id="2"/>
    <w:p w14:paraId="52EE6054" w14:textId="77777777" w:rsidR="00630527" w:rsidRPr="005B452B" w:rsidRDefault="00AC597F" w:rsidP="00630527">
      <w:r>
        <w:object w:dxaOrig="1539" w:dyaOrig="995" w14:anchorId="45A0CA32">
          <v:shape id="_x0000_i1026" type="#_x0000_t75" style="width:77.25pt;height:49.5pt" o:ole="">
            <v:imagedata r:id="rId11" o:title=""/>
          </v:shape>
          <o:OLEObject Type="Embed" ProgID="Word.Document.12" ShapeID="_x0000_i1026" DrawAspect="Icon" ObjectID="_1617521378" r:id="rId12">
            <o:FieldCodes>\s</o:FieldCodes>
          </o:OLEObject>
        </w:object>
      </w:r>
    </w:p>
    <w:p w14:paraId="67CB854D" w14:textId="77777777" w:rsidR="00630527" w:rsidRPr="00630527" w:rsidRDefault="00630527" w:rsidP="00630527"/>
    <w:p w14:paraId="589A4EAC" w14:textId="3A904926" w:rsidR="00EC44C4" w:rsidRDefault="00385734" w:rsidP="00A208EE">
      <w:pPr>
        <w:pStyle w:val="Nadpis3"/>
      </w:pPr>
      <w:r>
        <w:lastRenderedPageBreak/>
        <w:t>Spotřeba</w:t>
      </w:r>
      <w:r w:rsidR="00EC44C4">
        <w:t xml:space="preserve"> dle normativů</w:t>
      </w:r>
    </w:p>
    <w:p w14:paraId="3AE23460" w14:textId="4F4E90D6" w:rsidR="00376D41" w:rsidRPr="00376D41" w:rsidRDefault="00376D41" w:rsidP="00376D4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 w:rsidRPr="00376D41">
        <w:rPr>
          <w:szCs w:val="22"/>
        </w:rPr>
        <w:t xml:space="preserve">Pokud si subjekt zvolí pro </w:t>
      </w:r>
      <w:r w:rsidRPr="00376D41">
        <w:rPr>
          <w:rFonts w:cs="Arial"/>
          <w:color w:val="000000"/>
          <w:szCs w:val="22"/>
          <w:lang w:eastAsia="cs-CZ"/>
        </w:rPr>
        <w:t>prokázání vzniku nároku na vrácení daně</w:t>
      </w:r>
      <w:r>
        <w:rPr>
          <w:rFonts w:cs="Arial"/>
          <w:color w:val="000000"/>
          <w:szCs w:val="22"/>
          <w:lang w:eastAsia="cs-CZ"/>
        </w:rPr>
        <w:t xml:space="preserve"> </w:t>
      </w:r>
      <w:r w:rsidRPr="00FE1F79">
        <w:rPr>
          <w:b/>
          <w:szCs w:val="22"/>
        </w:rPr>
        <w:t xml:space="preserve">výpočet spotřeby minerálních olejů dle </w:t>
      </w:r>
      <w:r>
        <w:rPr>
          <w:b/>
          <w:szCs w:val="22"/>
        </w:rPr>
        <w:t>r</w:t>
      </w:r>
      <w:r w:rsidRPr="00FE1F79">
        <w:rPr>
          <w:b/>
          <w:szCs w:val="22"/>
        </w:rPr>
        <w:t>očních normativů</w:t>
      </w:r>
      <w:r w:rsidRPr="00376D41">
        <w:rPr>
          <w:rFonts w:cs="Arial"/>
          <w:color w:val="000000"/>
          <w:szCs w:val="22"/>
          <w:lang w:eastAsia="cs-CZ"/>
        </w:rPr>
        <w:t>, prokazuje spotřebu minerálních olejů na základě dokladu z IZR, na tomto dokladu bude uvedena spotřeba v litrech, která byla vypočítána v IZR na základě stavů VDJ a ročních normativů stanovených pro každou kategorii zvířat</w:t>
      </w:r>
      <w:r>
        <w:rPr>
          <w:rFonts w:cs="Arial"/>
          <w:color w:val="000000"/>
          <w:szCs w:val="22"/>
          <w:lang w:eastAsia="cs-CZ"/>
        </w:rPr>
        <w:t xml:space="preserve"> ve vyhlášce</w:t>
      </w:r>
      <w:r w:rsidRPr="00376D41">
        <w:rPr>
          <w:rFonts w:cs="Arial"/>
          <w:color w:val="000000"/>
          <w:szCs w:val="22"/>
          <w:lang w:eastAsia="cs-CZ"/>
        </w:rPr>
        <w:t xml:space="preserve">. </w:t>
      </w:r>
      <w:r>
        <w:rPr>
          <w:rFonts w:cs="Arial"/>
          <w:color w:val="000000"/>
          <w:szCs w:val="22"/>
          <w:lang w:eastAsia="cs-CZ"/>
        </w:rPr>
        <w:t>P</w:t>
      </w:r>
      <w:r w:rsidRPr="00855F52">
        <w:rPr>
          <w:rFonts w:cs="Arial"/>
          <w:color w:val="000000"/>
          <w:szCs w:val="22"/>
          <w:lang w:eastAsia="cs-CZ"/>
        </w:rPr>
        <w:t xml:space="preserve">ro tento </w:t>
      </w:r>
      <w:r w:rsidR="00F207A3">
        <w:rPr>
          <w:rFonts w:cs="Arial"/>
          <w:color w:val="000000"/>
          <w:szCs w:val="22"/>
          <w:lang w:eastAsia="cs-CZ"/>
        </w:rPr>
        <w:t>typ výpočtu</w:t>
      </w:r>
      <w:r w:rsidRPr="00855F52">
        <w:rPr>
          <w:rFonts w:cs="Arial"/>
          <w:color w:val="000000"/>
          <w:szCs w:val="22"/>
          <w:lang w:eastAsia="cs-CZ"/>
        </w:rPr>
        <w:t xml:space="preserve"> je vždy </w:t>
      </w:r>
      <w:r w:rsidRPr="00855F52">
        <w:rPr>
          <w:rFonts w:cs="Arial"/>
          <w:b/>
          <w:color w:val="000000"/>
          <w:szCs w:val="22"/>
          <w:lang w:eastAsia="cs-CZ"/>
        </w:rPr>
        <w:t>zdaňovacím obdobím kalendářní rok</w:t>
      </w:r>
    </w:p>
    <w:p w14:paraId="3C66D773" w14:textId="2698FF4F" w:rsidR="00385734" w:rsidRDefault="00385734" w:rsidP="00A208EE">
      <w:pPr>
        <w:pStyle w:val="Nadpis4"/>
      </w:pPr>
      <w:r>
        <w:t>Specifikace výpočtu Spotřeba dle normativů</w:t>
      </w:r>
    </w:p>
    <w:p w14:paraId="01978B16" w14:textId="68CA56DD" w:rsidR="00385734" w:rsidRDefault="00376D41" w:rsidP="00376D41">
      <w:pPr>
        <w:pStyle w:val="Textodstavce"/>
        <w:tabs>
          <w:tab w:val="left" w:pos="0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2 odst. 6 vyhlášky se s</w:t>
      </w:r>
      <w:r w:rsidR="00385734">
        <w:rPr>
          <w:rFonts w:ascii="Arial" w:hAnsi="Arial" w:cs="Arial"/>
          <w:sz w:val="22"/>
          <w:szCs w:val="22"/>
        </w:rPr>
        <w:t>potřeba minerálních olejů př</w:t>
      </w:r>
      <w:r>
        <w:rPr>
          <w:rFonts w:ascii="Arial" w:hAnsi="Arial" w:cs="Arial"/>
          <w:sz w:val="22"/>
          <w:szCs w:val="22"/>
        </w:rPr>
        <w:t xml:space="preserve">i chovu hospodářských zvířat </w:t>
      </w:r>
      <w:r w:rsidR="00385734">
        <w:rPr>
          <w:rFonts w:ascii="Arial" w:hAnsi="Arial" w:cs="Arial"/>
          <w:sz w:val="22"/>
          <w:szCs w:val="22"/>
        </w:rPr>
        <w:t>vypočte jako součet spotřeb minerálních olejů za jednotlivé kategorie ročních normativů minimální spotřeby chovu hospodářských zvířat.</w:t>
      </w:r>
    </w:p>
    <w:p w14:paraId="24EDE415" w14:textId="32119D35" w:rsidR="00385734" w:rsidRDefault="00376D41" w:rsidP="00376D41">
      <w:pPr>
        <w:pStyle w:val="Textodstavce"/>
        <w:tabs>
          <w:tab w:val="left" w:pos="0"/>
        </w:tabs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2 odst. 7 se s</w:t>
      </w:r>
      <w:r w:rsidR="00385734">
        <w:rPr>
          <w:rFonts w:ascii="Arial" w:hAnsi="Arial" w:cs="Arial"/>
          <w:sz w:val="22"/>
          <w:szCs w:val="22"/>
        </w:rPr>
        <w:t xml:space="preserve">potřeba minerálních olejů za jednotlivou kategorii ročních normativů minimální spotřeby chovu hospodářských zvířat vypočte jako </w:t>
      </w:r>
      <w:r w:rsidR="00385734">
        <w:rPr>
          <w:rFonts w:ascii="Arial" w:hAnsi="Arial" w:cs="Arial"/>
          <w:b/>
          <w:sz w:val="22"/>
          <w:szCs w:val="22"/>
        </w:rPr>
        <w:t>součin</w:t>
      </w:r>
    </w:p>
    <w:p w14:paraId="5553B6CF" w14:textId="77777777" w:rsidR="00385734" w:rsidRDefault="00385734" w:rsidP="00393B99">
      <w:pPr>
        <w:pStyle w:val="Textpsmene"/>
        <w:ind w:left="850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x-none"/>
        </w:rPr>
        <w:t>a)</w:t>
      </w:r>
      <w:r>
        <w:rPr>
          <w:rFonts w:ascii="Arial" w:hAnsi="Arial" w:cs="Arial"/>
          <w:sz w:val="22"/>
          <w:szCs w:val="22"/>
          <w:lang w:val="x-none"/>
        </w:rPr>
        <w:tab/>
      </w:r>
      <w:r>
        <w:rPr>
          <w:rFonts w:ascii="Arial" w:hAnsi="Arial" w:cs="Arial"/>
          <w:b/>
          <w:sz w:val="22"/>
          <w:szCs w:val="22"/>
          <w:lang w:val="x-none"/>
        </w:rPr>
        <w:t xml:space="preserve">aritmetického průměru </w:t>
      </w:r>
      <w:r>
        <w:rPr>
          <w:rFonts w:ascii="Arial" w:hAnsi="Arial" w:cs="Arial"/>
          <w:b/>
          <w:sz w:val="22"/>
          <w:szCs w:val="22"/>
        </w:rPr>
        <w:t>stavů</w:t>
      </w:r>
      <w:r>
        <w:rPr>
          <w:rFonts w:ascii="Arial" w:hAnsi="Arial" w:cs="Arial"/>
          <w:b/>
          <w:sz w:val="22"/>
          <w:szCs w:val="22"/>
          <w:lang w:val="x-none"/>
        </w:rPr>
        <w:t xml:space="preserve"> hospodářských zvířat dané kategorie</w:t>
      </w:r>
      <w:r>
        <w:rPr>
          <w:rFonts w:ascii="Arial" w:hAnsi="Arial" w:cs="Arial"/>
          <w:sz w:val="22"/>
          <w:szCs w:val="22"/>
          <w:lang w:val="x-none"/>
        </w:rPr>
        <w:t xml:space="preserve"> </w:t>
      </w:r>
      <w:r>
        <w:rPr>
          <w:rFonts w:ascii="Arial" w:hAnsi="Arial" w:cs="Arial"/>
          <w:sz w:val="22"/>
          <w:szCs w:val="22"/>
        </w:rPr>
        <w:t>ročních normativů minimální spotřeby</w:t>
      </w:r>
      <w:r>
        <w:rPr>
          <w:rFonts w:ascii="Arial" w:hAnsi="Arial" w:cs="Arial"/>
          <w:sz w:val="22"/>
          <w:szCs w:val="22"/>
          <w:lang w:val="x-none"/>
        </w:rPr>
        <w:t xml:space="preserve"> evidova</w:t>
      </w:r>
      <w:r>
        <w:rPr>
          <w:rFonts w:ascii="Arial" w:hAnsi="Arial" w:cs="Arial"/>
          <w:sz w:val="22"/>
          <w:szCs w:val="22"/>
        </w:rPr>
        <w:t>ných pro osobu uplatňující nárok na vrácení daně</w:t>
      </w:r>
      <w:r>
        <w:rPr>
          <w:rFonts w:ascii="Arial" w:hAnsi="Arial" w:cs="Arial"/>
          <w:sz w:val="22"/>
          <w:szCs w:val="22"/>
          <w:lang w:val="x-none"/>
        </w:rPr>
        <w:t xml:space="preserve"> v ústřední evidenc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lang w:val="x-none"/>
        </w:rPr>
        <w:t xml:space="preserve"> hospodářských zvířat veden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  <w:lang w:val="x-none"/>
        </w:rPr>
        <w:t xml:space="preserve"> podle plemenářského zákona </w:t>
      </w:r>
      <w:r>
        <w:rPr>
          <w:rFonts w:ascii="Arial" w:hAnsi="Arial" w:cs="Arial"/>
          <w:b/>
          <w:sz w:val="22"/>
          <w:szCs w:val="22"/>
          <w:lang w:val="x-none"/>
        </w:rPr>
        <w:t xml:space="preserve">k poslednímu dni </w:t>
      </w:r>
      <w:r>
        <w:rPr>
          <w:rFonts w:ascii="Arial" w:hAnsi="Arial" w:cs="Arial"/>
          <w:b/>
          <w:sz w:val="22"/>
          <w:szCs w:val="22"/>
        </w:rPr>
        <w:t xml:space="preserve">každého </w:t>
      </w:r>
      <w:r>
        <w:rPr>
          <w:rFonts w:ascii="Arial" w:hAnsi="Arial" w:cs="Arial"/>
          <w:b/>
          <w:sz w:val="22"/>
          <w:szCs w:val="22"/>
          <w:lang w:val="x-none"/>
        </w:rPr>
        <w:t>kalendářní</w:t>
      </w:r>
      <w:r>
        <w:rPr>
          <w:rFonts w:ascii="Arial" w:hAnsi="Arial" w:cs="Arial"/>
          <w:b/>
          <w:sz w:val="22"/>
          <w:szCs w:val="22"/>
        </w:rPr>
        <w:t>ho</w:t>
      </w:r>
      <w:r>
        <w:rPr>
          <w:rFonts w:ascii="Arial" w:hAnsi="Arial" w:cs="Arial"/>
          <w:b/>
          <w:sz w:val="22"/>
          <w:szCs w:val="22"/>
          <w:lang w:val="x-none"/>
        </w:rPr>
        <w:t xml:space="preserve"> měsíc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  <w:lang w:val="x-none"/>
        </w:rPr>
        <w:t xml:space="preserve"> zdaňovacího období</w:t>
      </w:r>
      <w:r>
        <w:rPr>
          <w:rFonts w:ascii="Arial" w:hAnsi="Arial" w:cs="Arial"/>
          <w:sz w:val="22"/>
          <w:szCs w:val="22"/>
          <w:lang w:val="x-none"/>
        </w:rPr>
        <w:t>, za které se uplatňuje nárok na vrácení spotřební daně z minerálních olejů, přepočtených na velké dobytčí jednotky</w:t>
      </w:r>
      <w:r>
        <w:rPr>
          <w:rFonts w:ascii="Arial" w:hAnsi="Arial" w:cs="Arial"/>
          <w:sz w:val="22"/>
          <w:szCs w:val="22"/>
        </w:rPr>
        <w:t>; tento aritmetický průměr se zaokrouhluje na 2 desetinná místa dolů,</w:t>
      </w:r>
      <w:r>
        <w:rPr>
          <w:rFonts w:ascii="Arial" w:hAnsi="Arial" w:cs="Arial"/>
          <w:sz w:val="22"/>
          <w:szCs w:val="22"/>
          <w:lang w:val="x-none"/>
        </w:rPr>
        <w:t xml:space="preserve"> </w:t>
      </w:r>
      <w:r>
        <w:rPr>
          <w:rFonts w:ascii="Arial" w:hAnsi="Arial" w:cs="Arial"/>
          <w:b/>
          <w:sz w:val="22"/>
          <w:szCs w:val="22"/>
          <w:lang w:val="x-none"/>
        </w:rPr>
        <w:t>a</w:t>
      </w:r>
    </w:p>
    <w:p w14:paraId="0798F5BD" w14:textId="77777777" w:rsidR="00385734" w:rsidRPr="00F207A3" w:rsidRDefault="00385734" w:rsidP="00393B99">
      <w:pPr>
        <w:pStyle w:val="Textpsmene"/>
        <w:ind w:left="850" w:hanging="425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  <w:lang w:val="x-none"/>
        </w:rPr>
        <w:t>b)</w:t>
      </w:r>
      <w:r>
        <w:rPr>
          <w:rFonts w:ascii="Arial" w:hAnsi="Arial" w:cs="Arial"/>
          <w:b/>
          <w:sz w:val="22"/>
          <w:szCs w:val="22"/>
          <w:lang w:val="x-none"/>
        </w:rPr>
        <w:tab/>
        <w:t xml:space="preserve">ročního normativu minimální spotřeby </w:t>
      </w:r>
      <w:r>
        <w:rPr>
          <w:rFonts w:ascii="Arial" w:hAnsi="Arial" w:cs="Arial"/>
          <w:b/>
          <w:sz w:val="22"/>
          <w:szCs w:val="22"/>
        </w:rPr>
        <w:t xml:space="preserve">pro </w:t>
      </w:r>
      <w:r>
        <w:rPr>
          <w:rFonts w:ascii="Arial" w:hAnsi="Arial" w:cs="Arial"/>
          <w:b/>
          <w:sz w:val="22"/>
          <w:szCs w:val="22"/>
          <w:lang w:val="x-none"/>
        </w:rPr>
        <w:t>dan</w:t>
      </w:r>
      <w:r>
        <w:rPr>
          <w:rFonts w:ascii="Arial" w:hAnsi="Arial" w:cs="Arial"/>
          <w:b/>
          <w:sz w:val="22"/>
          <w:szCs w:val="22"/>
        </w:rPr>
        <w:t>ou</w:t>
      </w:r>
      <w:r>
        <w:rPr>
          <w:rFonts w:ascii="Arial" w:hAnsi="Arial" w:cs="Arial"/>
          <w:b/>
          <w:sz w:val="22"/>
          <w:szCs w:val="22"/>
          <w:lang w:val="x-none"/>
        </w:rPr>
        <w:t xml:space="preserve"> kategori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  <w:lang w:val="x-none"/>
        </w:rPr>
        <w:t xml:space="preserve"> </w:t>
      </w:r>
      <w:r w:rsidRPr="00F207A3">
        <w:rPr>
          <w:rFonts w:ascii="Arial" w:hAnsi="Arial" w:cs="Arial"/>
          <w:sz w:val="22"/>
          <w:szCs w:val="22"/>
          <w:lang w:val="x-none"/>
        </w:rPr>
        <w:t>chov</w:t>
      </w:r>
      <w:r w:rsidRPr="00F207A3">
        <w:rPr>
          <w:rFonts w:ascii="Arial" w:hAnsi="Arial" w:cs="Arial"/>
          <w:sz w:val="22"/>
          <w:szCs w:val="22"/>
        </w:rPr>
        <w:t>u</w:t>
      </w:r>
      <w:r w:rsidRPr="00F207A3">
        <w:rPr>
          <w:rFonts w:ascii="Arial" w:hAnsi="Arial" w:cs="Arial"/>
          <w:sz w:val="22"/>
          <w:szCs w:val="22"/>
          <w:lang w:val="x-none"/>
        </w:rPr>
        <w:t xml:space="preserve"> hospodářských zvířat.</w:t>
      </w:r>
    </w:p>
    <w:p w14:paraId="1EDF45CC" w14:textId="77777777" w:rsidR="00376D41" w:rsidRDefault="00376D41" w:rsidP="00385734">
      <w:pPr>
        <w:pStyle w:val="Textpsmene"/>
        <w:ind w:left="425" w:hanging="425"/>
        <w:rPr>
          <w:rFonts w:ascii="Arial" w:hAnsi="Arial" w:cs="Arial"/>
          <w:b/>
          <w:sz w:val="22"/>
          <w:szCs w:val="22"/>
          <w:lang w:val="x-none"/>
        </w:rPr>
      </w:pPr>
    </w:p>
    <w:p w14:paraId="785F7BBC" w14:textId="47090ECD" w:rsidR="00376D41" w:rsidRPr="00D4711A" w:rsidRDefault="00376D41" w:rsidP="00376D41">
      <w:pPr>
        <w:pStyle w:val="Textodstavce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Postup výpočtu na příkladu </w:t>
      </w:r>
      <w:r w:rsidRPr="00D471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abulky</w:t>
      </w:r>
      <w:r w:rsidRPr="00D47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</w:t>
      </w:r>
      <w:r w:rsidRPr="00D4711A">
        <w:rPr>
          <w:rFonts w:ascii="Arial" w:hAnsi="Arial" w:cs="Arial"/>
          <w:sz w:val="22"/>
          <w:szCs w:val="22"/>
        </w:rPr>
        <w:t xml:space="preserve"> 2019 v podkapitole </w:t>
      </w:r>
      <w:r>
        <w:rPr>
          <w:rFonts w:ascii="Arial" w:hAnsi="Arial" w:cs="Arial"/>
          <w:sz w:val="22"/>
          <w:szCs w:val="22"/>
        </w:rPr>
        <w:t xml:space="preserve">GUI obrazovky </w:t>
      </w:r>
      <w:r w:rsidRPr="00D4711A">
        <w:rPr>
          <w:rFonts w:ascii="Arial" w:hAnsi="Arial" w:cs="Arial"/>
          <w:sz w:val="22"/>
          <w:szCs w:val="22"/>
        </w:rPr>
        <w:t xml:space="preserve">IZR ˃ Zelená nafta ˃ </w:t>
      </w:r>
      <w:r w:rsidR="004753B6">
        <w:rPr>
          <w:rFonts w:ascii="Arial" w:hAnsi="Arial" w:cs="Arial"/>
          <w:sz w:val="22"/>
          <w:szCs w:val="22"/>
        </w:rPr>
        <w:t>Normativ spotřeb</w:t>
      </w:r>
      <w:r w:rsidR="00641B77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detail</w:t>
      </w:r>
      <w:r w:rsidRPr="00D4711A">
        <w:rPr>
          <w:rFonts w:ascii="Arial" w:hAnsi="Arial" w:cs="Arial"/>
          <w:sz w:val="22"/>
          <w:szCs w:val="22"/>
        </w:rPr>
        <w:t>:</w:t>
      </w:r>
    </w:p>
    <w:p w14:paraId="68C3F087" w14:textId="77777777" w:rsidR="00F207A3" w:rsidRDefault="00376D41" w:rsidP="00625B90">
      <w:pPr>
        <w:pStyle w:val="Textodstavce"/>
        <w:numPr>
          <w:ilvl w:val="0"/>
          <w:numId w:val="23"/>
        </w:numPr>
        <w:spacing w:before="0" w:after="0"/>
        <w:rPr>
          <w:rFonts w:ascii="Arial" w:hAnsi="Arial" w:cs="Arial"/>
          <w:sz w:val="22"/>
          <w:szCs w:val="22"/>
        </w:rPr>
      </w:pPr>
      <w:r w:rsidRPr="00954777">
        <w:rPr>
          <w:rFonts w:ascii="Arial" w:hAnsi="Arial" w:cs="Arial"/>
          <w:sz w:val="22"/>
          <w:szCs w:val="22"/>
        </w:rPr>
        <w:t>Vypočte se aritmetický průměr počtu kusů zvířat za každou kategorii (tzn. ze 12 hodnot)</w:t>
      </w:r>
      <w:r w:rsidR="00F207A3">
        <w:rPr>
          <w:rFonts w:ascii="Arial" w:hAnsi="Arial" w:cs="Arial"/>
          <w:sz w:val="22"/>
          <w:szCs w:val="22"/>
        </w:rPr>
        <w:t xml:space="preserve"> a zaokrouhlí se na 2 desetinná místa dolů = Průměrný počet kusů dle kategorií. </w:t>
      </w:r>
    </w:p>
    <w:p w14:paraId="58167544" w14:textId="15F6F8C8" w:rsidR="00376D41" w:rsidRPr="00954777" w:rsidRDefault="00954777" w:rsidP="00F207A3">
      <w:pPr>
        <w:pStyle w:val="Textodstavce"/>
        <w:spacing w:before="0" w:after="0"/>
        <w:ind w:left="780"/>
        <w:rPr>
          <w:rFonts w:ascii="Arial" w:hAnsi="Arial" w:cs="Arial"/>
          <w:sz w:val="22"/>
          <w:szCs w:val="22"/>
        </w:rPr>
      </w:pPr>
      <w:r w:rsidRPr="00954777">
        <w:rPr>
          <w:rFonts w:ascii="Arial" w:hAnsi="Arial" w:cs="Arial"/>
          <w:sz w:val="22"/>
          <w:szCs w:val="22"/>
        </w:rPr>
        <w:t xml:space="preserve">Pokud subjekt není registrován </w:t>
      </w:r>
      <w:r w:rsidR="00376D41" w:rsidRPr="00954777">
        <w:rPr>
          <w:rFonts w:ascii="Arial" w:hAnsi="Arial" w:cs="Arial"/>
          <w:sz w:val="22"/>
          <w:szCs w:val="22"/>
        </w:rPr>
        <w:t xml:space="preserve">jako chovatel po celé zdaňovací období, </w:t>
      </w:r>
      <w:r w:rsidRPr="00954777">
        <w:rPr>
          <w:rFonts w:ascii="Arial" w:hAnsi="Arial" w:cs="Arial"/>
          <w:sz w:val="22"/>
          <w:szCs w:val="22"/>
        </w:rPr>
        <w:t xml:space="preserve">i tak </w:t>
      </w:r>
      <w:r w:rsidR="008547EE">
        <w:rPr>
          <w:rFonts w:ascii="Arial" w:hAnsi="Arial" w:cs="Arial"/>
          <w:sz w:val="22"/>
          <w:szCs w:val="22"/>
        </w:rPr>
        <w:t xml:space="preserve">se dělí </w:t>
      </w:r>
      <w:r w:rsidR="008547EE">
        <w:rPr>
          <w:rFonts w:ascii="Arial" w:hAnsi="Arial" w:cs="Arial"/>
          <w:sz w:val="22"/>
          <w:szCs w:val="22"/>
        </w:rPr>
        <w:br/>
        <w:t xml:space="preserve">číslem </w:t>
      </w:r>
      <w:r w:rsidRPr="00954777">
        <w:rPr>
          <w:rFonts w:ascii="Arial" w:hAnsi="Arial" w:cs="Arial"/>
          <w:sz w:val="22"/>
          <w:szCs w:val="22"/>
        </w:rPr>
        <w:t>12.</w:t>
      </w:r>
    </w:p>
    <w:p w14:paraId="709DA864" w14:textId="54347EC8" w:rsidR="00376D41" w:rsidRDefault="00376D41" w:rsidP="00625B90">
      <w:pPr>
        <w:pStyle w:val="Textodstavce"/>
        <w:numPr>
          <w:ilvl w:val="0"/>
          <w:numId w:val="23"/>
        </w:numPr>
        <w:spacing w:before="0" w:after="0"/>
        <w:rPr>
          <w:rFonts w:ascii="Arial" w:hAnsi="Arial" w:cs="Arial"/>
          <w:sz w:val="22"/>
          <w:szCs w:val="22"/>
        </w:rPr>
      </w:pPr>
      <w:r w:rsidRPr="00D4711A">
        <w:rPr>
          <w:rFonts w:ascii="Arial" w:hAnsi="Arial" w:cs="Arial"/>
          <w:sz w:val="22"/>
          <w:szCs w:val="22"/>
        </w:rPr>
        <w:t>Aritmetický průměr v každé kategorii se přepočítá na VDJ</w:t>
      </w:r>
      <w:r>
        <w:rPr>
          <w:rFonts w:ascii="Arial" w:hAnsi="Arial" w:cs="Arial"/>
          <w:sz w:val="22"/>
          <w:szCs w:val="22"/>
        </w:rPr>
        <w:t xml:space="preserve"> </w:t>
      </w:r>
      <w:r w:rsidR="00C860E9">
        <w:rPr>
          <w:rFonts w:ascii="Arial" w:hAnsi="Arial" w:cs="Arial"/>
          <w:sz w:val="22"/>
          <w:szCs w:val="22"/>
        </w:rPr>
        <w:t>a zaokrouhlí se na 2 desetinná místa dolů = Průměrný počet VDJ dle kategorií (předposlední řádek).</w:t>
      </w:r>
    </w:p>
    <w:p w14:paraId="4CEDB0AE" w14:textId="604A2C3F" w:rsidR="00954777" w:rsidRPr="00D4711A" w:rsidRDefault="00954777" w:rsidP="00625B90">
      <w:pPr>
        <w:pStyle w:val="Textodstavce"/>
        <w:numPr>
          <w:ilvl w:val="0"/>
          <w:numId w:val="23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Průměrný počet VDJ dle kategorií se vynásobí ročním normativem </w:t>
      </w:r>
      <w:r w:rsidR="00C860E9">
        <w:rPr>
          <w:rFonts w:ascii="Arial" w:hAnsi="Arial" w:cs="Arial"/>
          <w:sz w:val="22"/>
          <w:szCs w:val="22"/>
        </w:rPr>
        <w:t>pro danou kategorii a zaokrouhlí se na 2 desetinná místa dolů =</w:t>
      </w:r>
      <w:r>
        <w:rPr>
          <w:rFonts w:ascii="Arial" w:hAnsi="Arial" w:cs="Arial"/>
          <w:sz w:val="22"/>
          <w:szCs w:val="22"/>
        </w:rPr>
        <w:t xml:space="preserve"> Spotřeba za kategorii</w:t>
      </w:r>
      <w:r w:rsidR="00C860E9">
        <w:rPr>
          <w:rFonts w:ascii="Arial" w:hAnsi="Arial" w:cs="Arial"/>
          <w:sz w:val="22"/>
          <w:szCs w:val="22"/>
        </w:rPr>
        <w:t xml:space="preserve"> na předposledním řádku</w:t>
      </w:r>
      <w:r>
        <w:rPr>
          <w:rFonts w:ascii="Arial" w:hAnsi="Arial" w:cs="Arial"/>
          <w:sz w:val="22"/>
          <w:szCs w:val="22"/>
        </w:rPr>
        <w:t>.</w:t>
      </w:r>
    </w:p>
    <w:p w14:paraId="6B51EA61" w14:textId="33B0527A" w:rsidR="00376D41" w:rsidRDefault="00954777" w:rsidP="00625B90">
      <w:pPr>
        <w:pStyle w:val="Textodstavce"/>
        <w:numPr>
          <w:ilvl w:val="0"/>
          <w:numId w:val="23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spotřeba (poslední řádek) je součtem </w:t>
      </w:r>
      <w:r w:rsidR="00286B9B">
        <w:rPr>
          <w:rFonts w:ascii="Arial" w:hAnsi="Arial" w:cs="Arial"/>
          <w:sz w:val="22"/>
          <w:szCs w:val="22"/>
        </w:rPr>
        <w:t xml:space="preserve">zaokrouhlených </w:t>
      </w:r>
      <w:r>
        <w:rPr>
          <w:rFonts w:ascii="Arial" w:hAnsi="Arial" w:cs="Arial"/>
          <w:sz w:val="22"/>
          <w:szCs w:val="22"/>
        </w:rPr>
        <w:t>spotřeb za jednotlivé kategorie. Tu</w:t>
      </w:r>
      <w:r w:rsidR="00376D41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hodnotu dokládá subjekt v tiskovém výstupu.</w:t>
      </w:r>
    </w:p>
    <w:p w14:paraId="2243E49F" w14:textId="29774B2F" w:rsidR="00236CF3" w:rsidRDefault="00236CF3" w:rsidP="00A208EE">
      <w:pPr>
        <w:pStyle w:val="Nadpis4"/>
      </w:pPr>
      <w:r>
        <w:t xml:space="preserve">GUI obrazovky IZR </w:t>
      </w:r>
      <w:r w:rsidRPr="00F03F69">
        <w:t>˃</w:t>
      </w:r>
      <w:r>
        <w:t xml:space="preserve"> Zelená nafta </w:t>
      </w:r>
      <w:r w:rsidRPr="00F03F69">
        <w:t xml:space="preserve">˃ </w:t>
      </w:r>
      <w:r w:rsidR="00347F53">
        <w:t>Spotřeba MO detail</w:t>
      </w:r>
    </w:p>
    <w:p w14:paraId="0C15F1CA" w14:textId="5A859305" w:rsidR="00236CF3" w:rsidRDefault="00236CF3" w:rsidP="00236CF3">
      <w:pPr>
        <w:jc w:val="both"/>
      </w:pPr>
      <w:r>
        <w:t xml:space="preserve">Z tabulky výpočtu intenzity chovu bude umožněno z buňky </w:t>
      </w:r>
      <w:r w:rsidR="0062621E">
        <w:t>‚</w:t>
      </w:r>
      <w:r>
        <w:t>Spotřeba MO při chovu zvířat</w:t>
      </w:r>
      <w:r w:rsidR="0062621E">
        <w:t>‘</w:t>
      </w:r>
      <w:r>
        <w:t xml:space="preserve"> otevřít obrazovku (v plovoucím okně) </w:t>
      </w:r>
      <w:r w:rsidRPr="001173FB">
        <w:rPr>
          <w:b/>
        </w:rPr>
        <w:t xml:space="preserve">Zelená nafta ˃ </w:t>
      </w:r>
      <w:r w:rsidR="004753B6">
        <w:rPr>
          <w:b/>
        </w:rPr>
        <w:t>Normativ spotřeby detail</w:t>
      </w:r>
      <w:r w:rsidRPr="00D25037">
        <w:t xml:space="preserve">, která bude </w:t>
      </w:r>
      <w:r>
        <w:t>zobrazovat</w:t>
      </w:r>
      <w:r w:rsidRPr="00D25037">
        <w:t xml:space="preserve"> zdrojová data pro výpočet hodnoty </w:t>
      </w:r>
      <w:r>
        <w:t>spotřeby.</w:t>
      </w:r>
    </w:p>
    <w:p w14:paraId="3EB2D61D" w14:textId="77777777" w:rsidR="008547EE" w:rsidRDefault="008547EE" w:rsidP="00236CF3">
      <w:pPr>
        <w:jc w:val="both"/>
      </w:pPr>
    </w:p>
    <w:p w14:paraId="40E9809D" w14:textId="4DF19DE1" w:rsidR="00236CF3" w:rsidRPr="00111BAD" w:rsidRDefault="00236CF3" w:rsidP="00236CF3">
      <w:pPr>
        <w:jc w:val="both"/>
      </w:pPr>
      <w:bookmarkStart w:id="3" w:name="_Hlk5048016"/>
      <w:r w:rsidRPr="00111BAD">
        <w:t xml:space="preserve">Legenda nad tabulkou: </w:t>
      </w:r>
      <w:r w:rsidRPr="00111BAD">
        <w:rPr>
          <w:i/>
        </w:rPr>
        <w:t xml:space="preserve">Stavy zvířat podle jednotlivých kategorií </w:t>
      </w:r>
      <w:r>
        <w:rPr>
          <w:i/>
        </w:rPr>
        <w:t xml:space="preserve">a spotřeba minerálních olejů </w:t>
      </w:r>
      <w:r w:rsidRPr="00111BAD">
        <w:rPr>
          <w:i/>
        </w:rPr>
        <w:t>za období…….</w:t>
      </w:r>
    </w:p>
    <w:p w14:paraId="58F7E3A5" w14:textId="4FC427E0" w:rsidR="00236CF3" w:rsidRPr="00111BAD" w:rsidRDefault="00236CF3" w:rsidP="00236CF3">
      <w:pPr>
        <w:jc w:val="both"/>
      </w:pPr>
      <w:r w:rsidRPr="00111BAD">
        <w:t xml:space="preserve">Struktura tabulky </w:t>
      </w:r>
      <w:r>
        <w:t>Spotřeba MO detail</w:t>
      </w:r>
      <w:r w:rsidRPr="00111BAD">
        <w:t>:</w:t>
      </w:r>
    </w:p>
    <w:tbl>
      <w:tblPr>
        <w:tblStyle w:val="Mkatabulky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567"/>
        <w:gridCol w:w="699"/>
        <w:gridCol w:w="425"/>
        <w:gridCol w:w="425"/>
        <w:gridCol w:w="425"/>
        <w:gridCol w:w="426"/>
        <w:gridCol w:w="708"/>
        <w:gridCol w:w="567"/>
        <w:gridCol w:w="426"/>
        <w:gridCol w:w="425"/>
        <w:gridCol w:w="425"/>
        <w:gridCol w:w="425"/>
        <w:gridCol w:w="709"/>
        <w:gridCol w:w="567"/>
      </w:tblGrid>
      <w:tr w:rsidR="009F215B" w:rsidRPr="00BC1F88" w14:paraId="5E0C2277" w14:textId="77777777" w:rsidTr="00F62D2D">
        <w:trPr>
          <w:cantSplit/>
          <w:trHeight w:val="2588"/>
        </w:trPr>
        <w:tc>
          <w:tcPr>
            <w:tcW w:w="2557" w:type="dxa"/>
            <w:textDirection w:val="btLr"/>
            <w:vAlign w:val="center"/>
          </w:tcPr>
          <w:p w14:paraId="1210AAFC" w14:textId="77777777" w:rsidR="007D43AF" w:rsidRPr="00C9411A" w:rsidRDefault="007D43AF" w:rsidP="005B0069">
            <w:pPr>
              <w:ind w:left="113" w:right="113"/>
              <w:rPr>
                <w:rFonts w:cs="Arial"/>
                <w:b/>
                <w:szCs w:val="22"/>
              </w:rPr>
            </w:pPr>
            <w:r w:rsidRPr="00C9411A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567" w:type="dxa"/>
            <w:textDirection w:val="btLr"/>
            <w:vAlign w:val="center"/>
          </w:tcPr>
          <w:p w14:paraId="1DCB16AF" w14:textId="04D8253D" w:rsidR="007D43AF" w:rsidRPr="00515494" w:rsidRDefault="007D43AF" w:rsidP="009F215B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Dojnice nad 2 roky </w:t>
            </w:r>
          </w:p>
        </w:tc>
        <w:tc>
          <w:tcPr>
            <w:tcW w:w="699" w:type="dxa"/>
            <w:textDirection w:val="btLr"/>
            <w:vAlign w:val="center"/>
          </w:tcPr>
          <w:p w14:paraId="1331F3AB" w14:textId="77777777" w:rsidR="007D43AF" w:rsidRPr="00515494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Dojnice do 2 let včetně </w:t>
            </w:r>
          </w:p>
          <w:p w14:paraId="7E5DB485" w14:textId="77777777" w:rsidR="007D43AF" w:rsidRPr="00515494" w:rsidRDefault="007D43AF" w:rsidP="005B0069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BE34481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KBTPM nad 2 roky</w:t>
            </w:r>
          </w:p>
        </w:tc>
        <w:tc>
          <w:tcPr>
            <w:tcW w:w="425" w:type="dxa"/>
            <w:textDirection w:val="btLr"/>
            <w:vAlign w:val="center"/>
          </w:tcPr>
          <w:p w14:paraId="08C8022D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KBTPM do 2 let</w:t>
            </w:r>
          </w:p>
        </w:tc>
        <w:tc>
          <w:tcPr>
            <w:tcW w:w="425" w:type="dxa"/>
            <w:textDirection w:val="btLr"/>
            <w:vAlign w:val="center"/>
          </w:tcPr>
          <w:p w14:paraId="7C082ED1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Jalovice a býci nad 2 roky</w:t>
            </w:r>
          </w:p>
        </w:tc>
        <w:tc>
          <w:tcPr>
            <w:tcW w:w="426" w:type="dxa"/>
            <w:textDirection w:val="btLr"/>
            <w:vAlign w:val="center"/>
          </w:tcPr>
          <w:p w14:paraId="60F90A26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Jalovice a býci do 2 let</w:t>
            </w:r>
          </w:p>
        </w:tc>
        <w:tc>
          <w:tcPr>
            <w:tcW w:w="708" w:type="dxa"/>
            <w:textDirection w:val="btLr"/>
            <w:vAlign w:val="center"/>
          </w:tcPr>
          <w:p w14:paraId="4D074851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  <w:r w:rsidRPr="00515494">
              <w:rPr>
                <w:rFonts w:ascii="Calibri" w:hAnsi="Calibri" w:cs="Calibri"/>
                <w:b/>
                <w:bCs/>
                <w:szCs w:val="22"/>
              </w:rPr>
              <w:t xml:space="preserve">Skot ve věku do 6 měsíců včetně </w:t>
            </w:r>
          </w:p>
          <w:p w14:paraId="2B6E3693" w14:textId="77777777" w:rsidR="007D43AF" w:rsidRPr="00515494" w:rsidRDefault="007D43AF" w:rsidP="005B0069">
            <w:pPr>
              <w:ind w:left="113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E307580" w14:textId="77777777" w:rsidR="007D43AF" w:rsidRPr="00515494" w:rsidRDefault="007D43AF" w:rsidP="005B0069">
            <w:pPr>
              <w:ind w:left="41" w:right="113"/>
              <w:rPr>
                <w:rFonts w:ascii="Calibri" w:hAnsi="Calibri" w:cs="Calibri"/>
                <w:b/>
                <w:bCs/>
                <w:szCs w:val="22"/>
              </w:rPr>
            </w:pPr>
            <w:r w:rsidRPr="00515494">
              <w:rPr>
                <w:rFonts w:ascii="Calibri" w:hAnsi="Calibri" w:cs="Calibri"/>
                <w:b/>
                <w:bCs/>
                <w:szCs w:val="22"/>
              </w:rPr>
              <w:t xml:space="preserve">Ovce a kozy nad 1 rok </w:t>
            </w:r>
          </w:p>
          <w:p w14:paraId="64189001" w14:textId="77777777" w:rsidR="007D43AF" w:rsidRPr="00515494" w:rsidRDefault="007D43AF" w:rsidP="005B0069">
            <w:pPr>
              <w:ind w:left="113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D5974C5" w14:textId="77777777" w:rsidR="007D43AF" w:rsidRPr="00515494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 xml:space="preserve">Koně </w:t>
            </w:r>
            <w:r>
              <w:rPr>
                <w:rFonts w:cs="Calibri"/>
                <w:b/>
                <w:szCs w:val="22"/>
              </w:rPr>
              <w:t xml:space="preserve">nad </w:t>
            </w:r>
            <w:r w:rsidRPr="00515494">
              <w:rPr>
                <w:rFonts w:cs="Calibri"/>
                <w:b/>
                <w:szCs w:val="22"/>
              </w:rPr>
              <w:t xml:space="preserve">6 měsíců </w:t>
            </w:r>
          </w:p>
          <w:p w14:paraId="0BE16D74" w14:textId="77777777" w:rsidR="007D43AF" w:rsidRPr="00515494" w:rsidRDefault="007D43AF" w:rsidP="005B0069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230C458" w14:textId="77777777" w:rsidR="007D43AF" w:rsidRPr="00515494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 w:rsidRPr="00515494">
              <w:rPr>
                <w:rFonts w:cs="Calibri"/>
                <w:b/>
                <w:szCs w:val="22"/>
              </w:rPr>
              <w:t>Koně do 6 měsíců včetně</w:t>
            </w:r>
          </w:p>
          <w:p w14:paraId="03E94F92" w14:textId="77777777" w:rsidR="007D43AF" w:rsidRPr="00515494" w:rsidRDefault="007D43AF" w:rsidP="005B0069">
            <w:pPr>
              <w:tabs>
                <w:tab w:val="left" w:pos="0"/>
              </w:tabs>
              <w:ind w:left="10" w:right="113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89E4139" w14:textId="77777777" w:rsidR="007D43AF" w:rsidRPr="00515494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Prasnice</w:t>
            </w:r>
          </w:p>
        </w:tc>
        <w:tc>
          <w:tcPr>
            <w:tcW w:w="425" w:type="dxa"/>
            <w:textDirection w:val="btLr"/>
            <w:vAlign w:val="center"/>
          </w:tcPr>
          <w:p w14:paraId="5A38EF7D" w14:textId="77777777" w:rsidR="007D43AF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Ostatní prasata</w:t>
            </w:r>
          </w:p>
        </w:tc>
        <w:tc>
          <w:tcPr>
            <w:tcW w:w="709" w:type="dxa"/>
            <w:textDirection w:val="btLr"/>
            <w:vAlign w:val="center"/>
          </w:tcPr>
          <w:p w14:paraId="554868B3" w14:textId="77777777" w:rsidR="007D43AF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Nosnice a kuřice</w:t>
            </w:r>
          </w:p>
        </w:tc>
        <w:tc>
          <w:tcPr>
            <w:tcW w:w="567" w:type="dxa"/>
            <w:textDirection w:val="btLr"/>
            <w:vAlign w:val="center"/>
          </w:tcPr>
          <w:p w14:paraId="55E57025" w14:textId="77777777" w:rsidR="007D43AF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Ostatní drůbež</w:t>
            </w:r>
          </w:p>
        </w:tc>
      </w:tr>
      <w:tr w:rsidR="009F215B" w:rsidRPr="0000434F" w14:paraId="2E90E054" w14:textId="77777777" w:rsidTr="00F62D2D">
        <w:tc>
          <w:tcPr>
            <w:tcW w:w="2557" w:type="dxa"/>
          </w:tcPr>
          <w:p w14:paraId="12932612" w14:textId="0020CB6A" w:rsidR="007D43AF" w:rsidRPr="00C9411A" w:rsidRDefault="007D43AF" w:rsidP="002004A7">
            <w:pPr>
              <w:rPr>
                <w:rFonts w:cs="Arial"/>
                <w:b/>
                <w:sz w:val="18"/>
                <w:szCs w:val="18"/>
              </w:rPr>
            </w:pPr>
            <w:r w:rsidRPr="00C9411A">
              <w:rPr>
                <w:rFonts w:cs="Arial"/>
                <w:b/>
                <w:sz w:val="18"/>
                <w:szCs w:val="18"/>
              </w:rPr>
              <w:lastRenderedPageBreak/>
              <w:t>31.</w:t>
            </w:r>
            <w:r w:rsidR="002004A7">
              <w:rPr>
                <w:rFonts w:cs="Arial"/>
                <w:b/>
                <w:sz w:val="18"/>
                <w:szCs w:val="18"/>
              </w:rPr>
              <w:t>1.2019</w:t>
            </w:r>
          </w:p>
        </w:tc>
        <w:tc>
          <w:tcPr>
            <w:tcW w:w="567" w:type="dxa"/>
          </w:tcPr>
          <w:p w14:paraId="4BD909B1" w14:textId="77777777" w:rsidR="007D43AF" w:rsidRPr="00BC1F88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699" w:type="dxa"/>
          </w:tcPr>
          <w:p w14:paraId="6055B76C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6A8832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7B77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4606C8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7EE320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DC0C81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75D88E72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DDA699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4D06BC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083B41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6081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19EF8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C5B8C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9F215B" w:rsidRPr="0000434F" w14:paraId="6F8EB7D3" w14:textId="77777777" w:rsidTr="00F62D2D">
        <w:tc>
          <w:tcPr>
            <w:tcW w:w="2557" w:type="dxa"/>
          </w:tcPr>
          <w:p w14:paraId="06FAC186" w14:textId="79288402" w:rsidR="007D43AF" w:rsidRPr="00C9411A" w:rsidRDefault="002004A7" w:rsidP="005B00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28.2.2019</w:t>
            </w:r>
          </w:p>
        </w:tc>
        <w:tc>
          <w:tcPr>
            <w:tcW w:w="567" w:type="dxa"/>
          </w:tcPr>
          <w:p w14:paraId="6D046CF8" w14:textId="77777777" w:rsidR="007D43AF" w:rsidRPr="00BC1F88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699" w:type="dxa"/>
          </w:tcPr>
          <w:p w14:paraId="5DD55D3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667314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59AD84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62865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C83B81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9F886D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524178C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C3CA41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32F687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288DD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D6EB37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0A831B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492C0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9F215B" w:rsidRPr="0000434F" w14:paraId="25BF5982" w14:textId="77777777" w:rsidTr="00F62D2D">
        <w:tc>
          <w:tcPr>
            <w:tcW w:w="2557" w:type="dxa"/>
          </w:tcPr>
          <w:p w14:paraId="512EFEF4" w14:textId="77777777" w:rsidR="007D43AF" w:rsidRPr="00C9411A" w:rsidRDefault="007D43AF" w:rsidP="005B0069">
            <w:pPr>
              <w:rPr>
                <w:rFonts w:cs="Arial"/>
                <w:b/>
                <w:sz w:val="18"/>
                <w:szCs w:val="18"/>
              </w:rPr>
            </w:pPr>
            <w:r w:rsidRPr="00C9411A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68D0A13" w14:textId="77777777" w:rsidR="007D43AF" w:rsidRPr="00BC1F88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699" w:type="dxa"/>
          </w:tcPr>
          <w:p w14:paraId="2BC85C1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81820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65E557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1C072F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4C61F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578DBD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43E53DF0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85F575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6581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0ECC0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B6795F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AEDE7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5A032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9F215B" w:rsidRPr="0000434F" w14:paraId="3C114968" w14:textId="77777777" w:rsidTr="00F62D2D">
        <w:tc>
          <w:tcPr>
            <w:tcW w:w="2557" w:type="dxa"/>
          </w:tcPr>
          <w:p w14:paraId="38D9A4AC" w14:textId="77777777" w:rsidR="007D43AF" w:rsidRPr="00C9411A" w:rsidRDefault="007D43AF" w:rsidP="005B0069">
            <w:pPr>
              <w:rPr>
                <w:rFonts w:cs="Arial"/>
                <w:b/>
                <w:sz w:val="18"/>
                <w:szCs w:val="18"/>
              </w:rPr>
            </w:pPr>
            <w:r w:rsidRPr="00C9411A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5F2AD918" w14:textId="77777777" w:rsidR="007D43AF" w:rsidRPr="00BC1F88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699" w:type="dxa"/>
          </w:tcPr>
          <w:p w14:paraId="09D7475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D86B03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8E117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4168C9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5DBD5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356FAC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3C09F4BF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FF265D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6FBBF7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8AC812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2A5678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442438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2E3E1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9F215B" w:rsidRPr="0000434F" w14:paraId="39EB1260" w14:textId="77777777" w:rsidTr="00F62D2D">
        <w:tc>
          <w:tcPr>
            <w:tcW w:w="2557" w:type="dxa"/>
          </w:tcPr>
          <w:p w14:paraId="7E39EC13" w14:textId="6D1A8300" w:rsidR="007D43AF" w:rsidRPr="00C9411A" w:rsidRDefault="002004A7" w:rsidP="005B00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30.11.2019</w:t>
            </w:r>
          </w:p>
        </w:tc>
        <w:tc>
          <w:tcPr>
            <w:tcW w:w="567" w:type="dxa"/>
          </w:tcPr>
          <w:p w14:paraId="3D34D92E" w14:textId="77777777" w:rsidR="007D43AF" w:rsidRPr="00BC1F88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699" w:type="dxa"/>
          </w:tcPr>
          <w:p w14:paraId="2F7C8397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D11571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064DF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9A8A2B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B34E3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CC6F78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22DD2031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28CA3A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E2BF0D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8477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6A6FE1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52E7CD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936DE1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9F215B" w:rsidRPr="0000434F" w14:paraId="7CABA462" w14:textId="77777777" w:rsidTr="00F62D2D">
        <w:tc>
          <w:tcPr>
            <w:tcW w:w="2557" w:type="dxa"/>
          </w:tcPr>
          <w:p w14:paraId="0A2CCB37" w14:textId="53C33554" w:rsidR="007D43AF" w:rsidRPr="00C9411A" w:rsidRDefault="002004A7" w:rsidP="005B00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31.12.2019</w:t>
            </w:r>
          </w:p>
        </w:tc>
        <w:tc>
          <w:tcPr>
            <w:tcW w:w="567" w:type="dxa"/>
          </w:tcPr>
          <w:p w14:paraId="0FBB7F00" w14:textId="77777777" w:rsidR="007D43AF" w:rsidRPr="00BC1F88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699" w:type="dxa"/>
          </w:tcPr>
          <w:p w14:paraId="2703E16B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EB851C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5E68B4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37995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BC522C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A9445D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14:paraId="70B09094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A77414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1CF5E9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12D2E5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180B9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23F167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F0DF19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F207A3" w:rsidRPr="00A51002" w14:paraId="63CBDCFE" w14:textId="77777777" w:rsidTr="00F62D2D"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32984FDD" w14:textId="1EE9D524" w:rsidR="00F207A3" w:rsidRPr="00A51002" w:rsidRDefault="00F207A3" w:rsidP="005B00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Průměrný počet kusů dle kategorií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3CA715" w14:textId="77777777" w:rsidR="00F207A3" w:rsidRPr="00A51002" w:rsidRDefault="00F207A3" w:rsidP="005B0069">
            <w:pPr>
              <w:pStyle w:val="Zkladntextodsazen"/>
              <w:tabs>
                <w:tab w:val="left" w:pos="0"/>
              </w:tabs>
              <w:ind w:left="10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9E28347" w14:textId="77777777" w:rsidR="00F207A3" w:rsidRPr="00A51002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D332E7" w14:textId="77777777" w:rsidR="00F207A3" w:rsidRPr="00A51002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E54A847" w14:textId="77777777" w:rsidR="00F207A3" w:rsidRPr="00A51002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C875E5" w14:textId="77777777" w:rsidR="00F207A3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5FC4B0" w14:textId="77777777" w:rsidR="00F207A3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6093608" w14:textId="77777777" w:rsidR="00F207A3" w:rsidRPr="00A51002" w:rsidRDefault="00F207A3" w:rsidP="005B0069">
            <w:pPr>
              <w:ind w:left="26" w:right="113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6A9D2E" w14:textId="77777777" w:rsidR="00F207A3" w:rsidRPr="00A51002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71CEA78" w14:textId="77777777" w:rsidR="00F207A3" w:rsidRPr="00A51002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5BC1A1" w14:textId="77777777" w:rsidR="00F207A3" w:rsidRPr="00A51002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2014A2" w14:textId="77777777" w:rsidR="00F207A3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BC447D8" w14:textId="77777777" w:rsidR="00F207A3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04FDC4" w14:textId="77777777" w:rsidR="00F207A3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8808F2" w14:textId="77777777" w:rsidR="00F207A3" w:rsidRDefault="00F207A3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F215B" w:rsidRPr="00A51002" w14:paraId="2C507FA8" w14:textId="77777777" w:rsidTr="00F62D2D"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5FCE4FCA" w14:textId="77777777" w:rsidR="007D43AF" w:rsidRPr="00A51002" w:rsidRDefault="007D43AF" w:rsidP="005B0069">
            <w:pPr>
              <w:rPr>
                <w:rFonts w:cs="Arial"/>
                <w:b/>
                <w:sz w:val="18"/>
                <w:szCs w:val="18"/>
              </w:rPr>
            </w:pPr>
            <w:r w:rsidRPr="00A51002">
              <w:rPr>
                <w:rFonts w:cs="Arial"/>
                <w:b/>
                <w:sz w:val="18"/>
                <w:szCs w:val="18"/>
              </w:rPr>
              <w:t>Koeficient přepočtu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8DEDFE" w14:textId="77777777" w:rsidR="007D43AF" w:rsidRPr="00A51002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jc w:val="center"/>
              <w:rPr>
                <w:rFonts w:cs="Calibri"/>
                <w:sz w:val="16"/>
                <w:szCs w:val="16"/>
              </w:rPr>
            </w:pPr>
            <w:r w:rsidRPr="00A51002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2F008F4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94771F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3AAAB1E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7362FC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A92328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B6858E" w14:textId="77777777" w:rsidR="007D43AF" w:rsidRPr="00A51002" w:rsidRDefault="007D43AF" w:rsidP="005B0069">
            <w:pPr>
              <w:ind w:left="26" w:right="113"/>
              <w:rPr>
                <w:rFonts w:ascii="Calibri" w:hAnsi="Calibri" w:cs="Calibri"/>
                <w:bCs/>
                <w:sz w:val="16"/>
                <w:szCs w:val="16"/>
              </w:rPr>
            </w:pPr>
            <w:r w:rsidRPr="00A51002">
              <w:rPr>
                <w:rFonts w:ascii="Calibri" w:hAnsi="Calibri" w:cs="Calibri"/>
                <w:b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2E7221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ADD11CA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0035E5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51002">
              <w:rPr>
                <w:rFonts w:ascii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9205EEB" w14:textId="77777777" w:rsidR="007D43AF" w:rsidRPr="00A51002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E63736" w14:textId="77777777" w:rsidR="007D43AF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E0E44B" w14:textId="77777777" w:rsidR="007D43AF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A2C447" w14:textId="77777777" w:rsidR="007D43AF" w:rsidRDefault="007D43AF" w:rsidP="005B0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0,03</w:t>
            </w:r>
          </w:p>
        </w:tc>
      </w:tr>
      <w:tr w:rsidR="009F215B" w:rsidRPr="0000434F" w14:paraId="6F448F9F" w14:textId="77777777" w:rsidTr="00F62D2D">
        <w:trPr>
          <w:trHeight w:val="417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273E1BC9" w14:textId="4EDF33AE" w:rsidR="007D43AF" w:rsidRPr="00A51002" w:rsidRDefault="007D43AF" w:rsidP="005B0069">
            <w:pPr>
              <w:rPr>
                <w:rFonts w:cs="Arial"/>
                <w:b/>
                <w:sz w:val="18"/>
                <w:szCs w:val="18"/>
              </w:rPr>
            </w:pPr>
            <w:r w:rsidRPr="00A51002">
              <w:rPr>
                <w:rFonts w:cs="Arial"/>
                <w:b/>
                <w:sz w:val="18"/>
                <w:szCs w:val="18"/>
              </w:rPr>
              <w:t xml:space="preserve">Průměrný počet VDJ </w:t>
            </w:r>
            <w:r w:rsidR="00236CF3">
              <w:rPr>
                <w:rFonts w:cs="Arial"/>
                <w:b/>
                <w:sz w:val="18"/>
                <w:szCs w:val="18"/>
              </w:rPr>
              <w:t>dle kategorií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384C85" w14:textId="77777777" w:rsidR="007D43AF" w:rsidRPr="00BC1F88" w:rsidRDefault="007D43AF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Cs w:val="22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35DC5ED6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2F0D62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215A0B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8831FD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F27028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AC57FAE" w14:textId="77777777" w:rsidR="007D43AF" w:rsidRPr="00515494" w:rsidRDefault="007D43AF" w:rsidP="005B0069">
            <w:pPr>
              <w:ind w:left="26" w:right="113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C0052F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293C725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4BC5F0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F54674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9CA7CE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DE779B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9F531F" w14:textId="77777777" w:rsidR="007D43AF" w:rsidRPr="0000434F" w:rsidRDefault="007D43AF" w:rsidP="005B0069">
            <w:pPr>
              <w:rPr>
                <w:rFonts w:cs="Arial"/>
                <w:sz w:val="20"/>
                <w:szCs w:val="20"/>
              </w:rPr>
            </w:pPr>
          </w:p>
        </w:tc>
      </w:tr>
      <w:tr w:rsidR="009F215B" w:rsidRPr="0000434F" w14:paraId="2E488527" w14:textId="77777777" w:rsidTr="00F62D2D">
        <w:trPr>
          <w:trHeight w:val="417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57CDF6B2" w14:textId="2F28FA51" w:rsidR="007D43AF" w:rsidRPr="00A51002" w:rsidRDefault="007D43AF" w:rsidP="005B00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Roční normativ (l/1 VDJ)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DFD3C" w14:textId="5217C466" w:rsidR="007D43AF" w:rsidRPr="005436B8" w:rsidRDefault="007D43AF" w:rsidP="005436B8">
            <w:pPr>
              <w:pStyle w:val="Zkladntextodsazen"/>
              <w:tabs>
                <w:tab w:val="left" w:pos="0"/>
              </w:tabs>
              <w:ind w:left="10" w:right="113"/>
              <w:jc w:val="center"/>
              <w:rPr>
                <w:sz w:val="16"/>
                <w:szCs w:val="16"/>
              </w:rPr>
            </w:pPr>
            <w:r w:rsidRPr="005436B8">
              <w:rPr>
                <w:sz w:val="16"/>
                <w:szCs w:val="16"/>
              </w:rPr>
              <w:t>53,34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8FDB" w14:textId="6169A0E3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53,34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B314" w14:textId="2C4E1ED3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32,9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DD09" w14:textId="4C014FE1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32,9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162C9" w14:textId="696252A9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43,62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7B8E" w14:textId="7C0A1B1F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43,62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BDBD1" w14:textId="6065831E" w:rsidR="007D43AF" w:rsidRPr="005436B8" w:rsidRDefault="007D43AF" w:rsidP="005436B8">
            <w:pPr>
              <w:ind w:left="26" w:right="113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436B8">
              <w:rPr>
                <w:rFonts w:ascii="Calibri" w:hAnsi="Calibri" w:cs="Calibri"/>
                <w:bCs/>
                <w:sz w:val="16"/>
                <w:szCs w:val="16"/>
              </w:rPr>
              <w:t>18,5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A39C" w14:textId="2ABF6C86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10,27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D8AD6" w14:textId="0CB318B0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1087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414A1" w14:textId="4DC6E0C4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10,87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12A5" w14:textId="61A9AE52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1996" w14:textId="459167F0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11,67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A92" w14:textId="764D4E75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0,405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6D06" w14:textId="0EC7CA67" w:rsidR="007D43AF" w:rsidRPr="005436B8" w:rsidRDefault="005436B8" w:rsidP="005436B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36B8">
              <w:rPr>
                <w:rFonts w:ascii="Calibri" w:hAnsi="Calibri" w:cs="Calibri"/>
                <w:sz w:val="16"/>
                <w:szCs w:val="16"/>
              </w:rPr>
              <w:t>0,34</w:t>
            </w:r>
          </w:p>
        </w:tc>
      </w:tr>
      <w:tr w:rsidR="009F215B" w:rsidRPr="0000434F" w14:paraId="641BDB82" w14:textId="77777777" w:rsidTr="00F62D2D">
        <w:trPr>
          <w:trHeight w:val="417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0005FDBC" w14:textId="0C34ECA6" w:rsidR="00A92384" w:rsidRDefault="00A92384" w:rsidP="005B00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Spotřeba za kategorii (l)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CCA" w14:textId="77777777" w:rsidR="00A92384" w:rsidRPr="007D43AF" w:rsidRDefault="00A92384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A4C" w14:textId="77777777" w:rsidR="00A92384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D7B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BFA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A5B3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07D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ACB" w14:textId="77777777" w:rsidR="00A92384" w:rsidRDefault="00A92384" w:rsidP="005B0069">
            <w:pPr>
              <w:ind w:left="26" w:right="113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059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808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4EE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91F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239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734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F34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</w:tr>
      <w:tr w:rsidR="009F215B" w:rsidRPr="0000434F" w14:paraId="60A9A3BC" w14:textId="77777777" w:rsidTr="00F62D2D">
        <w:trPr>
          <w:trHeight w:val="417"/>
        </w:trPr>
        <w:tc>
          <w:tcPr>
            <w:tcW w:w="2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A97F6" w14:textId="656763C9" w:rsidR="00A92384" w:rsidRDefault="00A92384" w:rsidP="005B00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Celková spotřeba (l)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A1C" w14:textId="77777777" w:rsidR="00A92384" w:rsidRPr="007D43AF" w:rsidRDefault="00A92384" w:rsidP="005B0069">
            <w:pPr>
              <w:pStyle w:val="Zkladntextodsazen"/>
              <w:tabs>
                <w:tab w:val="left" w:pos="0"/>
              </w:tabs>
              <w:ind w:left="10" w:right="113"/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nil"/>
              <w:right w:val="nil"/>
            </w:tcBorders>
          </w:tcPr>
          <w:p w14:paraId="150EC3AC" w14:textId="77777777" w:rsidR="00A92384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2756C9B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DD46F52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9BF5DC0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D7C7B19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6B8B3ABB" w14:textId="77777777" w:rsidR="00A92384" w:rsidRDefault="00A92384" w:rsidP="005B0069">
            <w:pPr>
              <w:ind w:left="26" w:right="113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759112B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EF47491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3289F43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872BD35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4D17B5C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37661D9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F948B1C" w14:textId="77777777" w:rsidR="00A92384" w:rsidRPr="007D43AF" w:rsidRDefault="00A92384" w:rsidP="005B0069">
            <w:pPr>
              <w:rPr>
                <w:rFonts w:cs="Arial"/>
                <w:sz w:val="14"/>
                <w:szCs w:val="14"/>
              </w:rPr>
            </w:pPr>
          </w:p>
        </w:tc>
      </w:tr>
    </w:tbl>
    <w:bookmarkEnd w:id="3"/>
    <w:p w14:paraId="75AA4576" w14:textId="486CF88B" w:rsidR="00746FCB" w:rsidRDefault="00746FCB" w:rsidP="00216084">
      <w:r>
        <w:t>Tato tabulka bude přílohou tiskového výstup v PDF</w:t>
      </w:r>
    </w:p>
    <w:p w14:paraId="588F57B9" w14:textId="77777777" w:rsidR="00347F53" w:rsidRDefault="00347F53" w:rsidP="00A208EE">
      <w:pPr>
        <w:pStyle w:val="Nadpis4"/>
      </w:pPr>
      <w:r>
        <w:t>Export do PDF</w:t>
      </w:r>
    </w:p>
    <w:p w14:paraId="0E2533E5" w14:textId="77777777" w:rsidR="00347F53" w:rsidRDefault="00347F53" w:rsidP="00347F53">
      <w:pPr>
        <w:jc w:val="both"/>
      </w:pPr>
      <w:r>
        <w:t xml:space="preserve">Po ukončení výpočtu na stránce IZR </w:t>
      </w:r>
      <w:r>
        <w:rPr>
          <w:rFonts w:cs="Calibri"/>
        </w:rPr>
        <w:t>˃</w:t>
      </w:r>
      <w:r>
        <w:t xml:space="preserve"> Zelená nafta bude umožněno doklad o provedeném výpočtu exportovat do PDF dle přiloženého vzoru. Pro každý výpočet lze tisk opakovat, musí být zajištěno, že tisk obsahuje vždy totožná data identifikovaná jednoznačným ID datové sady.</w:t>
      </w:r>
    </w:p>
    <w:bookmarkStart w:id="4" w:name="_MON_1612698447"/>
    <w:bookmarkEnd w:id="4"/>
    <w:p w14:paraId="7CDF06A8" w14:textId="5D87D854" w:rsidR="00EC44C4" w:rsidRDefault="00A75FA3" w:rsidP="00216084">
      <w:r>
        <w:object w:dxaOrig="1469" w:dyaOrig="950" w14:anchorId="12E2EC27">
          <v:shape id="_x0000_i1027" type="#_x0000_t75" style="width:73.5pt;height:47.25pt" o:ole="">
            <v:imagedata r:id="rId13" o:title=""/>
          </v:shape>
          <o:OLEObject Type="Embed" ProgID="Word.Document.12" ShapeID="_x0000_i1027" DrawAspect="Icon" ObjectID="_1617521379" r:id="rId14">
            <o:FieldCodes>\s</o:FieldCodes>
          </o:OLEObject>
        </w:object>
      </w:r>
    </w:p>
    <w:p w14:paraId="238D08C6" w14:textId="77777777" w:rsidR="00FA2A60" w:rsidRDefault="00FA2A60" w:rsidP="00FA2A60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46374C5C" w14:textId="425C4447" w:rsidR="00746FCB" w:rsidRDefault="00746FCB" w:rsidP="00A208EE">
      <w:pPr>
        <w:pStyle w:val="Nadpis2"/>
      </w:pPr>
      <w:r>
        <w:t>Úprava přehledu Dotační zvířata – telata masného typu</w:t>
      </w:r>
    </w:p>
    <w:p w14:paraId="5EFBF6AD" w14:textId="49F1E95E" w:rsidR="00746FCB" w:rsidRDefault="00746FCB" w:rsidP="00746FCB">
      <w:pPr>
        <w:rPr>
          <w:szCs w:val="22"/>
        </w:rPr>
      </w:pPr>
      <w:r>
        <w:rPr>
          <w:szCs w:val="22"/>
        </w:rPr>
        <w:t>V rámci přehledu budou doplněny nové chyby – nezpůsobilosti, a to</w:t>
      </w:r>
    </w:p>
    <w:p w14:paraId="1B4299D8" w14:textId="4DAB6BC6" w:rsidR="00746FCB" w:rsidRDefault="00746FCB" w:rsidP="00625B90">
      <w:pPr>
        <w:pStyle w:val="Odstavecseseznamem"/>
        <w:numPr>
          <w:ilvl w:val="3"/>
          <w:numId w:val="11"/>
        </w:numPr>
        <w:ind w:left="567" w:hanging="567"/>
        <w:rPr>
          <w:szCs w:val="22"/>
        </w:rPr>
      </w:pPr>
      <w:r>
        <w:rPr>
          <w:szCs w:val="22"/>
        </w:rPr>
        <w:t>Nezpůsobilý původ po otci</w:t>
      </w:r>
    </w:p>
    <w:p w14:paraId="4452667E" w14:textId="336AA519" w:rsidR="00746FCB" w:rsidRDefault="00746FCB" w:rsidP="00625B90">
      <w:pPr>
        <w:pStyle w:val="Odstavecseseznamem"/>
        <w:numPr>
          <w:ilvl w:val="3"/>
          <w:numId w:val="11"/>
        </w:numPr>
        <w:ind w:left="567" w:hanging="567"/>
        <w:rPr>
          <w:szCs w:val="22"/>
        </w:rPr>
      </w:pPr>
      <w:r>
        <w:rPr>
          <w:szCs w:val="22"/>
        </w:rPr>
        <w:t xml:space="preserve">Nezpůsobilá matka </w:t>
      </w:r>
    </w:p>
    <w:p w14:paraId="1D4C7FBC" w14:textId="301BC3B2" w:rsidR="00746FCB" w:rsidRDefault="00746FCB" w:rsidP="00625B90">
      <w:pPr>
        <w:pStyle w:val="Odstavecseseznamem"/>
        <w:numPr>
          <w:ilvl w:val="3"/>
          <w:numId w:val="11"/>
        </w:numPr>
        <w:ind w:left="567" w:hanging="567"/>
        <w:rPr>
          <w:szCs w:val="22"/>
        </w:rPr>
      </w:pPr>
      <w:r>
        <w:rPr>
          <w:szCs w:val="22"/>
        </w:rPr>
        <w:t>Nezpůsobilost z důvodu pozdního hlášení</w:t>
      </w:r>
    </w:p>
    <w:p w14:paraId="44D7296B" w14:textId="7834CCCC" w:rsidR="00746FCB" w:rsidRPr="00746FCB" w:rsidRDefault="00746FCB" w:rsidP="00746FCB">
      <w:pPr>
        <w:rPr>
          <w:szCs w:val="22"/>
        </w:rPr>
      </w:pPr>
      <w:r>
        <w:rPr>
          <w:szCs w:val="22"/>
        </w:rPr>
        <w:t>Pravidla pro generování těchto chyb budou totožná s pravidly v předtiskové aplikaci a budou použity i shodné kódy chyb.</w:t>
      </w:r>
    </w:p>
    <w:p w14:paraId="476E8DB9" w14:textId="77777777" w:rsidR="00FA2A60" w:rsidRPr="00FA2A60" w:rsidRDefault="00FA2A60" w:rsidP="00FA2A60"/>
    <w:p w14:paraId="7A235147" w14:textId="77777777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14:paraId="37F211F8" w14:textId="77777777" w:rsidR="0000551E" w:rsidRDefault="0000551E" w:rsidP="00CC7ED5">
      <w:pPr>
        <w:pStyle w:val="Nadpis2"/>
      </w:pPr>
      <w:r w:rsidRPr="00CC7ED5">
        <w:t>Dopady</w:t>
      </w:r>
    </w:p>
    <w:p w14:paraId="57BEEDCF" w14:textId="552FAC50" w:rsidR="00D80AD5" w:rsidRPr="00026B98" w:rsidRDefault="004753B6" w:rsidP="00D80AD5">
      <w:r>
        <w:t>Nejsou dopady</w:t>
      </w:r>
    </w:p>
    <w:p w14:paraId="5FA48CA7" w14:textId="77777777" w:rsidR="00D80AD5" w:rsidRPr="00B73A7D" w:rsidRDefault="00D80AD5" w:rsidP="00B73A7D"/>
    <w:p w14:paraId="3C4488AB" w14:textId="77777777" w:rsidR="0000551E" w:rsidRPr="001A0600" w:rsidRDefault="0000551E" w:rsidP="00F62D2D">
      <w:pPr>
        <w:pStyle w:val="Titulek"/>
      </w:pPr>
      <w:r w:rsidRPr="00D9688A">
        <w:t xml:space="preserve">(Pozn.: </w:t>
      </w:r>
      <w:r w:rsidR="001A0600" w:rsidRPr="00D9688A">
        <w:t>V případě předpokládaných</w:t>
      </w:r>
      <w:r w:rsidRPr="00D9688A">
        <w:t xml:space="preserve"> </w:t>
      </w:r>
      <w:r w:rsidR="001A0600" w:rsidRPr="00D9688A">
        <w:t xml:space="preserve">či možných </w:t>
      </w:r>
      <w:r w:rsidRPr="00D9688A">
        <w:t>dopad</w:t>
      </w:r>
      <w:r w:rsidR="001A0600" w:rsidRPr="00D9688A">
        <w:t>ů</w:t>
      </w:r>
      <w:r w:rsidRPr="00D9688A">
        <w:t xml:space="preserve"> změny na agendu, aplikaci, data, infrastrukturu nebo na bezpečnost </w:t>
      </w:r>
      <w:r w:rsidR="001A0600" w:rsidRPr="00D9688A">
        <w:t xml:space="preserve">je </w:t>
      </w:r>
      <w:r w:rsidR="002B04AE" w:rsidRPr="00D9688A">
        <w:t>třeba</w:t>
      </w:r>
      <w:r w:rsidRPr="00D9688A">
        <w:t xml:space="preserve"> </w:t>
      </w:r>
      <w:r w:rsidR="00D9688A" w:rsidRPr="00D9688A">
        <w:t>si vyžádat stanovisko</w:t>
      </w:r>
      <w:r w:rsidRPr="00D9688A">
        <w:t xml:space="preserve"> relevantní</w:t>
      </w:r>
      <w:r w:rsidR="00D9688A" w:rsidRPr="00D9688A">
        <w:t>ch specialistů</w:t>
      </w:r>
      <w:r w:rsidRPr="00D9688A">
        <w:t>, tedy věcn</w:t>
      </w:r>
      <w:r w:rsidR="00D9688A" w:rsidRPr="00D9688A">
        <w:t>ého</w:t>
      </w:r>
      <w:r w:rsidRPr="00D9688A">
        <w:t>/metodick</w:t>
      </w:r>
      <w:r w:rsidR="00D9688A" w:rsidRPr="00D9688A">
        <w:t>ého, provozního</w:t>
      </w:r>
      <w:r w:rsidR="002B04AE" w:rsidRPr="00D9688A">
        <w:t>,</w:t>
      </w:r>
      <w:r w:rsidRPr="00D9688A">
        <w:t xml:space="preserve"> bezpečnostní</w:t>
      </w:r>
      <w:r w:rsidR="00D9688A" w:rsidRPr="00D9688A">
        <w:t>ho garanta, příp. architekta</w:t>
      </w:r>
      <w:r w:rsidRPr="00D9688A">
        <w:t>.)</w:t>
      </w:r>
    </w:p>
    <w:p w14:paraId="2C3BDB38" w14:textId="77777777" w:rsidR="0000551E" w:rsidRDefault="0000551E" w:rsidP="00A208EE">
      <w:pPr>
        <w:pStyle w:val="Nadpis3"/>
        <w:numPr>
          <w:ilvl w:val="0"/>
          <w:numId w:val="0"/>
        </w:numPr>
      </w:pPr>
    </w:p>
    <w:p w14:paraId="0F55B7AF" w14:textId="32F6A63A" w:rsidR="00411B8E" w:rsidRDefault="00411B8E" w:rsidP="00CC7ED5">
      <w:pPr>
        <w:pStyle w:val="Nadpis2"/>
      </w:pPr>
      <w:r>
        <w:t>Požadavky na součinnost Agribus</w:t>
      </w:r>
    </w:p>
    <w:p w14:paraId="3B53CAD3" w14:textId="4389B296" w:rsidR="004753B6" w:rsidRPr="004753B6" w:rsidRDefault="004753B6" w:rsidP="004753B6">
      <w:r>
        <w:t>Bez dopadů</w:t>
      </w:r>
    </w:p>
    <w:p w14:paraId="18CEA329" w14:textId="7D562599" w:rsidR="00411B8E" w:rsidRPr="00411B8E" w:rsidRDefault="00FE5704" w:rsidP="00F62D2D">
      <w:pPr>
        <w:pStyle w:val="Titulek"/>
      </w:pPr>
      <w:r w:rsidRPr="00411B8E">
        <w:t xml:space="preserve"> </w:t>
      </w:r>
      <w:r w:rsidR="00411B8E" w:rsidRPr="00411B8E">
        <w:t>(Pozn.: Pokud existují požadavky na součinnost Agribus, uveďte specifikaci služby ve formě stru</w:t>
      </w:r>
      <w:r w:rsidR="00841811">
        <w:t xml:space="preserve">kturovaného </w:t>
      </w:r>
      <w:r w:rsidR="00446E5A">
        <w:t>požadavku</w:t>
      </w:r>
      <w:r w:rsidR="00841811">
        <w:t xml:space="preserve"> (request) a odpovědi (response) </w:t>
      </w:r>
      <w:r w:rsidR="00411B8E" w:rsidRPr="00411B8E">
        <w:t xml:space="preserve">s vyznačenou </w:t>
      </w:r>
      <w:r w:rsidR="00841811">
        <w:t>změnou</w:t>
      </w:r>
      <w:r w:rsidR="00446E5A">
        <w:t>.</w:t>
      </w:r>
      <w:r w:rsidR="00841811">
        <w:t>)</w:t>
      </w:r>
    </w:p>
    <w:p w14:paraId="4A560B53" w14:textId="77777777" w:rsidR="00411B8E" w:rsidRPr="00411B8E" w:rsidRDefault="00411B8E" w:rsidP="00411B8E"/>
    <w:p w14:paraId="61FD482A" w14:textId="106E295F" w:rsidR="0000551E" w:rsidRDefault="0000551E" w:rsidP="00CC7ED5">
      <w:pPr>
        <w:pStyle w:val="Nadpis2"/>
      </w:pPr>
      <w:r w:rsidRPr="00371CE8">
        <w:lastRenderedPageBreak/>
        <w:t>Dotčené konfigurační položky</w:t>
      </w:r>
      <w:r w:rsidRPr="001A0600">
        <w:rPr>
          <w:vertAlign w:val="superscript"/>
        </w:rPr>
        <w:endnoteReference w:id="9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6E31C0" w:rsidRPr="00013DF1" w14:paraId="57C84014" w14:textId="77777777" w:rsidTr="00A208E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B60A" w14:textId="77777777" w:rsidR="006E31C0" w:rsidRPr="00013DF1" w:rsidRDefault="006E31C0" w:rsidP="00F469F5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92BF" w14:textId="77777777" w:rsidR="006E31C0" w:rsidRPr="00013DF1" w:rsidRDefault="006E31C0" w:rsidP="00F469F5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367F8E" w14:textId="77777777" w:rsidR="006E31C0" w:rsidRPr="00013DF1" w:rsidRDefault="006E31C0" w:rsidP="00F469F5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6E31C0" w:rsidRPr="006E31C0" w14:paraId="5A0B3B48" w14:textId="77777777" w:rsidTr="00A208E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F22C5" w14:textId="77777777" w:rsidR="006E31C0" w:rsidRPr="006E31C0" w:rsidRDefault="006E31C0" w:rsidP="006E31C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C1CC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srv-n2-izr43.apl.mzem.net – web server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188DF8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 xml:space="preserve">Instalace nové verze aplikace </w:t>
            </w:r>
          </w:p>
        </w:tc>
      </w:tr>
      <w:tr w:rsidR="006E31C0" w:rsidRPr="006E31C0" w14:paraId="149594A6" w14:textId="77777777" w:rsidTr="00A208E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3157" w14:textId="77777777" w:rsidR="006E31C0" w:rsidRPr="006E31C0" w:rsidRDefault="006E31C0" w:rsidP="006E31C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BDEE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srv-n2-izr44.apl.mzem.net – web server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E3FE3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 xml:space="preserve">Instalace nové verze aplikace </w:t>
            </w:r>
          </w:p>
        </w:tc>
      </w:tr>
      <w:tr w:rsidR="006E31C0" w:rsidRPr="006E31C0" w14:paraId="61A81974" w14:textId="77777777" w:rsidTr="00A208E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6C16" w14:textId="77777777" w:rsidR="006E31C0" w:rsidRPr="006E31C0" w:rsidRDefault="006E31C0" w:rsidP="006E31C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6249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srv-n2-izr45.apl.mzem.net – web server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E3947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 xml:space="preserve">Instalace nové verze aplikace </w:t>
            </w:r>
          </w:p>
        </w:tc>
      </w:tr>
      <w:tr w:rsidR="006E31C0" w:rsidRPr="006E31C0" w14:paraId="292A26FA" w14:textId="77777777" w:rsidTr="00A208E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6DFB" w14:textId="77777777" w:rsidR="006E31C0" w:rsidRPr="006E31C0" w:rsidRDefault="006E31C0" w:rsidP="006E31C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ECCE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srv-n2-izr46.apl.mzem.net – web server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6184A3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 xml:space="preserve">Instalace nové verze aplikace </w:t>
            </w:r>
          </w:p>
        </w:tc>
      </w:tr>
      <w:tr w:rsidR="006E31C0" w:rsidRPr="006E31C0" w14:paraId="01EFB03E" w14:textId="77777777" w:rsidTr="00A208E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5FC6B" w14:textId="77777777" w:rsidR="006E31C0" w:rsidRPr="006E31C0" w:rsidRDefault="006E31C0" w:rsidP="006E31C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662B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srv-n2-izr41.apl.mzem.net – aplikační server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95C89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 xml:space="preserve">Instalace nové verze business vrstvy aplikace </w:t>
            </w:r>
          </w:p>
        </w:tc>
      </w:tr>
      <w:tr w:rsidR="006E31C0" w:rsidRPr="006E31C0" w14:paraId="63973253" w14:textId="77777777" w:rsidTr="00A208EE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8DE0A" w14:textId="77777777" w:rsidR="006E31C0" w:rsidRPr="006E31C0" w:rsidRDefault="006E31C0" w:rsidP="006E31C0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B1A37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>srv-n2-izr42.apl.mzem.net– aplikační server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A99A73" w14:textId="77777777" w:rsidR="006E31C0" w:rsidRPr="006E31C0" w:rsidRDefault="006E31C0" w:rsidP="00F469F5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6E31C0">
              <w:rPr>
                <w:bCs/>
                <w:color w:val="000000"/>
                <w:szCs w:val="22"/>
                <w:lang w:eastAsia="cs-CZ"/>
              </w:rPr>
              <w:t xml:space="preserve">Instalace nové verze business vrstvy aplikace </w:t>
            </w:r>
          </w:p>
        </w:tc>
      </w:tr>
    </w:tbl>
    <w:p w14:paraId="159BD2D1" w14:textId="77777777" w:rsidR="0000551E" w:rsidRPr="0016270D" w:rsidRDefault="0000551E" w:rsidP="0016270D"/>
    <w:p w14:paraId="15F35852" w14:textId="77777777" w:rsidR="0000551E" w:rsidRDefault="0000551E" w:rsidP="00CC7ED5">
      <w:pPr>
        <w:pStyle w:val="Nadpis2"/>
      </w:pPr>
      <w:r w:rsidRPr="006C3557">
        <w:t>Rizika implementace změny</w:t>
      </w:r>
    </w:p>
    <w:p w14:paraId="58DF49AA" w14:textId="2FC945CB" w:rsidR="00FC49B9" w:rsidRPr="00FC49B9" w:rsidRDefault="00875155" w:rsidP="00FC49B9">
      <w:r>
        <w:t>Nejsou</w:t>
      </w:r>
      <w:r w:rsidR="00F84454">
        <w:t xml:space="preserve"> s výjimkou termínových rizik</w:t>
      </w:r>
    </w:p>
    <w:p w14:paraId="371128BC" w14:textId="77777777" w:rsidR="0000551E" w:rsidRDefault="0000551E" w:rsidP="00CC7ED5">
      <w:pPr>
        <w:pStyle w:val="Nadpis2"/>
      </w:pPr>
      <w:r>
        <w:t>Požadavek na podporu provozu naimplementované změny</w:t>
      </w:r>
    </w:p>
    <w:p w14:paraId="285488BE" w14:textId="77777777" w:rsidR="0000551E" w:rsidRPr="001F4C72" w:rsidRDefault="0000551E" w:rsidP="00F62D2D">
      <w:pPr>
        <w:pStyle w:val="Titulek"/>
      </w:pPr>
      <w:r w:rsidRPr="001F4C72">
        <w:t>(Pozn.: Uveďte, zda zařadit</w:t>
      </w:r>
      <w:r>
        <w:t xml:space="preserve"> změnu </w:t>
      </w:r>
      <w:r w:rsidRPr="001F4C72">
        <w:t>do stávající</w:t>
      </w:r>
      <w:r>
        <w:t xml:space="preserve"> provozní</w:t>
      </w:r>
      <w:r w:rsidRPr="001F4C72">
        <w:t xml:space="preserve"> smlouvy, konkrétní požadavky na požadované služby, SLA.)</w:t>
      </w:r>
    </w:p>
    <w:p w14:paraId="4E0EAFB3" w14:textId="77777777" w:rsidR="0000551E" w:rsidRPr="00B8108C" w:rsidRDefault="0000551E" w:rsidP="00B8108C"/>
    <w:p w14:paraId="2477353B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6438"/>
        <w:gridCol w:w="1417"/>
        <w:gridCol w:w="709"/>
        <w:gridCol w:w="629"/>
      </w:tblGrid>
      <w:tr w:rsidR="0000551E" w:rsidRPr="00276A3F" w14:paraId="50D400E3" w14:textId="77777777" w:rsidTr="00F62D2D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CBB0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4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DBB4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A4E8A" w14:textId="77777777" w:rsidR="0000551E" w:rsidDel="000F27BA" w:rsidRDefault="0000551E" w:rsidP="00BA3E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0551E" w:rsidRPr="00276A3F" w14:paraId="35B05A36" w14:textId="77777777" w:rsidTr="00F62D2D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2EEEF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54B4C" w14:textId="77777777"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681D7" w14:textId="77777777"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01037" w14:textId="77777777"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AD23E" w14:textId="77777777"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0551E" w:rsidRPr="00276A3F" w14:paraId="33DEB20F" w14:textId="77777777" w:rsidTr="00F62D2D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819140" w14:textId="77777777" w:rsidR="0000551E" w:rsidRPr="004F2BA0" w:rsidRDefault="0000551E" w:rsidP="00625B9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E109B" w14:textId="77777777"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FC14E" w14:textId="77777777"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7B39E" w14:textId="77777777"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2658E" w14:textId="77777777"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6264D051" w14:textId="77777777" w:rsidTr="00F62D2D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61A924" w14:textId="77777777" w:rsidR="00147567" w:rsidRPr="004F2BA0" w:rsidRDefault="00147567" w:rsidP="00625B9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A28CB1" w14:textId="77777777"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C2822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C90C8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B2486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04866FC0" w14:textId="77777777" w:rsidTr="00F62D2D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9890A3" w14:textId="77777777" w:rsidR="00147567" w:rsidRPr="004F2BA0" w:rsidRDefault="00147567" w:rsidP="00625B9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F1958F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34858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B370D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BDAD2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136C7554" w14:textId="77777777" w:rsidTr="00F62D2D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9DAD6" w14:textId="77777777" w:rsidR="00147567" w:rsidRPr="004F2BA0" w:rsidRDefault="00147567" w:rsidP="00625B9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CD2586" w14:textId="77777777"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56117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AA047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36D15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26A36387" w14:textId="77777777" w:rsidTr="00F62D2D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DDE1EB" w14:textId="77777777" w:rsidR="00147567" w:rsidRPr="004F2BA0" w:rsidRDefault="00147567" w:rsidP="00625B9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30DC5F" w14:textId="77777777"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306D9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A809C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4A8FB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1C5DD726" w14:textId="77777777" w:rsidTr="00F62D2D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DEA50" w14:textId="77777777" w:rsidR="00147567" w:rsidRPr="004F2BA0" w:rsidRDefault="00147567" w:rsidP="00625B9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82E8B6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66C4E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5AC2C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B0AE5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74ABE2E0" w14:textId="77777777" w:rsidTr="00F62D2D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138C1E" w14:textId="77777777" w:rsidR="00147567" w:rsidRPr="004F2BA0" w:rsidRDefault="00147567" w:rsidP="00625B9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34766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6C821" w14:textId="528044BC" w:rsidR="00147567" w:rsidRDefault="00875155" w:rsidP="0087515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87D0B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EDC9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2505331D" w14:textId="77777777" w:rsidTr="00F62D2D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2BA7AF" w14:textId="77777777" w:rsidR="00147567" w:rsidRPr="004F2BA0" w:rsidRDefault="00147567" w:rsidP="00625B90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CCA53E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WS – ESB + konzumentské testy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BE5A1" w14:textId="4C55F22E" w:rsidR="00147567" w:rsidRDefault="00875155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56057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DA4B9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</w:tbl>
    <w:p w14:paraId="53869435" w14:textId="6034A5A5" w:rsidR="0000551E" w:rsidRDefault="0000551E" w:rsidP="00F62D2D">
      <w:pPr>
        <w:pStyle w:val="Titulek"/>
      </w:pPr>
      <w:r w:rsidRPr="004C022A">
        <w:t xml:space="preserve">(Pozn.: U dokumentů, které již existují, se má za to, že je požadována jejich aktualizace. </w:t>
      </w:r>
      <w:r w:rsidR="00A208EE">
        <w:t xml:space="preserve">Pokud se požaduje </w:t>
      </w:r>
      <w:r w:rsidRPr="004C022A">
        <w:t>zpracování nového dokumentu namísto aktualizace stávajícího, uveďte toto explicitně za názvem daného dokumentu, např. „Uživatelská příručka – nový“.</w:t>
      </w:r>
    </w:p>
    <w:p w14:paraId="6CF0A9B1" w14:textId="0BBC72E9" w:rsidR="0000551E" w:rsidRDefault="004D2FB3" w:rsidP="00A208EE">
      <w:pPr>
        <w:pStyle w:val="Nadpis3"/>
        <w:numPr>
          <w:ilvl w:val="0"/>
          <w:numId w:val="0"/>
        </w:numPr>
      </w:pPr>
      <w:r>
        <w:rPr>
          <w:noProof/>
        </w:rPr>
        <w:object w:dxaOrig="1440" w:dyaOrig="1440" w14:anchorId="1B39A624">
          <v:shape id="_x0000_s1028" type="#_x0000_t75" style="position:absolute;left:0;text-align:left;margin-left:430.1pt;margin-top:14.3pt;width:79.5pt;height:51.45pt;z-index:251661312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Word.Document.12" ShapeID="_x0000_s1028" DrawAspect="Icon" ObjectID="_1617521380" r:id="rId16">
            <o:FieldCodes>\s</o:FieldCodes>
          </o:OLEObject>
        </w:object>
      </w:r>
      <w:r w:rsidR="0000551E" w:rsidRPr="003E54BC">
        <w:t xml:space="preserve"> </w:t>
      </w:r>
    </w:p>
    <w:p w14:paraId="67AACF7A" w14:textId="7A0ACF37" w:rsidR="0000551E" w:rsidRDefault="0000551E" w:rsidP="0000551E">
      <w:pPr>
        <w:ind w:right="-427"/>
      </w:pPr>
      <w:r>
        <w:t>V připojeném souboru je uveden rozsah vybrané technické dokumentace</w:t>
      </w:r>
      <w:r w:rsidR="00C21A74">
        <w:t xml:space="preserve"> (možno upravit)</w:t>
      </w:r>
      <w:r>
        <w:t xml:space="preserve"> – otevřete dvojklikem:    </w:t>
      </w:r>
    </w:p>
    <w:p w14:paraId="24912637" w14:textId="77777777" w:rsidR="00686C37" w:rsidRDefault="00686C37" w:rsidP="00686C3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14:paraId="48F760FC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55506CE7" w14:textId="77777777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4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14:paraId="096EAD18" w14:textId="77777777" w:rsidR="0000551E" w:rsidRPr="008964A9" w:rsidRDefault="0000551E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0551E" w:rsidRPr="006C3557" w14:paraId="292994EF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316A8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19EE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46C58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3E3E" w14:textId="77777777" w:rsidR="0000551E" w:rsidRPr="006C3557" w:rsidRDefault="0000551E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0551E" w:rsidRPr="006C3557" w14:paraId="180239DD" w14:textId="77777777" w:rsidTr="00FE5704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3B436872" w14:textId="77777777" w:rsidR="0000551E" w:rsidRPr="004F2BA0" w:rsidRDefault="0000551E" w:rsidP="00625B90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240AAC2A" w14:textId="756830F0" w:rsidR="0000551E" w:rsidRPr="006C3557" w:rsidRDefault="00F8445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F</w:t>
            </w:r>
            <w:r w:rsidR="00746FCB">
              <w:rPr>
                <w:rFonts w:cs="Arial"/>
                <w:color w:val="000000"/>
                <w:szCs w:val="22"/>
                <w:lang w:eastAsia="cs-CZ"/>
              </w:rPr>
              <w:t>u</w:t>
            </w:r>
            <w:r>
              <w:rPr>
                <w:rFonts w:cs="Arial"/>
                <w:color w:val="000000"/>
                <w:szCs w:val="22"/>
                <w:lang w:eastAsia="cs-CZ"/>
              </w:rPr>
              <w:t>nkční generován tisků pro zelenou naftu</w:t>
            </w:r>
          </w:p>
        </w:tc>
        <w:tc>
          <w:tcPr>
            <w:tcW w:w="2551" w:type="dxa"/>
            <w:vAlign w:val="center"/>
          </w:tcPr>
          <w:p w14:paraId="487B9D6D" w14:textId="2C337F1D" w:rsidR="0000551E" w:rsidRPr="006C3557" w:rsidRDefault="00F8445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Uživatelský test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33417" w14:textId="186792F4" w:rsidR="006E31C0" w:rsidRPr="006C3557" w:rsidRDefault="006E7C61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</w:tr>
      <w:tr w:rsidR="0000551E" w:rsidRPr="006C3557" w14:paraId="224B023A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28728F28" w14:textId="77777777" w:rsidR="0000551E" w:rsidRPr="004F2BA0" w:rsidRDefault="0000551E" w:rsidP="00625B90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DEAAA07" w14:textId="4571671A" w:rsidR="0000551E" w:rsidRPr="006C3557" w:rsidRDefault="0000551E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14:paraId="3E89A6BC" w14:textId="125441EA" w:rsidR="0000551E" w:rsidRPr="006C3557" w:rsidRDefault="0000551E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CE4C1E" w14:textId="60254EFE" w:rsidR="006E31C0" w:rsidRPr="006C3557" w:rsidRDefault="006E31C0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2A1310E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76470FC9" w14:textId="77777777" w:rsidR="0000551E" w:rsidRDefault="0000551E">
      <w:pPr>
        <w:spacing w:after="0"/>
        <w:rPr>
          <w:rFonts w:cs="Arial"/>
          <w:szCs w:val="22"/>
        </w:rPr>
      </w:pPr>
    </w:p>
    <w:p w14:paraId="1F35966C" w14:textId="77777777" w:rsidR="0000551E" w:rsidRPr="00A030CD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5B010B19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7A60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93F6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157756EF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213A9E7" w14:textId="77777777" w:rsidR="0000551E" w:rsidRPr="006C3557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769EB5E" w14:textId="7F37FDC1" w:rsidR="0000551E" w:rsidRPr="006C3557" w:rsidRDefault="00154BE2" w:rsidP="00154B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10.5.</w:t>
            </w:r>
            <w:r w:rsidR="002C7709">
              <w:rPr>
                <w:rFonts w:cs="Arial"/>
                <w:color w:val="000000"/>
                <w:szCs w:val="22"/>
                <w:lang w:eastAsia="cs-CZ"/>
              </w:rPr>
              <w:t>2019</w:t>
            </w:r>
          </w:p>
        </w:tc>
      </w:tr>
      <w:tr w:rsidR="0000551E" w:rsidRPr="006C3557" w14:paraId="4B57A409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E4EC3E0" w14:textId="77777777" w:rsidR="0000551E" w:rsidRPr="006C3557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EBD32EE" w14:textId="1140AC3C" w:rsidR="0000551E" w:rsidRPr="006C3557" w:rsidRDefault="00154BE2" w:rsidP="00154B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</w:t>
            </w:r>
            <w:r w:rsidR="00FB4966">
              <w:rPr>
                <w:rFonts w:cs="Arial"/>
                <w:color w:val="000000"/>
                <w:szCs w:val="22"/>
                <w:lang w:eastAsia="cs-CZ"/>
              </w:rPr>
              <w:t>.5</w:t>
            </w:r>
            <w:r w:rsidR="002C7709"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</w:tbl>
    <w:p w14:paraId="7C3CC35C" w14:textId="77777777" w:rsidR="0000551E" w:rsidRDefault="0000551E">
      <w:pPr>
        <w:spacing w:after="0"/>
        <w:rPr>
          <w:rFonts w:cs="Arial"/>
          <w:szCs w:val="22"/>
        </w:rPr>
      </w:pPr>
    </w:p>
    <w:p w14:paraId="421F954F" w14:textId="3792AF65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50AFDF53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06175503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4825101B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50E7C89B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17292704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B241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4E608D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DABB2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3D9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3F68547A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20CA8C89" w14:textId="77777777" w:rsidR="0000551E" w:rsidRPr="006C3557" w:rsidRDefault="0000551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157E3392" w14:textId="5D2A240A" w:rsidR="0000551E" w:rsidRPr="006C3557" w:rsidRDefault="006E7C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417" w:type="dxa"/>
            <w:vAlign w:val="center"/>
          </w:tcPr>
          <w:p w14:paraId="258D2CAD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3F7AB03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0506DAA1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207DA39D" w14:textId="77777777" w:rsidR="0000551E" w:rsidRPr="006C3557" w:rsidRDefault="0000551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0EFA88F7" w14:textId="30F8D853" w:rsidR="0000551E" w:rsidRPr="006C3557" w:rsidRDefault="006E7C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417" w:type="dxa"/>
            <w:vAlign w:val="center"/>
          </w:tcPr>
          <w:p w14:paraId="3C6537C9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219DB83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2FE0224" w14:textId="77777777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15A50D00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17"/>
          <w:footerReference w:type="default" r:id="rId18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603036F4" w14:textId="3FCEFDA2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CE1B63" w:rsidRPr="00CE1B63">
        <w:rPr>
          <w:rFonts w:cs="Arial"/>
          <w:b/>
          <w:caps/>
          <w:szCs w:val="22"/>
        </w:rPr>
        <w:t>Z25974</w:t>
      </w:r>
    </w:p>
    <w:tbl>
      <w:tblPr>
        <w:tblStyle w:val="Mkatabulky"/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2B0E7B" w:rsidRPr="006C3557" w14:paraId="18A15CC6" w14:textId="77777777" w:rsidTr="00A208EE">
        <w:trPr>
          <w:trHeight w:val="282"/>
        </w:trPr>
        <w:tc>
          <w:tcPr>
            <w:tcW w:w="1779" w:type="dxa"/>
          </w:tcPr>
          <w:p w14:paraId="3ABD9A64" w14:textId="77777777" w:rsidR="002B0E7B" w:rsidRPr="006C3557" w:rsidRDefault="002B0E7B" w:rsidP="00A208EE">
            <w:pPr>
              <w:pStyle w:val="Tabulka"/>
              <w:spacing w:before="0" w:after="0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16D8B0A4" w14:textId="41B2B850" w:rsidR="002B0E7B" w:rsidRPr="00F62D2D" w:rsidRDefault="004D2FB3" w:rsidP="00A208EE">
            <w:pPr>
              <w:pStyle w:val="Nadpis1"/>
              <w:numPr>
                <w:ilvl w:val="0"/>
                <w:numId w:val="0"/>
              </w:numPr>
              <w:tabs>
                <w:tab w:val="clear" w:pos="540"/>
              </w:tabs>
              <w:spacing w:before="0" w:after="0"/>
              <w:ind w:left="284"/>
              <w:rPr>
                <w:rStyle w:val="Siln"/>
                <w:rFonts w:cs="Arial"/>
                <w:bCs w:val="0"/>
                <w:sz w:val="22"/>
                <w:szCs w:val="22"/>
              </w:rPr>
            </w:pPr>
            <w:hyperlink r:id="rId19" w:tgtFrame="_blank" w:history="1">
              <w:r w:rsidR="00CE1B63" w:rsidRPr="00CE1B63">
                <w:rPr>
                  <w:rFonts w:cs="Arial"/>
                  <w:b w:val="0"/>
                  <w:sz w:val="22"/>
                  <w:szCs w:val="22"/>
                </w:rPr>
                <w:t>2016_0054_33</w:t>
              </w:r>
            </w:hyperlink>
          </w:p>
        </w:tc>
        <w:tc>
          <w:tcPr>
            <w:tcW w:w="1701" w:type="dxa"/>
          </w:tcPr>
          <w:p w14:paraId="11FD53E8" w14:textId="77777777" w:rsidR="002B0E7B" w:rsidRPr="006C3557" w:rsidRDefault="002B0E7B" w:rsidP="00A208EE">
            <w:pPr>
              <w:pStyle w:val="Tabulka"/>
              <w:spacing w:before="0" w:after="0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3E8893F8" w14:textId="25A67483" w:rsidR="002B0E7B" w:rsidRPr="006C3557" w:rsidRDefault="00CE1B63" w:rsidP="00A208EE">
            <w:pPr>
              <w:pStyle w:val="Tabulka"/>
              <w:spacing w:before="0" w:after="0"/>
              <w:rPr>
                <w:szCs w:val="22"/>
              </w:rPr>
            </w:pPr>
            <w:r>
              <w:rPr>
                <w:szCs w:val="22"/>
              </w:rPr>
              <w:t>458</w:t>
            </w:r>
          </w:p>
        </w:tc>
      </w:tr>
    </w:tbl>
    <w:p w14:paraId="0170DCF1" w14:textId="7CCDE827" w:rsidR="0000551E" w:rsidRDefault="00F62D2D" w:rsidP="00EC6856">
      <w:pPr>
        <w:spacing w:after="0"/>
        <w:rPr>
          <w:rFonts w:cs="Arial"/>
          <w:caps/>
          <w:szCs w:val="22"/>
        </w:rPr>
      </w:pPr>
      <w:r>
        <w:rPr>
          <w:rFonts w:cs="Arial"/>
          <w:caps/>
          <w:szCs w:val="22"/>
        </w:rPr>
        <w:t>id pro komunikaci s dod.: pz_prais_2019_no276_izr_zelena_nafta_2019</w:t>
      </w:r>
    </w:p>
    <w:p w14:paraId="5484D3F2" w14:textId="77777777" w:rsidR="0000551E" w:rsidRDefault="0000551E" w:rsidP="00625B90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6C3CF8C" w14:textId="2F8EE125" w:rsidR="0000551E" w:rsidRPr="00B27B87" w:rsidRDefault="00F62D2D" w:rsidP="00B27B87">
      <w:r>
        <w:t>Viz část A tohoto PZ, body 2 a 3.</w:t>
      </w:r>
    </w:p>
    <w:p w14:paraId="20FDDF2A" w14:textId="77777777" w:rsidR="0000551E" w:rsidRPr="00A73165" w:rsidRDefault="0000551E" w:rsidP="00625B90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466715AA" w14:textId="57EABA46" w:rsidR="0000551E" w:rsidRPr="00CC4564" w:rsidRDefault="00F62D2D" w:rsidP="00CC4564">
      <w:r>
        <w:t xml:space="preserve">V souladu s podmínkami smlouvy </w:t>
      </w:r>
      <w:r w:rsidRPr="00FF1F5D">
        <w:rPr>
          <w:szCs w:val="22"/>
        </w:rPr>
        <w:t>353-2015-13310</w:t>
      </w:r>
      <w:r>
        <w:rPr>
          <w:szCs w:val="22"/>
        </w:rPr>
        <w:t>/1,2,3,4,5.</w:t>
      </w:r>
    </w:p>
    <w:p w14:paraId="7BB6F891" w14:textId="77777777" w:rsidR="0000551E" w:rsidRDefault="0000551E" w:rsidP="00625B90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208EE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356ABC67" w14:textId="77777777" w:rsidR="0000551E" w:rsidRDefault="004D2FB3" w:rsidP="00F62D2D">
      <w:pPr>
        <w:pStyle w:val="Titulek"/>
      </w:pPr>
      <w:r>
        <w:rPr>
          <w:noProof/>
        </w:rPr>
        <w:object w:dxaOrig="1440" w:dyaOrig="1440" w14:anchorId="0DA7741F">
          <v:shape id="_x0000_s1026" type="#_x0000_t75" style="position:absolute;margin-left:439.4pt;margin-top:3.6pt;width:66.95pt;height:49.4pt;z-index:251659264">
            <v:imagedata r:id="rId20" o:title=""/>
            <w10:wrap type="square"/>
          </v:shape>
          <o:OLEObject Type="Embed" ProgID="Word.Document.12" ShapeID="_x0000_s1026" DrawAspect="Icon" ObjectID="_1617521381" r:id="rId21">
            <o:FieldCodes>\s</o:FieldCodes>
          </o:OLEObject>
        </w:object>
      </w:r>
      <w:r w:rsidR="0000551E" w:rsidRPr="00543429">
        <w:t>(Pozn.: V popisu dopadů zohledněte strukturu informací uvedenou v části A - Věcné zadání v bod</w:t>
      </w:r>
      <w:r w:rsidR="0000551E">
        <w:t>u</w:t>
      </w:r>
      <w:r w:rsidR="0000551E" w:rsidRPr="00543429">
        <w:t xml:space="preserve"> </w:t>
      </w:r>
      <w:r w:rsidR="0000551E">
        <w:t>4</w:t>
      </w:r>
      <w:r w:rsidR="003B0C0E">
        <w:t>, přičemž u dopadů dle bodu</w:t>
      </w:r>
      <w:r w:rsidR="0000551E">
        <w:t xml:space="preserve"> 4.1 uveďte, zda může mít změna dopad do agendy, aplikace, na data, na síťovou strukturu, na serverovou infrastrukturu, na bezpečnost.  </w:t>
      </w:r>
    </w:p>
    <w:p w14:paraId="5ACA7A48" w14:textId="77777777" w:rsidR="0000551E" w:rsidRPr="00923468" w:rsidRDefault="0000551E" w:rsidP="00F62D2D">
      <w:pPr>
        <w:pStyle w:val="Titulek"/>
        <w:rPr>
          <w:szCs w:val="22"/>
        </w:rPr>
      </w:pPr>
      <w:r w:rsidRPr="00543429">
        <w:t>Pokud má požadavek dopady do dalších požadavků MZe, uveďte je též v tomto bodu.</w:t>
      </w:r>
    </w:p>
    <w:p w14:paraId="24C20535" w14:textId="77777777" w:rsidR="0000551E" w:rsidRDefault="0000551E" w:rsidP="00F62D2D">
      <w:pPr>
        <w:pStyle w:val="Titulek"/>
      </w:pPr>
      <w:r w:rsidRPr="004C022A">
        <w:t>V případě, že má změna dopady na síťovou infrastrukturu, doplňte tabulku v připojeném souboru - otevřete dvojklikem):</w:t>
      </w:r>
      <w:r>
        <w:t xml:space="preserve"> </w:t>
      </w:r>
      <w:r w:rsidRPr="00F135D0">
        <w:t xml:space="preserve"> </w:t>
      </w:r>
      <w:r w:rsidRPr="00862163">
        <w:t xml:space="preserve"> </w:t>
      </w:r>
      <w:r w:rsidRPr="00F135D0">
        <w:t xml:space="preserve"> </w:t>
      </w:r>
      <w:r>
        <w:t xml:space="preserve"> </w:t>
      </w:r>
    </w:p>
    <w:p w14:paraId="76870A09" w14:textId="77777777" w:rsidR="00625B90" w:rsidRDefault="00625B90" w:rsidP="00EC6856">
      <w:pPr>
        <w:rPr>
          <w:rFonts w:cs="Arial"/>
          <w:szCs w:val="22"/>
        </w:rPr>
      </w:pPr>
    </w:p>
    <w:p w14:paraId="424E8F0E" w14:textId="00FC9FB1" w:rsidR="0000551E" w:rsidRDefault="00A06677" w:rsidP="00EC6856">
      <w:pPr>
        <w:rPr>
          <w:rFonts w:cs="Arial"/>
          <w:szCs w:val="22"/>
        </w:rPr>
      </w:pPr>
      <w:r>
        <w:rPr>
          <w:rFonts w:cs="Arial"/>
          <w:szCs w:val="22"/>
        </w:rPr>
        <w:t>Očekává se navýšení velikosti databáze</w:t>
      </w:r>
      <w:r w:rsidR="0076039C">
        <w:rPr>
          <w:rFonts w:cs="Arial"/>
          <w:szCs w:val="22"/>
        </w:rPr>
        <w:t xml:space="preserve"> IZR</w:t>
      </w:r>
      <w:r>
        <w:rPr>
          <w:rFonts w:cs="Arial"/>
          <w:szCs w:val="22"/>
        </w:rPr>
        <w:t xml:space="preserve"> o archivované PDF dokumenty z výpočtů.</w:t>
      </w:r>
    </w:p>
    <w:p w14:paraId="5AD2ECE4" w14:textId="77777777" w:rsidR="0000551E" w:rsidRPr="0003534C" w:rsidRDefault="0000551E" w:rsidP="00625B90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A208EE">
        <w:rPr>
          <w:rFonts w:cs="Arial"/>
          <w:sz w:val="22"/>
          <w:szCs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30FD041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DABD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84C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6BE6DAD4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929D80" w14:textId="592EDA01" w:rsidR="0000551E" w:rsidRPr="00F23D33" w:rsidRDefault="00154BE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B12BB7" w14:textId="4EDF988A" w:rsidR="0000551E" w:rsidRPr="00F23D33" w:rsidRDefault="00154BE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Součinnost při testování </w:t>
            </w:r>
            <w:r w:rsidR="00625B90">
              <w:rPr>
                <w:rFonts w:cs="Arial"/>
                <w:color w:val="000000"/>
                <w:szCs w:val="22"/>
                <w:lang w:eastAsia="cs-CZ"/>
              </w:rPr>
              <w:t>a akceptaci PZ</w:t>
            </w:r>
          </w:p>
        </w:tc>
      </w:tr>
      <w:tr w:rsidR="0000551E" w:rsidRPr="00F23D33" w14:paraId="61B7A98E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65DE92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183BB6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DF090C3" w14:textId="77777777" w:rsidR="0000551E" w:rsidRPr="00543429" w:rsidRDefault="0000551E" w:rsidP="00F62D2D">
      <w:pPr>
        <w:pStyle w:val="Titulek"/>
      </w:pPr>
      <w:r w:rsidRPr="00543429">
        <w:t>(Pozn.: K popisu požadavku uveďte etapu, kdy bude součinnost vyžadována.)</w:t>
      </w:r>
    </w:p>
    <w:p w14:paraId="70EE836B" w14:textId="77777777" w:rsidR="0000551E" w:rsidRPr="006033CF" w:rsidRDefault="0000551E" w:rsidP="006033CF"/>
    <w:p w14:paraId="0934A65F" w14:textId="77777777" w:rsidR="0000551E" w:rsidRPr="0003534C" w:rsidRDefault="0000551E" w:rsidP="00625B90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208EE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783CEEE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3FC9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EE17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4D1A69FB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A59E68" w14:textId="174A3194" w:rsidR="0000551E" w:rsidRPr="00F23D33" w:rsidRDefault="00F8445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 všech funkcionalit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0BAE61A" w14:textId="189E3E2A" w:rsidR="0000551E" w:rsidRPr="00A208EE" w:rsidRDefault="00F8445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8EE">
              <w:rPr>
                <w:rFonts w:cs="Arial"/>
                <w:color w:val="000000"/>
                <w:szCs w:val="22"/>
                <w:lang w:eastAsia="cs-CZ"/>
              </w:rPr>
              <w:t>10.5.2019</w:t>
            </w:r>
          </w:p>
        </w:tc>
      </w:tr>
      <w:tr w:rsidR="00F84454" w:rsidRPr="00F23D33" w14:paraId="56DBD53B" w14:textId="77777777" w:rsidTr="00170CC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711CF5" w14:textId="118E9F8F" w:rsidR="00F84454" w:rsidRPr="00F23D33" w:rsidRDefault="00F84454" w:rsidP="00170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</w:t>
            </w:r>
            <w:r w:rsidR="00F62D2D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prostředí všech funkcionalit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70AE4F" w14:textId="26166BBF" w:rsidR="00F84454" w:rsidRPr="00A208EE" w:rsidRDefault="00DF3926" w:rsidP="00DF392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8EE">
              <w:rPr>
                <w:rFonts w:cs="Arial"/>
                <w:color w:val="000000"/>
                <w:szCs w:val="22"/>
                <w:lang w:eastAsia="cs-CZ"/>
              </w:rPr>
              <w:t>28</w:t>
            </w:r>
            <w:r w:rsidR="00F84454" w:rsidRPr="00A208EE">
              <w:rPr>
                <w:rFonts w:cs="Arial"/>
                <w:color w:val="000000"/>
                <w:szCs w:val="22"/>
                <w:lang w:eastAsia="cs-CZ"/>
              </w:rPr>
              <w:t>.5.2019</w:t>
            </w:r>
          </w:p>
        </w:tc>
      </w:tr>
      <w:tr w:rsidR="00DF3926" w:rsidRPr="00F23D33" w14:paraId="0C0989DE" w14:textId="77777777" w:rsidTr="00170CC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2185A7" w14:textId="6386AAC1" w:rsidR="00DF3926" w:rsidRDefault="00DF3926" w:rsidP="00170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113ACD" w14:textId="72FB7195" w:rsidR="00DF3926" w:rsidRPr="00A208EE" w:rsidRDefault="00DF3926" w:rsidP="00170CC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8EE">
              <w:rPr>
                <w:rFonts w:cs="Arial"/>
                <w:color w:val="000000"/>
                <w:szCs w:val="22"/>
                <w:lang w:eastAsia="cs-CZ"/>
              </w:rPr>
              <w:t>31.5.2019 *</w:t>
            </w:r>
            <w:r w:rsidR="00A208EE">
              <w:rPr>
                <w:rFonts w:cs="Arial"/>
                <w:color w:val="000000"/>
                <w:szCs w:val="22"/>
                <w:lang w:eastAsia="cs-CZ"/>
              </w:rPr>
              <w:t>/</w:t>
            </w:r>
          </w:p>
        </w:tc>
      </w:tr>
    </w:tbl>
    <w:p w14:paraId="44A690FC" w14:textId="4511555D" w:rsidR="007C604F" w:rsidRPr="00A208EE" w:rsidRDefault="00DF3926" w:rsidP="00DF3926">
      <w:pPr>
        <w:rPr>
          <w:rFonts w:cs="Arial"/>
          <w:i/>
          <w:sz w:val="20"/>
          <w:szCs w:val="22"/>
        </w:rPr>
      </w:pPr>
      <w:r w:rsidRPr="00A208EE">
        <w:rPr>
          <w:rFonts w:cs="Arial"/>
          <w:i/>
          <w:sz w:val="20"/>
          <w:szCs w:val="22"/>
        </w:rPr>
        <w:t>*</w:t>
      </w:r>
      <w:r w:rsidR="00A208EE" w:rsidRPr="00A208EE">
        <w:rPr>
          <w:rFonts w:cs="Arial"/>
          <w:i/>
          <w:sz w:val="20"/>
          <w:szCs w:val="22"/>
        </w:rPr>
        <w:t>/ Uvedený ha</w:t>
      </w:r>
      <w:r w:rsidRPr="00A208EE">
        <w:rPr>
          <w:rFonts w:cs="Arial"/>
          <w:i/>
          <w:sz w:val="20"/>
          <w:szCs w:val="22"/>
        </w:rPr>
        <w:t xml:space="preserve">rmonogram </w:t>
      </w:r>
      <w:r w:rsidR="00A208EE" w:rsidRPr="00A208EE">
        <w:rPr>
          <w:rFonts w:cs="Arial"/>
          <w:i/>
          <w:sz w:val="20"/>
          <w:szCs w:val="22"/>
        </w:rPr>
        <w:t>je platný v případě, že Dodavatel obdrží objednávku do</w:t>
      </w:r>
      <w:r w:rsidRPr="00A208EE">
        <w:rPr>
          <w:rFonts w:cs="Arial"/>
          <w:i/>
          <w:sz w:val="20"/>
          <w:szCs w:val="22"/>
        </w:rPr>
        <w:t xml:space="preserve"> 19.4.2019</w:t>
      </w:r>
    </w:p>
    <w:p w14:paraId="7E54E57D" w14:textId="49EA82BE" w:rsidR="0000551E" w:rsidRPr="0003534C" w:rsidRDefault="0000551E" w:rsidP="00625B90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19F4E559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568"/>
        <w:gridCol w:w="1276"/>
        <w:gridCol w:w="1701"/>
        <w:gridCol w:w="1557"/>
      </w:tblGrid>
      <w:tr w:rsidR="0000551E" w:rsidRPr="00F23D33" w14:paraId="2C7E6A7C" w14:textId="77777777" w:rsidTr="00A208EE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F416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3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CDD7D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F2C8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3AB7C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6A32B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438E5437" w14:textId="77777777" w:rsidTr="00A208EE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14:paraId="08C7E3ED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auto"/>
              <w:left w:val="dotted" w:sz="4" w:space="0" w:color="auto"/>
            </w:tcBorders>
          </w:tcPr>
          <w:p w14:paraId="777FBC82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A6FB704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ACD14F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18A9C243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156385F0" w14:textId="77777777" w:rsidTr="00A208EE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14:paraId="46418D9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left w:val="dotted" w:sz="4" w:space="0" w:color="auto"/>
            </w:tcBorders>
          </w:tcPr>
          <w:p w14:paraId="5BE17188" w14:textId="05060294" w:rsidR="0000551E" w:rsidRPr="00F23D33" w:rsidRDefault="00F62D2D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2CD5787" w14:textId="3B4EB088" w:rsidR="0000551E" w:rsidRPr="00F23D33" w:rsidRDefault="00A208EE" w:rsidP="00A208EE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47,88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4AA3D02D" w14:textId="6A2BD663" w:rsidR="0000551E" w:rsidRPr="00F23D33" w:rsidRDefault="00A208EE" w:rsidP="00337DDA">
            <w:pPr>
              <w:pStyle w:val="Tabulka"/>
              <w:rPr>
                <w:szCs w:val="22"/>
              </w:rPr>
            </w:pPr>
            <w:r w:rsidRPr="00A208EE">
              <w:rPr>
                <w:szCs w:val="22"/>
              </w:rPr>
              <w:t>403 155,38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09762B30" w14:textId="075AE1D6" w:rsidR="0000551E" w:rsidRPr="00F23D33" w:rsidRDefault="00A208EE" w:rsidP="00337DDA">
            <w:pPr>
              <w:pStyle w:val="Tabulka"/>
              <w:rPr>
                <w:szCs w:val="22"/>
              </w:rPr>
            </w:pPr>
            <w:r w:rsidRPr="00A208EE">
              <w:rPr>
                <w:szCs w:val="22"/>
              </w:rPr>
              <w:t>487 818,00</w:t>
            </w:r>
          </w:p>
        </w:tc>
      </w:tr>
      <w:tr w:rsidR="00A208EE" w:rsidRPr="00F23D33" w14:paraId="7531FB1C" w14:textId="77777777" w:rsidTr="00A208EE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6161631" w14:textId="77777777" w:rsidR="00A208EE" w:rsidRPr="00CB1115" w:rsidRDefault="00A208EE" w:rsidP="00A208EE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85E0CA6" w14:textId="343FE54F" w:rsidR="00A208EE" w:rsidRPr="00F23D33" w:rsidRDefault="00A208EE" w:rsidP="00A208EE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47,88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B1814A6" w14:textId="124CD720" w:rsidR="00A208EE" w:rsidRPr="00F23D33" w:rsidRDefault="00A208EE" w:rsidP="00A208EE">
            <w:pPr>
              <w:pStyle w:val="Tabulka"/>
              <w:rPr>
                <w:szCs w:val="22"/>
              </w:rPr>
            </w:pPr>
            <w:r w:rsidRPr="00A208EE">
              <w:rPr>
                <w:szCs w:val="22"/>
              </w:rPr>
              <w:t>403 155,38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5DCDDB3" w14:textId="28E5AEC8" w:rsidR="00A208EE" w:rsidRPr="00F23D33" w:rsidRDefault="00A208EE" w:rsidP="00A208EE">
            <w:pPr>
              <w:pStyle w:val="Tabulka"/>
              <w:rPr>
                <w:szCs w:val="22"/>
              </w:rPr>
            </w:pPr>
            <w:r w:rsidRPr="00A208EE">
              <w:rPr>
                <w:szCs w:val="22"/>
              </w:rPr>
              <w:t>487 818,00</w:t>
            </w:r>
          </w:p>
        </w:tc>
      </w:tr>
    </w:tbl>
    <w:p w14:paraId="197B4E45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2A767287" w14:textId="77777777" w:rsidR="0000551E" w:rsidRPr="00D201B5" w:rsidRDefault="0000551E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017AF5BE" w14:textId="77777777" w:rsidR="0000551E" w:rsidRPr="0003534C" w:rsidRDefault="0000551E" w:rsidP="00625B90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3A9BFBEB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233B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8AE4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326D1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4214FF89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00551E" w:rsidRPr="006C3557" w14:paraId="402D3F41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1C3559" w14:textId="6591CBB2" w:rsidR="0000551E" w:rsidRPr="006C3557" w:rsidRDefault="00F62D2D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375C0B" w14:textId="07E96DE9" w:rsidR="0000551E" w:rsidRPr="006C3557" w:rsidRDefault="00F62D2D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D2DB1F" w14:textId="36B2C45E" w:rsidR="0000551E" w:rsidRPr="006C3557" w:rsidRDefault="00F62D2D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14:paraId="657D7A30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E0785B" w14:textId="1E757932" w:rsidR="0000551E" w:rsidRPr="006C3557" w:rsidRDefault="00A208E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760970" w14:textId="4ECD573D" w:rsidR="0000551E" w:rsidRPr="006C3557" w:rsidRDefault="00A208E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54C104" w14:textId="74B84961" w:rsidR="0000551E" w:rsidRPr="006C3557" w:rsidRDefault="00A208E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2D38B34A" w14:textId="77777777" w:rsidR="0000551E" w:rsidRPr="0003534C" w:rsidRDefault="0000551E" w:rsidP="00625B90">
      <w:pPr>
        <w:pStyle w:val="Nadpis1"/>
        <w:numPr>
          <w:ilvl w:val="0"/>
          <w:numId w:val="3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14:paraId="01DEADE0" w14:textId="77777777" w:rsidTr="00F62D2D">
        <w:trPr>
          <w:trHeight w:val="49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E849" w14:textId="77777777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62085" w14:textId="77777777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  <w:r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A6CA6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7107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4DF91A52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56C1104A" w14:textId="6E7538A6" w:rsidR="0000551E" w:rsidRPr="006C3557" w:rsidRDefault="00F62D2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479ABD47" w14:textId="07C716CD" w:rsidR="0000551E" w:rsidRPr="006C3557" w:rsidRDefault="006E7C6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14:paraId="165C27D5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70E474" w14:textId="77777777"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6F20EDC" w14:textId="77777777" w:rsidR="00625B90" w:rsidRDefault="00625B90" w:rsidP="00CE1B63">
      <w:pPr>
        <w:rPr>
          <w:rFonts w:cs="Arial"/>
          <w:b/>
          <w:caps/>
          <w:szCs w:val="22"/>
        </w:rPr>
      </w:pPr>
    </w:p>
    <w:p w14:paraId="4E4A2478" w14:textId="2F7DC4C2" w:rsidR="00CE1B63" w:rsidRPr="00CE1B63" w:rsidRDefault="0000551E" w:rsidP="00CE1B63">
      <w:pPr>
        <w:rPr>
          <w:rFonts w:ascii="Calibri" w:hAnsi="Calibri"/>
          <w:color w:val="000000"/>
          <w:szCs w:val="22"/>
          <w:lang w:eastAsia="cs-CZ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CE1B63" w:rsidRPr="00CE1B63">
        <w:rPr>
          <w:rFonts w:cs="Arial"/>
          <w:b/>
          <w:caps/>
          <w:szCs w:val="22"/>
        </w:rPr>
        <w:t>Z25974</w:t>
      </w:r>
    </w:p>
    <w:tbl>
      <w:tblPr>
        <w:tblStyle w:val="Mkatabulky"/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7E224F" w:rsidRPr="006C3557" w14:paraId="5DA06969" w14:textId="77777777" w:rsidTr="007E224F">
        <w:tc>
          <w:tcPr>
            <w:tcW w:w="1779" w:type="dxa"/>
          </w:tcPr>
          <w:p w14:paraId="42402962" w14:textId="77777777" w:rsidR="007E224F" w:rsidRPr="006C3557" w:rsidRDefault="007E224F" w:rsidP="0085497D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32807962" w14:textId="73953240" w:rsidR="007E224F" w:rsidRPr="00F62D2D" w:rsidRDefault="004D2FB3" w:rsidP="00F62D2D">
            <w:pPr>
              <w:pStyle w:val="Nadpis1"/>
              <w:numPr>
                <w:ilvl w:val="0"/>
                <w:numId w:val="0"/>
              </w:numPr>
              <w:tabs>
                <w:tab w:val="clear" w:pos="540"/>
              </w:tabs>
              <w:ind w:left="284"/>
              <w:rPr>
                <w:rStyle w:val="Siln"/>
                <w:rFonts w:cs="Arial"/>
                <w:bCs w:val="0"/>
                <w:sz w:val="22"/>
                <w:szCs w:val="22"/>
              </w:rPr>
            </w:pPr>
            <w:hyperlink r:id="rId22" w:tgtFrame="_blank" w:history="1">
              <w:r w:rsidR="00CE1B63" w:rsidRPr="00CE1B63">
                <w:rPr>
                  <w:rFonts w:cs="Arial"/>
                  <w:b w:val="0"/>
                  <w:sz w:val="22"/>
                  <w:szCs w:val="22"/>
                </w:rPr>
                <w:t>2016_0054_33</w:t>
              </w:r>
            </w:hyperlink>
          </w:p>
        </w:tc>
        <w:tc>
          <w:tcPr>
            <w:tcW w:w="1631" w:type="dxa"/>
          </w:tcPr>
          <w:p w14:paraId="05BD63D8" w14:textId="77777777" w:rsidR="007E224F" w:rsidRPr="006C3557" w:rsidRDefault="007E224F" w:rsidP="0085497D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4DAC14A2" w14:textId="44DAC628" w:rsidR="007E224F" w:rsidRPr="006C3557" w:rsidRDefault="00CE1B63" w:rsidP="00B46ACE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458</w:t>
            </w:r>
          </w:p>
        </w:tc>
      </w:tr>
    </w:tbl>
    <w:p w14:paraId="6DF8C3D3" w14:textId="77777777" w:rsidR="0000551E" w:rsidRDefault="0000551E" w:rsidP="00401780">
      <w:pPr>
        <w:rPr>
          <w:rFonts w:cs="Arial"/>
          <w:szCs w:val="22"/>
        </w:rPr>
      </w:pPr>
    </w:p>
    <w:p w14:paraId="12A437D6" w14:textId="77777777" w:rsidR="0000551E" w:rsidRPr="00F62D2D" w:rsidRDefault="0000551E" w:rsidP="00625B90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62D2D">
        <w:rPr>
          <w:rFonts w:cs="Arial"/>
          <w:sz w:val="22"/>
          <w:szCs w:val="22"/>
        </w:rPr>
        <w:t>Specifikace plnění</w:t>
      </w:r>
    </w:p>
    <w:p w14:paraId="7B60CF6A" w14:textId="77777777" w:rsidR="00D55691" w:rsidRPr="00B27B87" w:rsidRDefault="00D55691" w:rsidP="00D55691">
      <w:r>
        <w:t>Viz část A tohoto PZ, body 2 a 3.</w:t>
      </w:r>
    </w:p>
    <w:p w14:paraId="07467FD9" w14:textId="77777777" w:rsidR="0000551E" w:rsidRDefault="0000551E" w:rsidP="004A3B16">
      <w:pPr>
        <w:rPr>
          <w:rFonts w:cs="Arial"/>
        </w:rPr>
      </w:pPr>
    </w:p>
    <w:p w14:paraId="36A36127" w14:textId="77777777" w:rsidR="0000551E" w:rsidRPr="00285F9D" w:rsidRDefault="0000551E" w:rsidP="00625B90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00F5C9EF" w14:textId="77777777" w:rsidR="00D55691" w:rsidRPr="00CC4564" w:rsidRDefault="00D55691" w:rsidP="00D55691">
      <w:r>
        <w:t xml:space="preserve">V souladu s podmínkami smlouvy </w:t>
      </w:r>
      <w:r w:rsidRPr="00D55691">
        <w:rPr>
          <w:szCs w:val="22"/>
        </w:rPr>
        <w:t>353-2015-13310/1,2,3,4,5.</w:t>
      </w:r>
    </w:p>
    <w:p w14:paraId="34D2ED49" w14:textId="77777777" w:rsidR="0000551E" w:rsidRDefault="0000551E" w:rsidP="004C756F"/>
    <w:p w14:paraId="1AE5D460" w14:textId="77777777" w:rsidR="0000551E" w:rsidRPr="006C3557" w:rsidRDefault="0000551E" w:rsidP="00625B90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20578EF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12BF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41F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E3EC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D55691" w:rsidRPr="006C3557" w14:paraId="45E3F3FE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1405A6" w14:textId="1C9B229D" w:rsidR="00D55691" w:rsidRPr="006C3557" w:rsidRDefault="00D55691" w:rsidP="00154B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29976E" w14:textId="068BAB85" w:rsidR="00D55691" w:rsidRPr="006C3557" w:rsidRDefault="00D55691" w:rsidP="00154B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FA346E7" w14:textId="77777777" w:rsidR="00D55691" w:rsidRPr="006C3557" w:rsidRDefault="00D55691" w:rsidP="00154B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55691" w:rsidRPr="006C3557" w14:paraId="1573C831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143C93" w14:textId="77777777" w:rsidR="00D55691" w:rsidRPr="006C3557" w:rsidRDefault="00D55691" w:rsidP="00154B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64C36D" w14:textId="77777777" w:rsidR="00D55691" w:rsidRPr="006C3557" w:rsidRDefault="00D55691" w:rsidP="00154B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8A9CEEB" w14:textId="77777777" w:rsidR="00D55691" w:rsidRPr="006C3557" w:rsidRDefault="00D55691" w:rsidP="00154B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5D3C9D5" w14:textId="77777777" w:rsidR="0000551E" w:rsidRPr="004C756F" w:rsidRDefault="0000551E" w:rsidP="00CB3C3C"/>
    <w:p w14:paraId="78F2B589" w14:textId="77777777" w:rsidR="0000551E" w:rsidRPr="0003534C" w:rsidRDefault="0000551E" w:rsidP="00625B90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D55691" w:rsidRPr="00F23D33" w14:paraId="492711BB" w14:textId="77777777" w:rsidTr="00FF19A4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5B99" w14:textId="77777777" w:rsidR="00D55691" w:rsidRPr="00F23D33" w:rsidRDefault="00D55691" w:rsidP="00FF19A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AB8FA" w14:textId="77777777" w:rsidR="00D55691" w:rsidRPr="00F23D33" w:rsidRDefault="00D55691" w:rsidP="00FF19A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55691" w:rsidRPr="00F23D33" w14:paraId="59C830EE" w14:textId="77777777" w:rsidTr="00FF19A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E014A3" w14:textId="77777777" w:rsidR="00D55691" w:rsidRPr="00F23D33" w:rsidRDefault="00D55691" w:rsidP="00FF19A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 všech funkcionalit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184AC07" w14:textId="77777777" w:rsidR="00D55691" w:rsidRPr="00A208EE" w:rsidRDefault="00D55691" w:rsidP="00FF19A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8EE">
              <w:rPr>
                <w:rFonts w:cs="Arial"/>
                <w:color w:val="000000"/>
                <w:szCs w:val="22"/>
                <w:lang w:eastAsia="cs-CZ"/>
              </w:rPr>
              <w:t>10.5.2019</w:t>
            </w:r>
          </w:p>
        </w:tc>
      </w:tr>
      <w:tr w:rsidR="00D55691" w:rsidRPr="00F23D33" w14:paraId="53B2BE0D" w14:textId="77777777" w:rsidTr="00FF19A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9F0A1" w14:textId="77777777" w:rsidR="00D55691" w:rsidRPr="00F23D33" w:rsidRDefault="00D55691" w:rsidP="00FF19A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 všech funkcionalit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8613172" w14:textId="77777777" w:rsidR="00D55691" w:rsidRPr="00A208EE" w:rsidRDefault="00D55691" w:rsidP="00FF19A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8EE">
              <w:rPr>
                <w:rFonts w:cs="Arial"/>
                <w:color w:val="000000"/>
                <w:szCs w:val="22"/>
                <w:lang w:eastAsia="cs-CZ"/>
              </w:rPr>
              <w:t>28.5.2019</w:t>
            </w:r>
          </w:p>
        </w:tc>
      </w:tr>
      <w:tr w:rsidR="00D55691" w:rsidRPr="00F23D33" w14:paraId="207835BD" w14:textId="77777777" w:rsidTr="00FF19A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31D82F" w14:textId="77777777" w:rsidR="00D55691" w:rsidRDefault="00D55691" w:rsidP="00FF19A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23F464A" w14:textId="77777777" w:rsidR="00D55691" w:rsidRPr="00A208EE" w:rsidRDefault="00D55691" w:rsidP="00FF19A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8EE">
              <w:rPr>
                <w:rFonts w:cs="Arial"/>
                <w:color w:val="000000"/>
                <w:szCs w:val="22"/>
                <w:lang w:eastAsia="cs-CZ"/>
              </w:rPr>
              <w:t>31.5.2019 *</w:t>
            </w:r>
            <w:r>
              <w:rPr>
                <w:rFonts w:cs="Arial"/>
                <w:color w:val="000000"/>
                <w:szCs w:val="22"/>
                <w:lang w:eastAsia="cs-CZ"/>
              </w:rPr>
              <w:t>/</w:t>
            </w:r>
          </w:p>
        </w:tc>
      </w:tr>
    </w:tbl>
    <w:p w14:paraId="5AD83EEF" w14:textId="77777777" w:rsidR="00D55691" w:rsidRPr="00A208EE" w:rsidRDefault="00D55691" w:rsidP="00D55691">
      <w:pPr>
        <w:rPr>
          <w:rFonts w:cs="Arial"/>
          <w:i/>
          <w:sz w:val="20"/>
          <w:szCs w:val="22"/>
        </w:rPr>
      </w:pPr>
      <w:r w:rsidRPr="00A208EE">
        <w:rPr>
          <w:rFonts w:cs="Arial"/>
          <w:i/>
          <w:sz w:val="20"/>
          <w:szCs w:val="22"/>
        </w:rPr>
        <w:t>*/ Uvedený harmonogram je platný v případě, že Dodavatel obdrží objednávku do 19.4.2019</w:t>
      </w:r>
    </w:p>
    <w:p w14:paraId="3231A920" w14:textId="77777777" w:rsidR="0000551E" w:rsidRPr="004C756F" w:rsidRDefault="0000551E" w:rsidP="004C756F"/>
    <w:p w14:paraId="36320884" w14:textId="77777777" w:rsidR="0000551E" w:rsidRPr="0003534C" w:rsidRDefault="0000551E" w:rsidP="00625B90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87D8C44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61"/>
        <w:gridCol w:w="1276"/>
        <w:gridCol w:w="1418"/>
        <w:gridCol w:w="1439"/>
      </w:tblGrid>
      <w:tr w:rsidR="0000551E" w:rsidRPr="00F23D33" w14:paraId="682E322A" w14:textId="77777777" w:rsidTr="00D5569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ADE26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6"/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942A7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EDB43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E3D9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E39D9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421AAB34" w14:textId="77777777" w:rsidTr="00D55691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F476A85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661" w:type="dxa"/>
            <w:tcBorders>
              <w:top w:val="single" w:sz="8" w:space="0" w:color="auto"/>
              <w:left w:val="dotted" w:sz="4" w:space="0" w:color="auto"/>
            </w:tcBorders>
          </w:tcPr>
          <w:p w14:paraId="01CE546D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389807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2D12F94E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</w:tcPr>
          <w:p w14:paraId="4BF2F12A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D55691" w:rsidRPr="00F23D33" w14:paraId="08AAAE7B" w14:textId="77777777" w:rsidTr="00D55691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1426C6A8" w14:textId="77777777" w:rsidR="00D55691" w:rsidRPr="00F23D33" w:rsidRDefault="00D55691" w:rsidP="00153C10">
            <w:pPr>
              <w:pStyle w:val="Tabulka"/>
              <w:rPr>
                <w:szCs w:val="22"/>
              </w:rPr>
            </w:pPr>
          </w:p>
        </w:tc>
        <w:tc>
          <w:tcPr>
            <w:tcW w:w="3661" w:type="dxa"/>
            <w:tcBorders>
              <w:top w:val="dotted" w:sz="4" w:space="0" w:color="auto"/>
              <w:left w:val="dotted" w:sz="4" w:space="0" w:color="auto"/>
            </w:tcBorders>
          </w:tcPr>
          <w:p w14:paraId="2E9FC990" w14:textId="7B2952C1" w:rsidR="00D55691" w:rsidRPr="00F23D33" w:rsidRDefault="00D55691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3046B6F" w14:textId="7B58BC62" w:rsidR="00D55691" w:rsidRPr="00F23D33" w:rsidRDefault="00D55691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47,88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B9A5E2A" w14:textId="163FE8A0" w:rsidR="00D55691" w:rsidRPr="00F23D33" w:rsidRDefault="00D55691" w:rsidP="00153C10">
            <w:pPr>
              <w:pStyle w:val="Tabulka"/>
              <w:rPr>
                <w:szCs w:val="22"/>
              </w:rPr>
            </w:pPr>
            <w:r w:rsidRPr="00A208EE">
              <w:rPr>
                <w:szCs w:val="22"/>
              </w:rPr>
              <w:t>403 155,38</w:t>
            </w:r>
          </w:p>
        </w:tc>
        <w:tc>
          <w:tcPr>
            <w:tcW w:w="1439" w:type="dxa"/>
            <w:tcBorders>
              <w:top w:val="dotted" w:sz="4" w:space="0" w:color="auto"/>
            </w:tcBorders>
          </w:tcPr>
          <w:p w14:paraId="0C1B26C3" w14:textId="2CCC00B1" w:rsidR="00D55691" w:rsidRPr="00F23D33" w:rsidRDefault="00D55691" w:rsidP="00153C10">
            <w:pPr>
              <w:pStyle w:val="Tabulka"/>
              <w:rPr>
                <w:szCs w:val="22"/>
              </w:rPr>
            </w:pPr>
            <w:r w:rsidRPr="00A208EE">
              <w:rPr>
                <w:szCs w:val="22"/>
              </w:rPr>
              <w:t>487 818,00</w:t>
            </w:r>
          </w:p>
        </w:tc>
      </w:tr>
      <w:tr w:rsidR="00D55691" w:rsidRPr="00F23D33" w14:paraId="492EA2C6" w14:textId="77777777" w:rsidTr="00D55691">
        <w:trPr>
          <w:trHeight w:val="397"/>
        </w:trPr>
        <w:tc>
          <w:tcPr>
            <w:tcW w:w="564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6F45B89" w14:textId="77777777" w:rsidR="00D55691" w:rsidRPr="00CB1115" w:rsidRDefault="00D55691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76848BF" w14:textId="33649E5C" w:rsidR="00D55691" w:rsidRPr="00F23D33" w:rsidRDefault="00D55691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47,88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6BBA725" w14:textId="361BF2A2" w:rsidR="00D55691" w:rsidRPr="00F23D33" w:rsidRDefault="00D55691" w:rsidP="00153C10">
            <w:pPr>
              <w:pStyle w:val="Tabulka"/>
              <w:rPr>
                <w:szCs w:val="22"/>
              </w:rPr>
            </w:pPr>
            <w:r w:rsidRPr="00A208EE">
              <w:rPr>
                <w:szCs w:val="22"/>
              </w:rPr>
              <w:t>403 155,38</w:t>
            </w:r>
          </w:p>
        </w:tc>
        <w:tc>
          <w:tcPr>
            <w:tcW w:w="1439" w:type="dxa"/>
            <w:tcBorders>
              <w:bottom w:val="dotted" w:sz="4" w:space="0" w:color="auto"/>
            </w:tcBorders>
          </w:tcPr>
          <w:p w14:paraId="58081586" w14:textId="69380811" w:rsidR="00D55691" w:rsidRPr="00F23D33" w:rsidRDefault="00D55691" w:rsidP="00153C10">
            <w:pPr>
              <w:pStyle w:val="Tabulka"/>
              <w:rPr>
                <w:szCs w:val="22"/>
              </w:rPr>
            </w:pPr>
            <w:r w:rsidRPr="00A208EE">
              <w:rPr>
                <w:szCs w:val="22"/>
              </w:rPr>
              <w:t>487 818,00</w:t>
            </w:r>
          </w:p>
        </w:tc>
      </w:tr>
    </w:tbl>
    <w:p w14:paraId="1D2771C1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0D43BB34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A71754E" w14:textId="77777777" w:rsidR="0000551E" w:rsidRPr="00CC6780" w:rsidRDefault="0000551E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6DAE331C" w14:textId="77777777" w:rsidR="0000551E" w:rsidRPr="00F23D33" w:rsidRDefault="0000551E" w:rsidP="001E3C70">
      <w:pPr>
        <w:spacing w:after="0"/>
        <w:rPr>
          <w:rFonts w:cs="Arial"/>
          <w:sz w:val="8"/>
          <w:szCs w:val="8"/>
        </w:rPr>
      </w:pPr>
    </w:p>
    <w:p w14:paraId="4EEBAA17" w14:textId="77777777" w:rsidR="0000551E" w:rsidRPr="002123D3" w:rsidRDefault="0000551E" w:rsidP="00625B90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17"/>
      </w:r>
    </w:p>
    <w:p w14:paraId="41E90401" w14:textId="77777777" w:rsidR="0000551E" w:rsidRDefault="0000551E">
      <w:pPr>
        <w:spacing w:after="0"/>
      </w:pPr>
      <w:r>
        <w:br w:type="page"/>
      </w:r>
    </w:p>
    <w:p w14:paraId="21315B01" w14:textId="77777777" w:rsidR="0000551E" w:rsidRDefault="0000551E" w:rsidP="00625B90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Posouzení</w:t>
      </w:r>
      <w:r w:rsidRPr="006A0258">
        <w:rPr>
          <w:b w:val="0"/>
          <w:vertAlign w:val="superscript"/>
        </w:rPr>
        <w:endnoteReference w:id="18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14EB1D92" w14:textId="77777777" w:rsidTr="00153C10">
        <w:trPr>
          <w:trHeight w:val="374"/>
        </w:trPr>
        <w:tc>
          <w:tcPr>
            <w:tcW w:w="2547" w:type="dxa"/>
            <w:vAlign w:val="center"/>
          </w:tcPr>
          <w:p w14:paraId="3E1C9956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6A334617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4C14D5FE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566251DB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19"/>
            </w:r>
          </w:p>
        </w:tc>
      </w:tr>
      <w:tr w:rsidR="0000551E" w14:paraId="5FD07BFA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1ADA29CE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3E828D6A" w14:textId="6DAC3255" w:rsidR="0000551E" w:rsidRDefault="006E7C61" w:rsidP="00153C10">
            <w:r>
              <w:t>xxx</w:t>
            </w:r>
          </w:p>
        </w:tc>
        <w:tc>
          <w:tcPr>
            <w:tcW w:w="2372" w:type="dxa"/>
            <w:vAlign w:val="center"/>
          </w:tcPr>
          <w:p w14:paraId="31780396" w14:textId="106C8C90" w:rsidR="0000551E" w:rsidRDefault="007C604F" w:rsidP="00153C10">
            <w:r>
              <w:t>Viz</w:t>
            </w:r>
            <w:r w:rsidR="00641B77">
              <w:t xml:space="preserve"> příloha 1</w:t>
            </w:r>
          </w:p>
        </w:tc>
        <w:tc>
          <w:tcPr>
            <w:tcW w:w="2372" w:type="dxa"/>
            <w:vAlign w:val="center"/>
          </w:tcPr>
          <w:p w14:paraId="642E506E" w14:textId="77777777" w:rsidR="0000551E" w:rsidRDefault="0000551E" w:rsidP="00153C10"/>
        </w:tc>
      </w:tr>
      <w:tr w:rsidR="0000551E" w14:paraId="10A01C19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5C3114DD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61FA4377" w14:textId="4FBA6C34" w:rsidR="0000551E" w:rsidRDefault="006E7C61" w:rsidP="00153C10">
            <w:r>
              <w:t>xxx</w:t>
            </w:r>
          </w:p>
        </w:tc>
        <w:tc>
          <w:tcPr>
            <w:tcW w:w="2372" w:type="dxa"/>
            <w:vAlign w:val="center"/>
          </w:tcPr>
          <w:p w14:paraId="58FB1C9F" w14:textId="552518D5" w:rsidR="0000551E" w:rsidRDefault="007C604F" w:rsidP="00153C10">
            <w:r>
              <w:t>Viz</w:t>
            </w:r>
            <w:r w:rsidR="00641B77">
              <w:t xml:space="preserve"> příloha 2</w:t>
            </w:r>
          </w:p>
        </w:tc>
        <w:tc>
          <w:tcPr>
            <w:tcW w:w="2372" w:type="dxa"/>
            <w:vAlign w:val="center"/>
          </w:tcPr>
          <w:p w14:paraId="3485EB49" w14:textId="77777777" w:rsidR="0000551E" w:rsidRDefault="0000551E" w:rsidP="00153C10"/>
        </w:tc>
      </w:tr>
      <w:tr w:rsidR="0000551E" w14:paraId="49D58CBC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6962B6FB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vAlign w:val="center"/>
          </w:tcPr>
          <w:p w14:paraId="0B12BB77" w14:textId="77777777" w:rsidR="0000551E" w:rsidRDefault="0000551E" w:rsidP="00153C10"/>
        </w:tc>
        <w:tc>
          <w:tcPr>
            <w:tcW w:w="2372" w:type="dxa"/>
            <w:vAlign w:val="center"/>
          </w:tcPr>
          <w:p w14:paraId="68AE7681" w14:textId="77777777" w:rsidR="0000551E" w:rsidRDefault="0000551E" w:rsidP="00153C10"/>
        </w:tc>
        <w:tc>
          <w:tcPr>
            <w:tcW w:w="2372" w:type="dxa"/>
            <w:vAlign w:val="center"/>
          </w:tcPr>
          <w:p w14:paraId="08052E80" w14:textId="77777777" w:rsidR="0000551E" w:rsidRDefault="0000551E" w:rsidP="00153C10"/>
        </w:tc>
      </w:tr>
    </w:tbl>
    <w:p w14:paraId="2084F6E5" w14:textId="77777777" w:rsidR="0000551E" w:rsidRDefault="0000551E" w:rsidP="00BD6765"/>
    <w:p w14:paraId="326B8512" w14:textId="77777777" w:rsidR="0000551E" w:rsidRPr="006C3557" w:rsidRDefault="0000551E" w:rsidP="00625B90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0551E" w:rsidRPr="00194CEC" w14:paraId="26637433" w14:textId="77777777" w:rsidTr="00371CE8">
        <w:trPr>
          <w:trHeight w:val="374"/>
        </w:trPr>
        <w:tc>
          <w:tcPr>
            <w:tcW w:w="3256" w:type="dxa"/>
            <w:vAlign w:val="center"/>
          </w:tcPr>
          <w:p w14:paraId="6DB60B7B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7BE3687D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5E2C7886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6B1882EB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551E" w14:paraId="66FAE28E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506D81B2" w14:textId="77777777" w:rsidR="0000551E" w:rsidRDefault="0000551E" w:rsidP="00371CE8">
            <w:r>
              <w:t>Žadatel</w:t>
            </w:r>
          </w:p>
        </w:tc>
        <w:tc>
          <w:tcPr>
            <w:tcW w:w="2835" w:type="dxa"/>
            <w:vAlign w:val="center"/>
          </w:tcPr>
          <w:p w14:paraId="14157A36" w14:textId="5306D87E" w:rsidR="0000551E" w:rsidRDefault="006E7C61" w:rsidP="00371CE8">
            <w:r>
              <w:t>xxx</w:t>
            </w:r>
          </w:p>
        </w:tc>
        <w:tc>
          <w:tcPr>
            <w:tcW w:w="1559" w:type="dxa"/>
            <w:vAlign w:val="center"/>
          </w:tcPr>
          <w:p w14:paraId="16FE165A" w14:textId="77777777" w:rsidR="0000551E" w:rsidRDefault="0000551E" w:rsidP="00371CE8"/>
        </w:tc>
        <w:tc>
          <w:tcPr>
            <w:tcW w:w="2012" w:type="dxa"/>
            <w:vAlign w:val="center"/>
          </w:tcPr>
          <w:p w14:paraId="2CAC3F08" w14:textId="77777777" w:rsidR="0000551E" w:rsidRDefault="0000551E" w:rsidP="00371CE8"/>
        </w:tc>
      </w:tr>
      <w:tr w:rsidR="0000551E" w14:paraId="28402D4C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41D25AD2" w14:textId="77777777" w:rsidR="0000551E" w:rsidRDefault="0000551E" w:rsidP="00371CE8">
            <w:r>
              <w:t>Věcný/metodický garant</w:t>
            </w:r>
          </w:p>
        </w:tc>
        <w:tc>
          <w:tcPr>
            <w:tcW w:w="2835" w:type="dxa"/>
            <w:vAlign w:val="center"/>
          </w:tcPr>
          <w:p w14:paraId="3DF30015" w14:textId="1378465D" w:rsidR="0000551E" w:rsidRDefault="006E7C61" w:rsidP="00371CE8">
            <w:r>
              <w:t>xxx</w:t>
            </w:r>
          </w:p>
        </w:tc>
        <w:tc>
          <w:tcPr>
            <w:tcW w:w="1559" w:type="dxa"/>
            <w:vAlign w:val="center"/>
          </w:tcPr>
          <w:p w14:paraId="2E56FEA5" w14:textId="77777777" w:rsidR="0000551E" w:rsidRDefault="0000551E" w:rsidP="00371CE8"/>
        </w:tc>
        <w:tc>
          <w:tcPr>
            <w:tcW w:w="2012" w:type="dxa"/>
            <w:vAlign w:val="center"/>
          </w:tcPr>
          <w:p w14:paraId="5A73D1B0" w14:textId="77777777" w:rsidR="0000551E" w:rsidRDefault="0000551E" w:rsidP="00371CE8"/>
        </w:tc>
      </w:tr>
      <w:tr w:rsidR="0000551E" w14:paraId="3A3CBC19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411686B7" w14:textId="77777777" w:rsidR="0000551E" w:rsidRDefault="0000551E" w:rsidP="00371CE8">
            <w:r>
              <w:t>Change koordinátor</w:t>
            </w:r>
          </w:p>
        </w:tc>
        <w:tc>
          <w:tcPr>
            <w:tcW w:w="2835" w:type="dxa"/>
            <w:vAlign w:val="center"/>
          </w:tcPr>
          <w:p w14:paraId="183AE69C" w14:textId="36B14D69" w:rsidR="0000551E" w:rsidRDefault="006E7C61" w:rsidP="00371CE8">
            <w:r>
              <w:t>xxx</w:t>
            </w:r>
          </w:p>
        </w:tc>
        <w:tc>
          <w:tcPr>
            <w:tcW w:w="1559" w:type="dxa"/>
            <w:vAlign w:val="center"/>
          </w:tcPr>
          <w:p w14:paraId="26ADB721" w14:textId="77777777" w:rsidR="0000551E" w:rsidRDefault="0000551E" w:rsidP="00371CE8"/>
        </w:tc>
        <w:tc>
          <w:tcPr>
            <w:tcW w:w="2012" w:type="dxa"/>
            <w:vAlign w:val="center"/>
          </w:tcPr>
          <w:p w14:paraId="71573943" w14:textId="77777777" w:rsidR="0000551E" w:rsidRDefault="0000551E" w:rsidP="00371CE8"/>
        </w:tc>
      </w:tr>
      <w:tr w:rsidR="0000551E" w14:paraId="63FE2E5C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4708CF31" w14:textId="77777777" w:rsidR="0000551E" w:rsidRDefault="0000551E" w:rsidP="0085497D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380168E9" w14:textId="7E2A4615" w:rsidR="0000551E" w:rsidRDefault="00641B77" w:rsidP="00371CE8">
            <w:r>
              <w:t>Daniel Hetzer</w:t>
            </w:r>
          </w:p>
        </w:tc>
        <w:tc>
          <w:tcPr>
            <w:tcW w:w="1559" w:type="dxa"/>
            <w:vAlign w:val="center"/>
          </w:tcPr>
          <w:p w14:paraId="292291E1" w14:textId="77777777" w:rsidR="0000551E" w:rsidRDefault="0000551E" w:rsidP="00371CE8"/>
        </w:tc>
        <w:tc>
          <w:tcPr>
            <w:tcW w:w="2012" w:type="dxa"/>
            <w:vAlign w:val="center"/>
          </w:tcPr>
          <w:p w14:paraId="2E433969" w14:textId="77777777" w:rsidR="0000551E" w:rsidRDefault="0000551E" w:rsidP="00371CE8"/>
        </w:tc>
      </w:tr>
    </w:tbl>
    <w:p w14:paraId="2945689F" w14:textId="77777777" w:rsidR="0000551E" w:rsidRPr="009F4F27" w:rsidRDefault="0000551E" w:rsidP="001842B4"/>
    <w:p w14:paraId="66CB767F" w14:textId="77777777" w:rsidR="0000551E" w:rsidRPr="00194CE8" w:rsidRDefault="0000551E" w:rsidP="00194CE8"/>
    <w:p w14:paraId="288A5FDB" w14:textId="77777777" w:rsidR="0000551E" w:rsidRPr="008F29B6" w:rsidRDefault="0000551E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5F8C0F73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2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D5E0" w14:textId="77777777" w:rsidR="004D2FB3" w:rsidRDefault="004D2FB3" w:rsidP="0000551E">
      <w:pPr>
        <w:spacing w:after="0"/>
      </w:pPr>
      <w:r>
        <w:separator/>
      </w:r>
    </w:p>
  </w:endnote>
  <w:endnote w:type="continuationSeparator" w:id="0">
    <w:p w14:paraId="2CF1D3A8" w14:textId="77777777" w:rsidR="004D2FB3" w:rsidRDefault="004D2FB3" w:rsidP="0000551E">
      <w:pPr>
        <w:spacing w:after="0"/>
      </w:pPr>
      <w:r>
        <w:continuationSeparator/>
      </w:r>
    </w:p>
  </w:endnote>
  <w:endnote w:id="1">
    <w:p w14:paraId="41083148" w14:textId="77777777" w:rsidR="00A208EE" w:rsidRPr="00E56B5D" w:rsidRDefault="00A208EE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72577B08" w14:textId="77777777" w:rsidR="00A208EE" w:rsidRPr="00E56B5D" w:rsidRDefault="00A208EE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3">
    <w:p w14:paraId="2117E6FB" w14:textId="77777777" w:rsidR="00A208EE" w:rsidRPr="00E56B5D" w:rsidRDefault="00A208EE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2D04F570" w14:textId="77777777" w:rsidR="00A208EE" w:rsidRPr="00E56B5D" w:rsidRDefault="00A208EE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3248A3C1" w14:textId="77777777" w:rsidR="00A208EE" w:rsidRPr="00E56B5D" w:rsidRDefault="00A208EE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27BEE354" w14:textId="77777777" w:rsidR="00A208EE" w:rsidRPr="00E56B5D" w:rsidRDefault="00A208EE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7">
    <w:p w14:paraId="6123DA8A" w14:textId="77777777" w:rsidR="00A208EE" w:rsidRPr="00E56B5D" w:rsidRDefault="00A208E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3783D5D9" w14:textId="77777777" w:rsidR="00A208EE" w:rsidRPr="00E56B5D" w:rsidRDefault="00A208EE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57AFA705" w14:textId="77777777" w:rsidR="00A208EE" w:rsidRPr="00E56B5D" w:rsidRDefault="00A208EE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0">
    <w:p w14:paraId="08A745B5" w14:textId="77777777" w:rsidR="00A208EE" w:rsidRPr="00E56B5D" w:rsidRDefault="00A208EE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14:paraId="1429F0E5" w14:textId="77777777" w:rsidR="00A208EE" w:rsidRPr="00E56B5D" w:rsidRDefault="00A208EE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280B4740" w14:textId="77777777" w:rsidR="00A208EE" w:rsidRPr="00E56B5D" w:rsidRDefault="00A208EE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3">
    <w:p w14:paraId="53B935B8" w14:textId="77777777" w:rsidR="00A208EE" w:rsidRPr="00E56B5D" w:rsidRDefault="00A208EE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4">
    <w:p w14:paraId="034EBB06" w14:textId="77777777" w:rsidR="00A208EE" w:rsidRPr="00E56B5D" w:rsidRDefault="00A208EE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5">
    <w:p w14:paraId="7E698D39" w14:textId="77777777" w:rsidR="00A208EE" w:rsidRPr="00E56B5D" w:rsidRDefault="00A208EE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6">
    <w:p w14:paraId="325BBED1" w14:textId="77777777" w:rsidR="00A208EE" w:rsidRPr="00E56B5D" w:rsidRDefault="00A208EE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7">
    <w:p w14:paraId="04B4331E" w14:textId="77777777" w:rsidR="00A208EE" w:rsidRPr="00E56B5D" w:rsidRDefault="00A208EE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18">
    <w:p w14:paraId="1019BB8D" w14:textId="77777777" w:rsidR="00A208EE" w:rsidRPr="00E56B5D" w:rsidRDefault="00A208EE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19">
    <w:p w14:paraId="463CC5CC" w14:textId="77777777" w:rsidR="00A208EE" w:rsidRDefault="00A208E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4E1A" w14:textId="1A49B85E" w:rsidR="00A208EE" w:rsidRPr="00CC2560" w:rsidRDefault="00A208EE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828131608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61275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61275">
      <w:rPr>
        <w:noProof/>
        <w:sz w:val="16"/>
        <w:szCs w:val="16"/>
      </w:rPr>
      <w:t>14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8F96" w14:textId="3060805C" w:rsidR="00A208EE" w:rsidRPr="00EF7DC4" w:rsidRDefault="00A208EE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61275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461275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1D9E" w14:textId="77777777" w:rsidR="004D2FB3" w:rsidRDefault="004D2FB3" w:rsidP="0000551E">
      <w:pPr>
        <w:spacing w:after="0"/>
      </w:pPr>
      <w:r>
        <w:separator/>
      </w:r>
    </w:p>
  </w:footnote>
  <w:footnote w:type="continuationSeparator" w:id="0">
    <w:p w14:paraId="2AEC6C93" w14:textId="77777777" w:rsidR="004D2FB3" w:rsidRDefault="004D2FB3" w:rsidP="000055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F1FC" w14:textId="77777777" w:rsidR="00A208EE" w:rsidRPr="003315A8" w:rsidRDefault="00A208EE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59EB47A2" wp14:editId="3227EEFD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4AB"/>
    <w:multiLevelType w:val="hybridMultilevel"/>
    <w:tmpl w:val="190AF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BBF"/>
    <w:multiLevelType w:val="hybridMultilevel"/>
    <w:tmpl w:val="92EC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4A33"/>
    <w:multiLevelType w:val="hybridMultilevel"/>
    <w:tmpl w:val="BBCAD2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557D"/>
    <w:multiLevelType w:val="multilevel"/>
    <w:tmpl w:val="55B6B70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7802D5A"/>
    <w:multiLevelType w:val="hybridMultilevel"/>
    <w:tmpl w:val="45B6DE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18180EC8"/>
    <w:multiLevelType w:val="hybridMultilevel"/>
    <w:tmpl w:val="605C20C6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5B63BE"/>
    <w:multiLevelType w:val="hybridMultilevel"/>
    <w:tmpl w:val="70C4780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E1A14D7"/>
    <w:multiLevelType w:val="multilevel"/>
    <w:tmpl w:val="ADDE934A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4C41C15"/>
    <w:multiLevelType w:val="hybridMultilevel"/>
    <w:tmpl w:val="64F46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30768"/>
    <w:multiLevelType w:val="hybridMultilevel"/>
    <w:tmpl w:val="72E0872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7204"/>
    <w:multiLevelType w:val="hybridMultilevel"/>
    <w:tmpl w:val="88E09C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B00658"/>
    <w:multiLevelType w:val="hybridMultilevel"/>
    <w:tmpl w:val="F80C8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402EB"/>
    <w:multiLevelType w:val="hybridMultilevel"/>
    <w:tmpl w:val="2FF09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B2F0A"/>
    <w:multiLevelType w:val="hybridMultilevel"/>
    <w:tmpl w:val="C5D06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4AA5"/>
    <w:multiLevelType w:val="hybridMultilevel"/>
    <w:tmpl w:val="64F46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A117BEE"/>
    <w:multiLevelType w:val="hybridMultilevel"/>
    <w:tmpl w:val="64F46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0B133B6"/>
    <w:multiLevelType w:val="hybridMultilevel"/>
    <w:tmpl w:val="64F46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0FB4B97"/>
    <w:multiLevelType w:val="hybridMultilevel"/>
    <w:tmpl w:val="499E8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E5106"/>
    <w:multiLevelType w:val="hybridMultilevel"/>
    <w:tmpl w:val="21B445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67B157F"/>
    <w:multiLevelType w:val="hybridMultilevel"/>
    <w:tmpl w:val="B9DA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943D7"/>
    <w:multiLevelType w:val="hybridMultilevel"/>
    <w:tmpl w:val="64F46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1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14"/>
  </w:num>
  <w:num w:numId="10">
    <w:abstractNumId w:val="23"/>
  </w:num>
  <w:num w:numId="11">
    <w:abstractNumId w:val="18"/>
  </w:num>
  <w:num w:numId="12">
    <w:abstractNumId w:val="25"/>
  </w:num>
  <w:num w:numId="13">
    <w:abstractNumId w:val="16"/>
  </w:num>
  <w:num w:numId="14">
    <w:abstractNumId w:val="8"/>
  </w:num>
  <w:num w:numId="15">
    <w:abstractNumId w:val="5"/>
  </w:num>
  <w:num w:numId="16">
    <w:abstractNumId w:val="11"/>
  </w:num>
  <w:num w:numId="17">
    <w:abstractNumId w:val="4"/>
  </w:num>
  <w:num w:numId="18">
    <w:abstractNumId w:val="2"/>
  </w:num>
  <w:num w:numId="19">
    <w:abstractNumId w:val="22"/>
  </w:num>
  <w:num w:numId="20">
    <w:abstractNumId w:val="19"/>
  </w:num>
  <w:num w:numId="21">
    <w:abstractNumId w:val="26"/>
  </w:num>
  <w:num w:numId="22">
    <w:abstractNumId w:val="21"/>
  </w:num>
  <w:num w:numId="23">
    <w:abstractNumId w:val="20"/>
  </w:num>
  <w:num w:numId="24">
    <w:abstractNumId w:val="6"/>
  </w:num>
  <w:num w:numId="25">
    <w:abstractNumId w:val="17"/>
  </w:num>
  <w:num w:numId="26">
    <w:abstractNumId w:val="0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C86"/>
    <w:rsid w:val="00001D20"/>
    <w:rsid w:val="00004AE0"/>
    <w:rsid w:val="00004D27"/>
    <w:rsid w:val="00004EC1"/>
    <w:rsid w:val="0000551E"/>
    <w:rsid w:val="00005870"/>
    <w:rsid w:val="00005BCE"/>
    <w:rsid w:val="00007165"/>
    <w:rsid w:val="00010358"/>
    <w:rsid w:val="00013DF1"/>
    <w:rsid w:val="00014F2F"/>
    <w:rsid w:val="0001584A"/>
    <w:rsid w:val="00016B61"/>
    <w:rsid w:val="0002035C"/>
    <w:rsid w:val="0002371D"/>
    <w:rsid w:val="000242F6"/>
    <w:rsid w:val="00024398"/>
    <w:rsid w:val="000249F5"/>
    <w:rsid w:val="00025784"/>
    <w:rsid w:val="00025973"/>
    <w:rsid w:val="0002724A"/>
    <w:rsid w:val="0003057D"/>
    <w:rsid w:val="00032EAF"/>
    <w:rsid w:val="000335CF"/>
    <w:rsid w:val="00033DD1"/>
    <w:rsid w:val="0003534C"/>
    <w:rsid w:val="00036C48"/>
    <w:rsid w:val="0004128C"/>
    <w:rsid w:val="0004305E"/>
    <w:rsid w:val="00044DB9"/>
    <w:rsid w:val="00046851"/>
    <w:rsid w:val="00050367"/>
    <w:rsid w:val="000510AA"/>
    <w:rsid w:val="00051D11"/>
    <w:rsid w:val="00052206"/>
    <w:rsid w:val="00052499"/>
    <w:rsid w:val="00052C84"/>
    <w:rsid w:val="000544B5"/>
    <w:rsid w:val="00054889"/>
    <w:rsid w:val="00061005"/>
    <w:rsid w:val="0006227B"/>
    <w:rsid w:val="000624C3"/>
    <w:rsid w:val="00062D02"/>
    <w:rsid w:val="00070749"/>
    <w:rsid w:val="00070AE9"/>
    <w:rsid w:val="00071399"/>
    <w:rsid w:val="00071F38"/>
    <w:rsid w:val="00075011"/>
    <w:rsid w:val="00075914"/>
    <w:rsid w:val="00081648"/>
    <w:rsid w:val="00081781"/>
    <w:rsid w:val="00083AE5"/>
    <w:rsid w:val="00083D9F"/>
    <w:rsid w:val="00083E85"/>
    <w:rsid w:val="00083F45"/>
    <w:rsid w:val="00084053"/>
    <w:rsid w:val="00085BAF"/>
    <w:rsid w:val="00086555"/>
    <w:rsid w:val="000871C4"/>
    <w:rsid w:val="000872BF"/>
    <w:rsid w:val="0009090C"/>
    <w:rsid w:val="00090CFE"/>
    <w:rsid w:val="00091C53"/>
    <w:rsid w:val="00092229"/>
    <w:rsid w:val="00093843"/>
    <w:rsid w:val="00093F4B"/>
    <w:rsid w:val="00095F04"/>
    <w:rsid w:val="000A0E3D"/>
    <w:rsid w:val="000A3476"/>
    <w:rsid w:val="000A560E"/>
    <w:rsid w:val="000A6F5B"/>
    <w:rsid w:val="000A7D80"/>
    <w:rsid w:val="000B2007"/>
    <w:rsid w:val="000B2FCB"/>
    <w:rsid w:val="000B6887"/>
    <w:rsid w:val="000C10FC"/>
    <w:rsid w:val="000C145C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4EF2"/>
    <w:rsid w:val="000D5063"/>
    <w:rsid w:val="000D58C0"/>
    <w:rsid w:val="000D6AF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7F6"/>
    <w:rsid w:val="00104A7E"/>
    <w:rsid w:val="00107698"/>
    <w:rsid w:val="00107EFE"/>
    <w:rsid w:val="00110797"/>
    <w:rsid w:val="00110879"/>
    <w:rsid w:val="00111B51"/>
    <w:rsid w:val="00111BAD"/>
    <w:rsid w:val="00111EB8"/>
    <w:rsid w:val="001135A2"/>
    <w:rsid w:val="001138EC"/>
    <w:rsid w:val="00113A14"/>
    <w:rsid w:val="00115C2D"/>
    <w:rsid w:val="00116A3B"/>
    <w:rsid w:val="001172FB"/>
    <w:rsid w:val="00120DCA"/>
    <w:rsid w:val="00121683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3B40"/>
    <w:rsid w:val="00135AFB"/>
    <w:rsid w:val="00136AD6"/>
    <w:rsid w:val="00137FC3"/>
    <w:rsid w:val="001422BC"/>
    <w:rsid w:val="001434E6"/>
    <w:rsid w:val="001444E5"/>
    <w:rsid w:val="00145FF2"/>
    <w:rsid w:val="0014616B"/>
    <w:rsid w:val="0014630E"/>
    <w:rsid w:val="00147567"/>
    <w:rsid w:val="00150237"/>
    <w:rsid w:val="00152900"/>
    <w:rsid w:val="00152E30"/>
    <w:rsid w:val="00153806"/>
    <w:rsid w:val="00153C10"/>
    <w:rsid w:val="00154837"/>
    <w:rsid w:val="00154BE2"/>
    <w:rsid w:val="001564D8"/>
    <w:rsid w:val="00157030"/>
    <w:rsid w:val="00160341"/>
    <w:rsid w:val="00160B68"/>
    <w:rsid w:val="0016171A"/>
    <w:rsid w:val="0016270D"/>
    <w:rsid w:val="0016573F"/>
    <w:rsid w:val="0016660D"/>
    <w:rsid w:val="00166B75"/>
    <w:rsid w:val="00166E4C"/>
    <w:rsid w:val="00167BDB"/>
    <w:rsid w:val="00170CC3"/>
    <w:rsid w:val="0017119F"/>
    <w:rsid w:val="0018389A"/>
    <w:rsid w:val="001842B4"/>
    <w:rsid w:val="00185867"/>
    <w:rsid w:val="00186BE8"/>
    <w:rsid w:val="0019068A"/>
    <w:rsid w:val="001914FF"/>
    <w:rsid w:val="0019268C"/>
    <w:rsid w:val="00193D58"/>
    <w:rsid w:val="00194AE9"/>
    <w:rsid w:val="00194CE8"/>
    <w:rsid w:val="00194CEC"/>
    <w:rsid w:val="001962E1"/>
    <w:rsid w:val="001965E1"/>
    <w:rsid w:val="0019706B"/>
    <w:rsid w:val="001974FA"/>
    <w:rsid w:val="001978D2"/>
    <w:rsid w:val="00197C96"/>
    <w:rsid w:val="001A0600"/>
    <w:rsid w:val="001A0E77"/>
    <w:rsid w:val="001A58B3"/>
    <w:rsid w:val="001A5927"/>
    <w:rsid w:val="001A5FFF"/>
    <w:rsid w:val="001B028B"/>
    <w:rsid w:val="001B1313"/>
    <w:rsid w:val="001B33A9"/>
    <w:rsid w:val="001B59C1"/>
    <w:rsid w:val="001B5B62"/>
    <w:rsid w:val="001B772A"/>
    <w:rsid w:val="001C0A45"/>
    <w:rsid w:val="001C277E"/>
    <w:rsid w:val="001C2D39"/>
    <w:rsid w:val="001C4C0B"/>
    <w:rsid w:val="001C6B93"/>
    <w:rsid w:val="001D0604"/>
    <w:rsid w:val="001D389E"/>
    <w:rsid w:val="001D5892"/>
    <w:rsid w:val="001D7762"/>
    <w:rsid w:val="001E17C9"/>
    <w:rsid w:val="001E3C70"/>
    <w:rsid w:val="001E419F"/>
    <w:rsid w:val="001E5E87"/>
    <w:rsid w:val="001E731B"/>
    <w:rsid w:val="001E744A"/>
    <w:rsid w:val="001F0E4E"/>
    <w:rsid w:val="001F177F"/>
    <w:rsid w:val="001F19AD"/>
    <w:rsid w:val="001F2E58"/>
    <w:rsid w:val="001F3AA3"/>
    <w:rsid w:val="001F4C72"/>
    <w:rsid w:val="002004A7"/>
    <w:rsid w:val="002022FA"/>
    <w:rsid w:val="00203452"/>
    <w:rsid w:val="002052F9"/>
    <w:rsid w:val="00210222"/>
    <w:rsid w:val="00210895"/>
    <w:rsid w:val="00211559"/>
    <w:rsid w:val="002123D3"/>
    <w:rsid w:val="00216084"/>
    <w:rsid w:val="00220678"/>
    <w:rsid w:val="002209A3"/>
    <w:rsid w:val="002255E9"/>
    <w:rsid w:val="00225DA6"/>
    <w:rsid w:val="00226272"/>
    <w:rsid w:val="002273D3"/>
    <w:rsid w:val="002300B6"/>
    <w:rsid w:val="00230B57"/>
    <w:rsid w:val="00234F76"/>
    <w:rsid w:val="00235981"/>
    <w:rsid w:val="00236CF3"/>
    <w:rsid w:val="00242077"/>
    <w:rsid w:val="002421CB"/>
    <w:rsid w:val="00242E87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505F7"/>
    <w:rsid w:val="0025211E"/>
    <w:rsid w:val="00252B23"/>
    <w:rsid w:val="00252F01"/>
    <w:rsid w:val="00252F3F"/>
    <w:rsid w:val="00254328"/>
    <w:rsid w:val="00257FC1"/>
    <w:rsid w:val="002601CE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6B9B"/>
    <w:rsid w:val="00287AF9"/>
    <w:rsid w:val="002904DF"/>
    <w:rsid w:val="002928C5"/>
    <w:rsid w:val="002956AD"/>
    <w:rsid w:val="00296D71"/>
    <w:rsid w:val="00297821"/>
    <w:rsid w:val="002A0F37"/>
    <w:rsid w:val="002A262B"/>
    <w:rsid w:val="002A28B2"/>
    <w:rsid w:val="002A3316"/>
    <w:rsid w:val="002A4EAB"/>
    <w:rsid w:val="002A52DF"/>
    <w:rsid w:val="002B04AE"/>
    <w:rsid w:val="002B0E7B"/>
    <w:rsid w:val="002B2742"/>
    <w:rsid w:val="002B7FEE"/>
    <w:rsid w:val="002C140A"/>
    <w:rsid w:val="002C4300"/>
    <w:rsid w:val="002C5752"/>
    <w:rsid w:val="002C64EF"/>
    <w:rsid w:val="002C7709"/>
    <w:rsid w:val="002C7A38"/>
    <w:rsid w:val="002C7A49"/>
    <w:rsid w:val="002D0745"/>
    <w:rsid w:val="002D251A"/>
    <w:rsid w:val="002D3C0F"/>
    <w:rsid w:val="002D53DF"/>
    <w:rsid w:val="002D5926"/>
    <w:rsid w:val="002D5C46"/>
    <w:rsid w:val="002D607A"/>
    <w:rsid w:val="002D6114"/>
    <w:rsid w:val="002D6C83"/>
    <w:rsid w:val="002D6D05"/>
    <w:rsid w:val="002D6E30"/>
    <w:rsid w:val="002E1304"/>
    <w:rsid w:val="002E1369"/>
    <w:rsid w:val="002E1A78"/>
    <w:rsid w:val="002E201A"/>
    <w:rsid w:val="002E39F8"/>
    <w:rsid w:val="002E6E8C"/>
    <w:rsid w:val="002F0FE0"/>
    <w:rsid w:val="002F20C1"/>
    <w:rsid w:val="002F6294"/>
    <w:rsid w:val="00300418"/>
    <w:rsid w:val="00300B6D"/>
    <w:rsid w:val="00302142"/>
    <w:rsid w:val="003025EB"/>
    <w:rsid w:val="00304509"/>
    <w:rsid w:val="003100E1"/>
    <w:rsid w:val="00313250"/>
    <w:rsid w:val="0031387C"/>
    <w:rsid w:val="00314469"/>
    <w:rsid w:val="003153D0"/>
    <w:rsid w:val="00315572"/>
    <w:rsid w:val="00320FF1"/>
    <w:rsid w:val="00322213"/>
    <w:rsid w:val="0032275E"/>
    <w:rsid w:val="00323E78"/>
    <w:rsid w:val="00330944"/>
    <w:rsid w:val="0033113B"/>
    <w:rsid w:val="003315A8"/>
    <w:rsid w:val="00332775"/>
    <w:rsid w:val="003327CE"/>
    <w:rsid w:val="00332946"/>
    <w:rsid w:val="00332EBE"/>
    <w:rsid w:val="003352D6"/>
    <w:rsid w:val="00337DDA"/>
    <w:rsid w:val="00337FB0"/>
    <w:rsid w:val="00340225"/>
    <w:rsid w:val="003409FB"/>
    <w:rsid w:val="00340CF2"/>
    <w:rsid w:val="00342733"/>
    <w:rsid w:val="003439A8"/>
    <w:rsid w:val="00347F53"/>
    <w:rsid w:val="00350203"/>
    <w:rsid w:val="003518D0"/>
    <w:rsid w:val="003519C1"/>
    <w:rsid w:val="00351F5F"/>
    <w:rsid w:val="00353C5D"/>
    <w:rsid w:val="00355946"/>
    <w:rsid w:val="00355BAB"/>
    <w:rsid w:val="00356A15"/>
    <w:rsid w:val="00357CB1"/>
    <w:rsid w:val="00361371"/>
    <w:rsid w:val="0036140A"/>
    <w:rsid w:val="003622E0"/>
    <w:rsid w:val="00362D0D"/>
    <w:rsid w:val="00363409"/>
    <w:rsid w:val="003637D7"/>
    <w:rsid w:val="00366A9B"/>
    <w:rsid w:val="00371CE8"/>
    <w:rsid w:val="00372419"/>
    <w:rsid w:val="003728F1"/>
    <w:rsid w:val="00372AE7"/>
    <w:rsid w:val="0037452C"/>
    <w:rsid w:val="00376D41"/>
    <w:rsid w:val="00376E6E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0D"/>
    <w:rsid w:val="00397A6B"/>
    <w:rsid w:val="003A3C1D"/>
    <w:rsid w:val="003A48D8"/>
    <w:rsid w:val="003A5846"/>
    <w:rsid w:val="003A6EEF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D01EA"/>
    <w:rsid w:val="003D3EA5"/>
    <w:rsid w:val="003D682E"/>
    <w:rsid w:val="003E027A"/>
    <w:rsid w:val="003E5793"/>
    <w:rsid w:val="003E59FE"/>
    <w:rsid w:val="003E5FE7"/>
    <w:rsid w:val="003E763A"/>
    <w:rsid w:val="003F0F2C"/>
    <w:rsid w:val="003F1A5D"/>
    <w:rsid w:val="003F1C67"/>
    <w:rsid w:val="003F446B"/>
    <w:rsid w:val="003F4D97"/>
    <w:rsid w:val="003F519C"/>
    <w:rsid w:val="003F5711"/>
    <w:rsid w:val="003F7291"/>
    <w:rsid w:val="003F7E2A"/>
    <w:rsid w:val="00401780"/>
    <w:rsid w:val="00403987"/>
    <w:rsid w:val="0040551D"/>
    <w:rsid w:val="00405CA5"/>
    <w:rsid w:val="004106C6"/>
    <w:rsid w:val="00411B8E"/>
    <w:rsid w:val="004121AF"/>
    <w:rsid w:val="004124FC"/>
    <w:rsid w:val="004148A0"/>
    <w:rsid w:val="00415D6E"/>
    <w:rsid w:val="00415E35"/>
    <w:rsid w:val="0041678A"/>
    <w:rsid w:val="00417A9E"/>
    <w:rsid w:val="00417DF1"/>
    <w:rsid w:val="00420195"/>
    <w:rsid w:val="004222BF"/>
    <w:rsid w:val="004254A1"/>
    <w:rsid w:val="004273EA"/>
    <w:rsid w:val="00427A5C"/>
    <w:rsid w:val="00427C26"/>
    <w:rsid w:val="00431B33"/>
    <w:rsid w:val="00431BA4"/>
    <w:rsid w:val="00433A2E"/>
    <w:rsid w:val="004350B5"/>
    <w:rsid w:val="004356DD"/>
    <w:rsid w:val="00436A5D"/>
    <w:rsid w:val="0043787F"/>
    <w:rsid w:val="00437AC0"/>
    <w:rsid w:val="00440CB4"/>
    <w:rsid w:val="004426A9"/>
    <w:rsid w:val="00442AD4"/>
    <w:rsid w:val="00443374"/>
    <w:rsid w:val="0044342B"/>
    <w:rsid w:val="00443C9F"/>
    <w:rsid w:val="0044438B"/>
    <w:rsid w:val="00444A0A"/>
    <w:rsid w:val="004453BB"/>
    <w:rsid w:val="00446E5A"/>
    <w:rsid w:val="00447A58"/>
    <w:rsid w:val="00452C7E"/>
    <w:rsid w:val="004541C8"/>
    <w:rsid w:val="004551F8"/>
    <w:rsid w:val="004552F1"/>
    <w:rsid w:val="004570A4"/>
    <w:rsid w:val="004579D1"/>
    <w:rsid w:val="00461275"/>
    <w:rsid w:val="0046135B"/>
    <w:rsid w:val="0046380B"/>
    <w:rsid w:val="00463E31"/>
    <w:rsid w:val="00472E74"/>
    <w:rsid w:val="00473A0A"/>
    <w:rsid w:val="00473FBD"/>
    <w:rsid w:val="00474F44"/>
    <w:rsid w:val="004753B6"/>
    <w:rsid w:val="004755FC"/>
    <w:rsid w:val="00481ED2"/>
    <w:rsid w:val="00482B2F"/>
    <w:rsid w:val="00482BD9"/>
    <w:rsid w:val="00484CB3"/>
    <w:rsid w:val="00485230"/>
    <w:rsid w:val="004853D9"/>
    <w:rsid w:val="00487F08"/>
    <w:rsid w:val="004934CD"/>
    <w:rsid w:val="00494F25"/>
    <w:rsid w:val="00495A84"/>
    <w:rsid w:val="00496789"/>
    <w:rsid w:val="004A0800"/>
    <w:rsid w:val="004A0BA8"/>
    <w:rsid w:val="004A21C9"/>
    <w:rsid w:val="004A24F1"/>
    <w:rsid w:val="004A3B16"/>
    <w:rsid w:val="004A5356"/>
    <w:rsid w:val="004A7C0A"/>
    <w:rsid w:val="004B0458"/>
    <w:rsid w:val="004B07BF"/>
    <w:rsid w:val="004B0E49"/>
    <w:rsid w:val="004B3171"/>
    <w:rsid w:val="004B322F"/>
    <w:rsid w:val="004B3B90"/>
    <w:rsid w:val="004B49CA"/>
    <w:rsid w:val="004B4D88"/>
    <w:rsid w:val="004B5AB3"/>
    <w:rsid w:val="004C022A"/>
    <w:rsid w:val="004C0F47"/>
    <w:rsid w:val="004C343B"/>
    <w:rsid w:val="004C5158"/>
    <w:rsid w:val="004C5DDA"/>
    <w:rsid w:val="004C70DF"/>
    <w:rsid w:val="004C756F"/>
    <w:rsid w:val="004D053A"/>
    <w:rsid w:val="004D1868"/>
    <w:rsid w:val="004D1C5E"/>
    <w:rsid w:val="004D2441"/>
    <w:rsid w:val="004D2FB3"/>
    <w:rsid w:val="004D32F2"/>
    <w:rsid w:val="004D3738"/>
    <w:rsid w:val="004D3B56"/>
    <w:rsid w:val="004D5FB1"/>
    <w:rsid w:val="004D6D90"/>
    <w:rsid w:val="004D7469"/>
    <w:rsid w:val="004D7E68"/>
    <w:rsid w:val="004E2C2C"/>
    <w:rsid w:val="004E3049"/>
    <w:rsid w:val="004E4AE1"/>
    <w:rsid w:val="004E4B99"/>
    <w:rsid w:val="004E58C6"/>
    <w:rsid w:val="004E63AF"/>
    <w:rsid w:val="004E6EEC"/>
    <w:rsid w:val="004E7D14"/>
    <w:rsid w:val="004F17E3"/>
    <w:rsid w:val="004F1DCE"/>
    <w:rsid w:val="004F1F87"/>
    <w:rsid w:val="004F290A"/>
    <w:rsid w:val="004F2BA0"/>
    <w:rsid w:val="004F2ED6"/>
    <w:rsid w:val="004F3ECA"/>
    <w:rsid w:val="004F41D3"/>
    <w:rsid w:val="004F65E7"/>
    <w:rsid w:val="004F736A"/>
    <w:rsid w:val="00500D20"/>
    <w:rsid w:val="00502119"/>
    <w:rsid w:val="005025E0"/>
    <w:rsid w:val="005025F6"/>
    <w:rsid w:val="00503270"/>
    <w:rsid w:val="005038EA"/>
    <w:rsid w:val="005039EC"/>
    <w:rsid w:val="00503F4B"/>
    <w:rsid w:val="005057FA"/>
    <w:rsid w:val="00507EFD"/>
    <w:rsid w:val="005103F3"/>
    <w:rsid w:val="0051070E"/>
    <w:rsid w:val="00512899"/>
    <w:rsid w:val="00512D42"/>
    <w:rsid w:val="00515305"/>
    <w:rsid w:val="00515494"/>
    <w:rsid w:val="0051576F"/>
    <w:rsid w:val="00520182"/>
    <w:rsid w:val="00525B29"/>
    <w:rsid w:val="00525C8C"/>
    <w:rsid w:val="0052661C"/>
    <w:rsid w:val="00527FC7"/>
    <w:rsid w:val="005316D6"/>
    <w:rsid w:val="00531D74"/>
    <w:rsid w:val="00533B94"/>
    <w:rsid w:val="00534C12"/>
    <w:rsid w:val="00535801"/>
    <w:rsid w:val="00543429"/>
    <w:rsid w:val="005436B8"/>
    <w:rsid w:val="00544283"/>
    <w:rsid w:val="005463DA"/>
    <w:rsid w:val="005470B5"/>
    <w:rsid w:val="00550509"/>
    <w:rsid w:val="00551C8B"/>
    <w:rsid w:val="00552522"/>
    <w:rsid w:val="00552C00"/>
    <w:rsid w:val="00553E7C"/>
    <w:rsid w:val="00554046"/>
    <w:rsid w:val="00554154"/>
    <w:rsid w:val="00554B49"/>
    <w:rsid w:val="005569E0"/>
    <w:rsid w:val="00556D1B"/>
    <w:rsid w:val="00557B83"/>
    <w:rsid w:val="00560B9C"/>
    <w:rsid w:val="0056136C"/>
    <w:rsid w:val="00563C08"/>
    <w:rsid w:val="00563C33"/>
    <w:rsid w:val="00564A56"/>
    <w:rsid w:val="00566BEA"/>
    <w:rsid w:val="0057042D"/>
    <w:rsid w:val="005711D8"/>
    <w:rsid w:val="00571A8D"/>
    <w:rsid w:val="00573055"/>
    <w:rsid w:val="00573BA2"/>
    <w:rsid w:val="00574725"/>
    <w:rsid w:val="00574FE9"/>
    <w:rsid w:val="00582909"/>
    <w:rsid w:val="005842C8"/>
    <w:rsid w:val="00584756"/>
    <w:rsid w:val="0058569E"/>
    <w:rsid w:val="00585D63"/>
    <w:rsid w:val="005861F5"/>
    <w:rsid w:val="00591022"/>
    <w:rsid w:val="00591195"/>
    <w:rsid w:val="005915AE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069"/>
    <w:rsid w:val="005B3CBD"/>
    <w:rsid w:val="005B452B"/>
    <w:rsid w:val="005B4FEF"/>
    <w:rsid w:val="005B5C69"/>
    <w:rsid w:val="005C1BD4"/>
    <w:rsid w:val="005C2192"/>
    <w:rsid w:val="005C2513"/>
    <w:rsid w:val="005C4ADA"/>
    <w:rsid w:val="005C50A9"/>
    <w:rsid w:val="005C6286"/>
    <w:rsid w:val="005D116D"/>
    <w:rsid w:val="005D1D78"/>
    <w:rsid w:val="005D2190"/>
    <w:rsid w:val="005D2DA5"/>
    <w:rsid w:val="005D53BE"/>
    <w:rsid w:val="005D65C0"/>
    <w:rsid w:val="005D6829"/>
    <w:rsid w:val="005D7536"/>
    <w:rsid w:val="005E023F"/>
    <w:rsid w:val="005E29BE"/>
    <w:rsid w:val="005E3F0C"/>
    <w:rsid w:val="005E6190"/>
    <w:rsid w:val="005E6EDE"/>
    <w:rsid w:val="005F14D3"/>
    <w:rsid w:val="005F5218"/>
    <w:rsid w:val="00601CB2"/>
    <w:rsid w:val="0060261A"/>
    <w:rsid w:val="006033CF"/>
    <w:rsid w:val="00607659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3E2B"/>
    <w:rsid w:val="00625B90"/>
    <w:rsid w:val="00625FAB"/>
    <w:rsid w:val="0062621E"/>
    <w:rsid w:val="00627C8A"/>
    <w:rsid w:val="00630527"/>
    <w:rsid w:val="00630A81"/>
    <w:rsid w:val="00635AAB"/>
    <w:rsid w:val="006362BD"/>
    <w:rsid w:val="00641B77"/>
    <w:rsid w:val="00642575"/>
    <w:rsid w:val="006427DA"/>
    <w:rsid w:val="0064353D"/>
    <w:rsid w:val="006439A5"/>
    <w:rsid w:val="006444E6"/>
    <w:rsid w:val="00645447"/>
    <w:rsid w:val="00645AB7"/>
    <w:rsid w:val="00650A40"/>
    <w:rsid w:val="00650DDB"/>
    <w:rsid w:val="00651649"/>
    <w:rsid w:val="00651CF1"/>
    <w:rsid w:val="00651D15"/>
    <w:rsid w:val="0065303F"/>
    <w:rsid w:val="0065377D"/>
    <w:rsid w:val="0065507A"/>
    <w:rsid w:val="00656250"/>
    <w:rsid w:val="00663C4D"/>
    <w:rsid w:val="00665294"/>
    <w:rsid w:val="00665970"/>
    <w:rsid w:val="006710DF"/>
    <w:rsid w:val="00671407"/>
    <w:rsid w:val="0068246F"/>
    <w:rsid w:val="006852DE"/>
    <w:rsid w:val="00686C37"/>
    <w:rsid w:val="0069092E"/>
    <w:rsid w:val="00692434"/>
    <w:rsid w:val="006950C7"/>
    <w:rsid w:val="0069540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BE9"/>
    <w:rsid w:val="006B1E5C"/>
    <w:rsid w:val="006B279F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545B"/>
    <w:rsid w:val="006C5D59"/>
    <w:rsid w:val="006C745C"/>
    <w:rsid w:val="006C7AE0"/>
    <w:rsid w:val="006D0943"/>
    <w:rsid w:val="006D244E"/>
    <w:rsid w:val="006D2BF7"/>
    <w:rsid w:val="006D52F3"/>
    <w:rsid w:val="006D5B5C"/>
    <w:rsid w:val="006D66B2"/>
    <w:rsid w:val="006D6E7D"/>
    <w:rsid w:val="006D72DB"/>
    <w:rsid w:val="006E076F"/>
    <w:rsid w:val="006E0E50"/>
    <w:rsid w:val="006E15A5"/>
    <w:rsid w:val="006E25B8"/>
    <w:rsid w:val="006E31C0"/>
    <w:rsid w:val="006E5560"/>
    <w:rsid w:val="006E7C61"/>
    <w:rsid w:val="006F2FE6"/>
    <w:rsid w:val="006F4A05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1A04"/>
    <w:rsid w:val="00726C49"/>
    <w:rsid w:val="0072746E"/>
    <w:rsid w:val="00731407"/>
    <w:rsid w:val="007321D4"/>
    <w:rsid w:val="007323CA"/>
    <w:rsid w:val="007344F6"/>
    <w:rsid w:val="00735416"/>
    <w:rsid w:val="00735E38"/>
    <w:rsid w:val="007375BB"/>
    <w:rsid w:val="00741480"/>
    <w:rsid w:val="0074334E"/>
    <w:rsid w:val="00743ABA"/>
    <w:rsid w:val="00744621"/>
    <w:rsid w:val="0074488E"/>
    <w:rsid w:val="00746FCB"/>
    <w:rsid w:val="00747BD4"/>
    <w:rsid w:val="007505A0"/>
    <w:rsid w:val="007519DD"/>
    <w:rsid w:val="00751E3A"/>
    <w:rsid w:val="00753D96"/>
    <w:rsid w:val="00754F4F"/>
    <w:rsid w:val="00757385"/>
    <w:rsid w:val="00757A02"/>
    <w:rsid w:val="0076039C"/>
    <w:rsid w:val="00760874"/>
    <w:rsid w:val="00760A3B"/>
    <w:rsid w:val="00761A02"/>
    <w:rsid w:val="007633D5"/>
    <w:rsid w:val="00765184"/>
    <w:rsid w:val="007654BE"/>
    <w:rsid w:val="00766100"/>
    <w:rsid w:val="00766840"/>
    <w:rsid w:val="00766C0B"/>
    <w:rsid w:val="00771FEA"/>
    <w:rsid w:val="00772440"/>
    <w:rsid w:val="00772EE3"/>
    <w:rsid w:val="00773E21"/>
    <w:rsid w:val="00775E8A"/>
    <w:rsid w:val="00776D64"/>
    <w:rsid w:val="00780E72"/>
    <w:rsid w:val="00781B7A"/>
    <w:rsid w:val="00781D19"/>
    <w:rsid w:val="00782A84"/>
    <w:rsid w:val="007850B0"/>
    <w:rsid w:val="007858FB"/>
    <w:rsid w:val="00785F4C"/>
    <w:rsid w:val="007860B6"/>
    <w:rsid w:val="007864D9"/>
    <w:rsid w:val="007876AB"/>
    <w:rsid w:val="00793E39"/>
    <w:rsid w:val="007945E9"/>
    <w:rsid w:val="0079688E"/>
    <w:rsid w:val="007A520D"/>
    <w:rsid w:val="007A5AFB"/>
    <w:rsid w:val="007B2715"/>
    <w:rsid w:val="007B526B"/>
    <w:rsid w:val="007B530F"/>
    <w:rsid w:val="007B598C"/>
    <w:rsid w:val="007B64DF"/>
    <w:rsid w:val="007B6936"/>
    <w:rsid w:val="007B767D"/>
    <w:rsid w:val="007B7B73"/>
    <w:rsid w:val="007C0A84"/>
    <w:rsid w:val="007C1578"/>
    <w:rsid w:val="007C4151"/>
    <w:rsid w:val="007C54C9"/>
    <w:rsid w:val="007C5555"/>
    <w:rsid w:val="007C604F"/>
    <w:rsid w:val="007C7488"/>
    <w:rsid w:val="007D26A6"/>
    <w:rsid w:val="007D43AF"/>
    <w:rsid w:val="007D515C"/>
    <w:rsid w:val="007D5594"/>
    <w:rsid w:val="007D5891"/>
    <w:rsid w:val="007D6F2B"/>
    <w:rsid w:val="007E072C"/>
    <w:rsid w:val="007E0D3C"/>
    <w:rsid w:val="007E1795"/>
    <w:rsid w:val="007E224F"/>
    <w:rsid w:val="007E286F"/>
    <w:rsid w:val="007E2D9B"/>
    <w:rsid w:val="007E380A"/>
    <w:rsid w:val="007E5E1F"/>
    <w:rsid w:val="007E797B"/>
    <w:rsid w:val="007F1366"/>
    <w:rsid w:val="007F2CB8"/>
    <w:rsid w:val="007F3380"/>
    <w:rsid w:val="007F4308"/>
    <w:rsid w:val="007F6913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3FBD"/>
    <w:rsid w:val="00815E21"/>
    <w:rsid w:val="0081628D"/>
    <w:rsid w:val="00822810"/>
    <w:rsid w:val="00822B83"/>
    <w:rsid w:val="00823073"/>
    <w:rsid w:val="00823AB7"/>
    <w:rsid w:val="00823E85"/>
    <w:rsid w:val="00825655"/>
    <w:rsid w:val="00826A64"/>
    <w:rsid w:val="00826A78"/>
    <w:rsid w:val="00826D6F"/>
    <w:rsid w:val="0083054C"/>
    <w:rsid w:val="00830DFE"/>
    <w:rsid w:val="008335B3"/>
    <w:rsid w:val="008347FE"/>
    <w:rsid w:val="00836FA1"/>
    <w:rsid w:val="00841811"/>
    <w:rsid w:val="0084351A"/>
    <w:rsid w:val="00843F88"/>
    <w:rsid w:val="008445AA"/>
    <w:rsid w:val="00844D4F"/>
    <w:rsid w:val="008463CC"/>
    <w:rsid w:val="00852156"/>
    <w:rsid w:val="008528C7"/>
    <w:rsid w:val="008529A9"/>
    <w:rsid w:val="00853988"/>
    <w:rsid w:val="008547EE"/>
    <w:rsid w:val="0085497D"/>
    <w:rsid w:val="0085582D"/>
    <w:rsid w:val="00855F52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112"/>
    <w:rsid w:val="0087487B"/>
    <w:rsid w:val="00875155"/>
    <w:rsid w:val="00875247"/>
    <w:rsid w:val="0087560C"/>
    <w:rsid w:val="00880842"/>
    <w:rsid w:val="00881AFE"/>
    <w:rsid w:val="00886126"/>
    <w:rsid w:val="00887312"/>
    <w:rsid w:val="008877D5"/>
    <w:rsid w:val="008917C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A7EE0"/>
    <w:rsid w:val="008B0119"/>
    <w:rsid w:val="008B0D13"/>
    <w:rsid w:val="008B336F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D0232"/>
    <w:rsid w:val="008D0670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3CCF"/>
    <w:rsid w:val="008E50CF"/>
    <w:rsid w:val="008E77F3"/>
    <w:rsid w:val="008F1387"/>
    <w:rsid w:val="008F17CE"/>
    <w:rsid w:val="008F29B6"/>
    <w:rsid w:val="008F2DBD"/>
    <w:rsid w:val="008F386A"/>
    <w:rsid w:val="008F387A"/>
    <w:rsid w:val="00900FD9"/>
    <w:rsid w:val="00901244"/>
    <w:rsid w:val="009012E9"/>
    <w:rsid w:val="00901D99"/>
    <w:rsid w:val="009025EE"/>
    <w:rsid w:val="009027C0"/>
    <w:rsid w:val="00902ACB"/>
    <w:rsid w:val="00904F69"/>
    <w:rsid w:val="009054F5"/>
    <w:rsid w:val="009056BD"/>
    <w:rsid w:val="00906EAD"/>
    <w:rsid w:val="009076A2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79A0"/>
    <w:rsid w:val="00930199"/>
    <w:rsid w:val="00930F7D"/>
    <w:rsid w:val="009332AA"/>
    <w:rsid w:val="00934AA2"/>
    <w:rsid w:val="00937484"/>
    <w:rsid w:val="00940162"/>
    <w:rsid w:val="00941129"/>
    <w:rsid w:val="00944CDA"/>
    <w:rsid w:val="0094779C"/>
    <w:rsid w:val="00951768"/>
    <w:rsid w:val="00952240"/>
    <w:rsid w:val="00952D18"/>
    <w:rsid w:val="00953303"/>
    <w:rsid w:val="0095335F"/>
    <w:rsid w:val="00954777"/>
    <w:rsid w:val="0095702D"/>
    <w:rsid w:val="009607A2"/>
    <w:rsid w:val="00963080"/>
    <w:rsid w:val="00963B89"/>
    <w:rsid w:val="00965687"/>
    <w:rsid w:val="0096709C"/>
    <w:rsid w:val="0097063F"/>
    <w:rsid w:val="00972797"/>
    <w:rsid w:val="0097294E"/>
    <w:rsid w:val="00973110"/>
    <w:rsid w:val="0097389A"/>
    <w:rsid w:val="00974437"/>
    <w:rsid w:val="00974BC1"/>
    <w:rsid w:val="00976455"/>
    <w:rsid w:val="009803F6"/>
    <w:rsid w:val="0098071D"/>
    <w:rsid w:val="00982037"/>
    <w:rsid w:val="00982F71"/>
    <w:rsid w:val="009859FB"/>
    <w:rsid w:val="00986691"/>
    <w:rsid w:val="00986A8E"/>
    <w:rsid w:val="00986B81"/>
    <w:rsid w:val="00986CC0"/>
    <w:rsid w:val="009873C2"/>
    <w:rsid w:val="009879AE"/>
    <w:rsid w:val="00987CBF"/>
    <w:rsid w:val="00991DBF"/>
    <w:rsid w:val="009920A6"/>
    <w:rsid w:val="00994971"/>
    <w:rsid w:val="0099567D"/>
    <w:rsid w:val="009A110D"/>
    <w:rsid w:val="009A2DB0"/>
    <w:rsid w:val="009A4EC2"/>
    <w:rsid w:val="009A4F94"/>
    <w:rsid w:val="009A5B14"/>
    <w:rsid w:val="009A5F5E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558F"/>
    <w:rsid w:val="009C56F1"/>
    <w:rsid w:val="009C640A"/>
    <w:rsid w:val="009D0C80"/>
    <w:rsid w:val="009D2546"/>
    <w:rsid w:val="009E0666"/>
    <w:rsid w:val="009E1DB9"/>
    <w:rsid w:val="009E2187"/>
    <w:rsid w:val="009E5CAE"/>
    <w:rsid w:val="009E655F"/>
    <w:rsid w:val="009F0F63"/>
    <w:rsid w:val="009F1C53"/>
    <w:rsid w:val="009F215B"/>
    <w:rsid w:val="009F3F3D"/>
    <w:rsid w:val="009F4D95"/>
    <w:rsid w:val="009F4F27"/>
    <w:rsid w:val="009F5FB9"/>
    <w:rsid w:val="009F6F9A"/>
    <w:rsid w:val="00A01751"/>
    <w:rsid w:val="00A030CD"/>
    <w:rsid w:val="00A0314B"/>
    <w:rsid w:val="00A03C34"/>
    <w:rsid w:val="00A05A68"/>
    <w:rsid w:val="00A06677"/>
    <w:rsid w:val="00A06C58"/>
    <w:rsid w:val="00A078A9"/>
    <w:rsid w:val="00A11C6F"/>
    <w:rsid w:val="00A121E1"/>
    <w:rsid w:val="00A12CC5"/>
    <w:rsid w:val="00A13BA8"/>
    <w:rsid w:val="00A16766"/>
    <w:rsid w:val="00A16E29"/>
    <w:rsid w:val="00A17B22"/>
    <w:rsid w:val="00A208EE"/>
    <w:rsid w:val="00A20BC8"/>
    <w:rsid w:val="00A21C50"/>
    <w:rsid w:val="00A21F14"/>
    <w:rsid w:val="00A22A22"/>
    <w:rsid w:val="00A2306E"/>
    <w:rsid w:val="00A23C49"/>
    <w:rsid w:val="00A24508"/>
    <w:rsid w:val="00A27193"/>
    <w:rsid w:val="00A30A19"/>
    <w:rsid w:val="00A30A2B"/>
    <w:rsid w:val="00A340CE"/>
    <w:rsid w:val="00A3421E"/>
    <w:rsid w:val="00A36BED"/>
    <w:rsid w:val="00A373CF"/>
    <w:rsid w:val="00A37A7E"/>
    <w:rsid w:val="00A42A01"/>
    <w:rsid w:val="00A446F4"/>
    <w:rsid w:val="00A44936"/>
    <w:rsid w:val="00A4575C"/>
    <w:rsid w:val="00A47BD2"/>
    <w:rsid w:val="00A51002"/>
    <w:rsid w:val="00A53177"/>
    <w:rsid w:val="00A5471A"/>
    <w:rsid w:val="00A54C3E"/>
    <w:rsid w:val="00A54E93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5FA3"/>
    <w:rsid w:val="00A769B0"/>
    <w:rsid w:val="00A76EFB"/>
    <w:rsid w:val="00A84163"/>
    <w:rsid w:val="00A84BA0"/>
    <w:rsid w:val="00A85992"/>
    <w:rsid w:val="00A90078"/>
    <w:rsid w:val="00A91636"/>
    <w:rsid w:val="00A92384"/>
    <w:rsid w:val="00A93B05"/>
    <w:rsid w:val="00A95263"/>
    <w:rsid w:val="00AA451C"/>
    <w:rsid w:val="00AA5B07"/>
    <w:rsid w:val="00AB0400"/>
    <w:rsid w:val="00AB0F08"/>
    <w:rsid w:val="00AB1BA0"/>
    <w:rsid w:val="00AB422C"/>
    <w:rsid w:val="00AB47D4"/>
    <w:rsid w:val="00AB618A"/>
    <w:rsid w:val="00AB7822"/>
    <w:rsid w:val="00AB7BC4"/>
    <w:rsid w:val="00AC1CF7"/>
    <w:rsid w:val="00AC35C3"/>
    <w:rsid w:val="00AC597F"/>
    <w:rsid w:val="00AC621B"/>
    <w:rsid w:val="00AC6ACD"/>
    <w:rsid w:val="00AC7E8A"/>
    <w:rsid w:val="00AD09FF"/>
    <w:rsid w:val="00AD4376"/>
    <w:rsid w:val="00AD4E7A"/>
    <w:rsid w:val="00AD507D"/>
    <w:rsid w:val="00AD5B1D"/>
    <w:rsid w:val="00AD6EE9"/>
    <w:rsid w:val="00AD7CE0"/>
    <w:rsid w:val="00AE0D3E"/>
    <w:rsid w:val="00AE0DAA"/>
    <w:rsid w:val="00AE3FC9"/>
    <w:rsid w:val="00AE6A62"/>
    <w:rsid w:val="00AE6FBD"/>
    <w:rsid w:val="00AE787D"/>
    <w:rsid w:val="00AF3195"/>
    <w:rsid w:val="00AF5612"/>
    <w:rsid w:val="00AF6FD7"/>
    <w:rsid w:val="00B02F18"/>
    <w:rsid w:val="00B03CD3"/>
    <w:rsid w:val="00B06F68"/>
    <w:rsid w:val="00B07142"/>
    <w:rsid w:val="00B11572"/>
    <w:rsid w:val="00B130B7"/>
    <w:rsid w:val="00B151F9"/>
    <w:rsid w:val="00B15B77"/>
    <w:rsid w:val="00B16E67"/>
    <w:rsid w:val="00B21A38"/>
    <w:rsid w:val="00B22E02"/>
    <w:rsid w:val="00B22EA6"/>
    <w:rsid w:val="00B239C6"/>
    <w:rsid w:val="00B25419"/>
    <w:rsid w:val="00B25D5E"/>
    <w:rsid w:val="00B279A1"/>
    <w:rsid w:val="00B27B87"/>
    <w:rsid w:val="00B317DB"/>
    <w:rsid w:val="00B3478F"/>
    <w:rsid w:val="00B406E5"/>
    <w:rsid w:val="00B40F78"/>
    <w:rsid w:val="00B44270"/>
    <w:rsid w:val="00B44C63"/>
    <w:rsid w:val="00B45AE2"/>
    <w:rsid w:val="00B46ACE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2516"/>
    <w:rsid w:val="00B85290"/>
    <w:rsid w:val="00B8537A"/>
    <w:rsid w:val="00B87A70"/>
    <w:rsid w:val="00B92F40"/>
    <w:rsid w:val="00B9317F"/>
    <w:rsid w:val="00B94543"/>
    <w:rsid w:val="00B95401"/>
    <w:rsid w:val="00B960F0"/>
    <w:rsid w:val="00B96C06"/>
    <w:rsid w:val="00BA1643"/>
    <w:rsid w:val="00BA2BEC"/>
    <w:rsid w:val="00BA2DBD"/>
    <w:rsid w:val="00BA3EF2"/>
    <w:rsid w:val="00BA58A8"/>
    <w:rsid w:val="00BA70E1"/>
    <w:rsid w:val="00BA720B"/>
    <w:rsid w:val="00BB1372"/>
    <w:rsid w:val="00BB3207"/>
    <w:rsid w:val="00BB3A35"/>
    <w:rsid w:val="00BB49D0"/>
    <w:rsid w:val="00BB4C95"/>
    <w:rsid w:val="00BB5714"/>
    <w:rsid w:val="00BB5D3A"/>
    <w:rsid w:val="00BB631E"/>
    <w:rsid w:val="00BB7BAD"/>
    <w:rsid w:val="00BB7D3D"/>
    <w:rsid w:val="00BC27AC"/>
    <w:rsid w:val="00BC3595"/>
    <w:rsid w:val="00BC4007"/>
    <w:rsid w:val="00BC4059"/>
    <w:rsid w:val="00BC5CB6"/>
    <w:rsid w:val="00BC6169"/>
    <w:rsid w:val="00BD0B7C"/>
    <w:rsid w:val="00BD2121"/>
    <w:rsid w:val="00BD34CD"/>
    <w:rsid w:val="00BD4F67"/>
    <w:rsid w:val="00BD6765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75EA"/>
    <w:rsid w:val="00BF25A0"/>
    <w:rsid w:val="00BF2D80"/>
    <w:rsid w:val="00BF592D"/>
    <w:rsid w:val="00BF6D49"/>
    <w:rsid w:val="00BF7439"/>
    <w:rsid w:val="00BF74D2"/>
    <w:rsid w:val="00C052A3"/>
    <w:rsid w:val="00C0695D"/>
    <w:rsid w:val="00C12C91"/>
    <w:rsid w:val="00C12FCB"/>
    <w:rsid w:val="00C15336"/>
    <w:rsid w:val="00C169BC"/>
    <w:rsid w:val="00C16CB4"/>
    <w:rsid w:val="00C16CC3"/>
    <w:rsid w:val="00C17691"/>
    <w:rsid w:val="00C17705"/>
    <w:rsid w:val="00C17E79"/>
    <w:rsid w:val="00C2023E"/>
    <w:rsid w:val="00C20CB4"/>
    <w:rsid w:val="00C219FD"/>
    <w:rsid w:val="00C21A74"/>
    <w:rsid w:val="00C234D6"/>
    <w:rsid w:val="00C242B3"/>
    <w:rsid w:val="00C24DB5"/>
    <w:rsid w:val="00C25087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13AD"/>
    <w:rsid w:val="00C41A9A"/>
    <w:rsid w:val="00C42E1B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2446"/>
    <w:rsid w:val="00C63D0D"/>
    <w:rsid w:val="00C6442F"/>
    <w:rsid w:val="00C647B1"/>
    <w:rsid w:val="00C67FBA"/>
    <w:rsid w:val="00C703D9"/>
    <w:rsid w:val="00C70F76"/>
    <w:rsid w:val="00C71DE7"/>
    <w:rsid w:val="00C73BC7"/>
    <w:rsid w:val="00C74399"/>
    <w:rsid w:val="00C75306"/>
    <w:rsid w:val="00C775D4"/>
    <w:rsid w:val="00C80CB4"/>
    <w:rsid w:val="00C810BE"/>
    <w:rsid w:val="00C85D1A"/>
    <w:rsid w:val="00C860E9"/>
    <w:rsid w:val="00C908F4"/>
    <w:rsid w:val="00C91FCF"/>
    <w:rsid w:val="00C93232"/>
    <w:rsid w:val="00C93CAF"/>
    <w:rsid w:val="00C94357"/>
    <w:rsid w:val="00C944CA"/>
    <w:rsid w:val="00C9464F"/>
    <w:rsid w:val="00C956BC"/>
    <w:rsid w:val="00C9626D"/>
    <w:rsid w:val="00CA0452"/>
    <w:rsid w:val="00CA1005"/>
    <w:rsid w:val="00CA1A64"/>
    <w:rsid w:val="00CA51E6"/>
    <w:rsid w:val="00CA54E4"/>
    <w:rsid w:val="00CA6540"/>
    <w:rsid w:val="00CB1013"/>
    <w:rsid w:val="00CB1115"/>
    <w:rsid w:val="00CB11EC"/>
    <w:rsid w:val="00CB3C3C"/>
    <w:rsid w:val="00CB411E"/>
    <w:rsid w:val="00CC0006"/>
    <w:rsid w:val="00CC067A"/>
    <w:rsid w:val="00CC0D20"/>
    <w:rsid w:val="00CC2485"/>
    <w:rsid w:val="00CC2560"/>
    <w:rsid w:val="00CC350D"/>
    <w:rsid w:val="00CC37C0"/>
    <w:rsid w:val="00CC389D"/>
    <w:rsid w:val="00CC4564"/>
    <w:rsid w:val="00CC5665"/>
    <w:rsid w:val="00CC6780"/>
    <w:rsid w:val="00CC7A5C"/>
    <w:rsid w:val="00CC7D93"/>
    <w:rsid w:val="00CC7ED5"/>
    <w:rsid w:val="00CD05B8"/>
    <w:rsid w:val="00CD1B39"/>
    <w:rsid w:val="00CD1D24"/>
    <w:rsid w:val="00CD1FDB"/>
    <w:rsid w:val="00CD318E"/>
    <w:rsid w:val="00CD3695"/>
    <w:rsid w:val="00CD4851"/>
    <w:rsid w:val="00CD67DE"/>
    <w:rsid w:val="00CD75EE"/>
    <w:rsid w:val="00CD7C40"/>
    <w:rsid w:val="00CE1B63"/>
    <w:rsid w:val="00CE333A"/>
    <w:rsid w:val="00CE3A90"/>
    <w:rsid w:val="00CE6C6E"/>
    <w:rsid w:val="00CF374F"/>
    <w:rsid w:val="00CF51BF"/>
    <w:rsid w:val="00CF581B"/>
    <w:rsid w:val="00CF668E"/>
    <w:rsid w:val="00D01FB5"/>
    <w:rsid w:val="00D02558"/>
    <w:rsid w:val="00D0423F"/>
    <w:rsid w:val="00D0693F"/>
    <w:rsid w:val="00D075CD"/>
    <w:rsid w:val="00D07EA6"/>
    <w:rsid w:val="00D125A7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2DC1"/>
    <w:rsid w:val="00D32E53"/>
    <w:rsid w:val="00D33E96"/>
    <w:rsid w:val="00D35D83"/>
    <w:rsid w:val="00D37780"/>
    <w:rsid w:val="00D425A1"/>
    <w:rsid w:val="00D4283E"/>
    <w:rsid w:val="00D448D2"/>
    <w:rsid w:val="00D4711A"/>
    <w:rsid w:val="00D50654"/>
    <w:rsid w:val="00D51B1B"/>
    <w:rsid w:val="00D51C8D"/>
    <w:rsid w:val="00D52943"/>
    <w:rsid w:val="00D52BE0"/>
    <w:rsid w:val="00D52CAF"/>
    <w:rsid w:val="00D53630"/>
    <w:rsid w:val="00D5480E"/>
    <w:rsid w:val="00D55691"/>
    <w:rsid w:val="00D55D50"/>
    <w:rsid w:val="00D60C0F"/>
    <w:rsid w:val="00D62022"/>
    <w:rsid w:val="00D6245A"/>
    <w:rsid w:val="00D626BD"/>
    <w:rsid w:val="00D6679E"/>
    <w:rsid w:val="00D67CDE"/>
    <w:rsid w:val="00D70D72"/>
    <w:rsid w:val="00D70EFD"/>
    <w:rsid w:val="00D745CB"/>
    <w:rsid w:val="00D75459"/>
    <w:rsid w:val="00D80852"/>
    <w:rsid w:val="00D80AD5"/>
    <w:rsid w:val="00D82DC3"/>
    <w:rsid w:val="00D84E61"/>
    <w:rsid w:val="00D85E65"/>
    <w:rsid w:val="00D8707A"/>
    <w:rsid w:val="00D903D1"/>
    <w:rsid w:val="00D92554"/>
    <w:rsid w:val="00D9443A"/>
    <w:rsid w:val="00D95844"/>
    <w:rsid w:val="00D9688A"/>
    <w:rsid w:val="00DA42EC"/>
    <w:rsid w:val="00DA7687"/>
    <w:rsid w:val="00DA78B0"/>
    <w:rsid w:val="00DB0B49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1186"/>
    <w:rsid w:val="00DC284B"/>
    <w:rsid w:val="00DC4495"/>
    <w:rsid w:val="00DC5D64"/>
    <w:rsid w:val="00DC5DA6"/>
    <w:rsid w:val="00DC6A6F"/>
    <w:rsid w:val="00DD20EB"/>
    <w:rsid w:val="00DD3E5D"/>
    <w:rsid w:val="00DD6346"/>
    <w:rsid w:val="00DD7105"/>
    <w:rsid w:val="00DD77A5"/>
    <w:rsid w:val="00DD7A03"/>
    <w:rsid w:val="00DE0F22"/>
    <w:rsid w:val="00DE1BC9"/>
    <w:rsid w:val="00DE33F3"/>
    <w:rsid w:val="00DE4B73"/>
    <w:rsid w:val="00DE54E6"/>
    <w:rsid w:val="00DE55E0"/>
    <w:rsid w:val="00DE5DEC"/>
    <w:rsid w:val="00DF13D8"/>
    <w:rsid w:val="00DF1836"/>
    <w:rsid w:val="00DF20AE"/>
    <w:rsid w:val="00DF2F1F"/>
    <w:rsid w:val="00DF3926"/>
    <w:rsid w:val="00DF3BAD"/>
    <w:rsid w:val="00DF3E74"/>
    <w:rsid w:val="00DF598E"/>
    <w:rsid w:val="00DF7E9A"/>
    <w:rsid w:val="00E00FFC"/>
    <w:rsid w:val="00E05608"/>
    <w:rsid w:val="00E058B0"/>
    <w:rsid w:val="00E063F5"/>
    <w:rsid w:val="00E0689B"/>
    <w:rsid w:val="00E06B29"/>
    <w:rsid w:val="00E06D02"/>
    <w:rsid w:val="00E11143"/>
    <w:rsid w:val="00E1143F"/>
    <w:rsid w:val="00E14001"/>
    <w:rsid w:val="00E167DB"/>
    <w:rsid w:val="00E17021"/>
    <w:rsid w:val="00E178FA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3C0D"/>
    <w:rsid w:val="00E34669"/>
    <w:rsid w:val="00E3569D"/>
    <w:rsid w:val="00E4041D"/>
    <w:rsid w:val="00E415F2"/>
    <w:rsid w:val="00E46425"/>
    <w:rsid w:val="00E502EF"/>
    <w:rsid w:val="00E52C6F"/>
    <w:rsid w:val="00E530B1"/>
    <w:rsid w:val="00E53553"/>
    <w:rsid w:val="00E54DBC"/>
    <w:rsid w:val="00E552A9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072"/>
    <w:rsid w:val="00E663E2"/>
    <w:rsid w:val="00E676EB"/>
    <w:rsid w:val="00E719C3"/>
    <w:rsid w:val="00E72025"/>
    <w:rsid w:val="00E72444"/>
    <w:rsid w:val="00E77D84"/>
    <w:rsid w:val="00E81EF9"/>
    <w:rsid w:val="00E83702"/>
    <w:rsid w:val="00E83F6C"/>
    <w:rsid w:val="00E84EBF"/>
    <w:rsid w:val="00E8613B"/>
    <w:rsid w:val="00E90ED4"/>
    <w:rsid w:val="00E91B76"/>
    <w:rsid w:val="00E91BDC"/>
    <w:rsid w:val="00E97AF1"/>
    <w:rsid w:val="00EA2BFA"/>
    <w:rsid w:val="00EA310A"/>
    <w:rsid w:val="00EA628E"/>
    <w:rsid w:val="00EA70F4"/>
    <w:rsid w:val="00EB17ED"/>
    <w:rsid w:val="00EB235D"/>
    <w:rsid w:val="00EB2FA5"/>
    <w:rsid w:val="00EB4F60"/>
    <w:rsid w:val="00EC24B8"/>
    <w:rsid w:val="00EC2D36"/>
    <w:rsid w:val="00EC3558"/>
    <w:rsid w:val="00EC44C4"/>
    <w:rsid w:val="00EC55A9"/>
    <w:rsid w:val="00EC59AB"/>
    <w:rsid w:val="00EC5C4C"/>
    <w:rsid w:val="00EC6856"/>
    <w:rsid w:val="00ED06B3"/>
    <w:rsid w:val="00ED17B6"/>
    <w:rsid w:val="00ED1953"/>
    <w:rsid w:val="00ED1D62"/>
    <w:rsid w:val="00ED22C4"/>
    <w:rsid w:val="00ED62AE"/>
    <w:rsid w:val="00ED6495"/>
    <w:rsid w:val="00ED6E22"/>
    <w:rsid w:val="00EE01B6"/>
    <w:rsid w:val="00EE4ED4"/>
    <w:rsid w:val="00EE5B85"/>
    <w:rsid w:val="00EE618A"/>
    <w:rsid w:val="00EF0367"/>
    <w:rsid w:val="00EF13CA"/>
    <w:rsid w:val="00EF14C6"/>
    <w:rsid w:val="00EF1BC6"/>
    <w:rsid w:val="00EF1FB3"/>
    <w:rsid w:val="00EF22FE"/>
    <w:rsid w:val="00EF7DC4"/>
    <w:rsid w:val="00F00BC4"/>
    <w:rsid w:val="00F01C1B"/>
    <w:rsid w:val="00F030EC"/>
    <w:rsid w:val="00F0423F"/>
    <w:rsid w:val="00F048B9"/>
    <w:rsid w:val="00F06432"/>
    <w:rsid w:val="00F1053D"/>
    <w:rsid w:val="00F11443"/>
    <w:rsid w:val="00F132E0"/>
    <w:rsid w:val="00F135D0"/>
    <w:rsid w:val="00F14A33"/>
    <w:rsid w:val="00F16796"/>
    <w:rsid w:val="00F17911"/>
    <w:rsid w:val="00F207A3"/>
    <w:rsid w:val="00F2128A"/>
    <w:rsid w:val="00F218EB"/>
    <w:rsid w:val="00F22C4E"/>
    <w:rsid w:val="00F23AAC"/>
    <w:rsid w:val="00F24AD5"/>
    <w:rsid w:val="00F259CE"/>
    <w:rsid w:val="00F26B4B"/>
    <w:rsid w:val="00F3192D"/>
    <w:rsid w:val="00F33CBB"/>
    <w:rsid w:val="00F34C90"/>
    <w:rsid w:val="00F36DBE"/>
    <w:rsid w:val="00F40076"/>
    <w:rsid w:val="00F41366"/>
    <w:rsid w:val="00F41650"/>
    <w:rsid w:val="00F424C7"/>
    <w:rsid w:val="00F42B68"/>
    <w:rsid w:val="00F43FA7"/>
    <w:rsid w:val="00F4568B"/>
    <w:rsid w:val="00F45905"/>
    <w:rsid w:val="00F469F5"/>
    <w:rsid w:val="00F506C1"/>
    <w:rsid w:val="00F56D97"/>
    <w:rsid w:val="00F6046C"/>
    <w:rsid w:val="00F61C77"/>
    <w:rsid w:val="00F62D2D"/>
    <w:rsid w:val="00F646B9"/>
    <w:rsid w:val="00F647A2"/>
    <w:rsid w:val="00F66B19"/>
    <w:rsid w:val="00F67C66"/>
    <w:rsid w:val="00F70566"/>
    <w:rsid w:val="00F736A9"/>
    <w:rsid w:val="00F736DD"/>
    <w:rsid w:val="00F7411E"/>
    <w:rsid w:val="00F75304"/>
    <w:rsid w:val="00F759B0"/>
    <w:rsid w:val="00F764A7"/>
    <w:rsid w:val="00F76F0A"/>
    <w:rsid w:val="00F7742D"/>
    <w:rsid w:val="00F81D87"/>
    <w:rsid w:val="00F84454"/>
    <w:rsid w:val="00F8468D"/>
    <w:rsid w:val="00F84767"/>
    <w:rsid w:val="00F84820"/>
    <w:rsid w:val="00F870AD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5BDD"/>
    <w:rsid w:val="00FA6914"/>
    <w:rsid w:val="00FB0298"/>
    <w:rsid w:val="00FB18C2"/>
    <w:rsid w:val="00FB3667"/>
    <w:rsid w:val="00FB4966"/>
    <w:rsid w:val="00FB622C"/>
    <w:rsid w:val="00FC0C52"/>
    <w:rsid w:val="00FC335A"/>
    <w:rsid w:val="00FC3C61"/>
    <w:rsid w:val="00FC41D0"/>
    <w:rsid w:val="00FC46B6"/>
    <w:rsid w:val="00FC49B9"/>
    <w:rsid w:val="00FC4B3D"/>
    <w:rsid w:val="00FC537C"/>
    <w:rsid w:val="00FC6053"/>
    <w:rsid w:val="00FC617F"/>
    <w:rsid w:val="00FC6DA9"/>
    <w:rsid w:val="00FD3811"/>
    <w:rsid w:val="00FD3A7A"/>
    <w:rsid w:val="00FD5745"/>
    <w:rsid w:val="00FD5D78"/>
    <w:rsid w:val="00FD5E21"/>
    <w:rsid w:val="00FD5FB6"/>
    <w:rsid w:val="00FD66ED"/>
    <w:rsid w:val="00FD786C"/>
    <w:rsid w:val="00FE0D02"/>
    <w:rsid w:val="00FE1F79"/>
    <w:rsid w:val="00FE3315"/>
    <w:rsid w:val="00FE4248"/>
    <w:rsid w:val="00FE44FE"/>
    <w:rsid w:val="00FE4523"/>
    <w:rsid w:val="00FE46BD"/>
    <w:rsid w:val="00FE5704"/>
    <w:rsid w:val="00FE63E8"/>
    <w:rsid w:val="00FE667B"/>
    <w:rsid w:val="00FF0E84"/>
    <w:rsid w:val="00FF1735"/>
    <w:rsid w:val="00FF2DA2"/>
    <w:rsid w:val="00FF3D88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A54057"/>
  <w15:docId w15:val="{D8450DEA-0F6D-4A35-A97E-37560832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7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7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A208EE"/>
    <w:pPr>
      <w:keepNext/>
      <w:keepLines/>
      <w:numPr>
        <w:ilvl w:val="2"/>
        <w:numId w:val="27"/>
      </w:numPr>
      <w:spacing w:before="120"/>
      <w:contextualSpacing/>
      <w:jc w:val="both"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7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7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7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7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7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7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A208EE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2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EB235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455B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basedOn w:val="Nadpis2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3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portaldev.mze.cz/sites/projekty/Projekty/2016_0054_33.xml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Dokument_aplikace_Microsoft_Word4.docx"/><Relationship Id="rId7" Type="http://schemas.openxmlformats.org/officeDocument/2006/relationships/endnotes" Target="endnotes.xml"/><Relationship Id="rId12" Type="http://schemas.openxmlformats.org/officeDocument/2006/relationships/package" Target="embeddings/Dokument_aplikace_Microsoft_Word1.docx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package" Target="embeddings/Dokument_aplikace_Microsoft_Word3.docx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package" Target="embeddings/Dokument_aplikace_Microsoft_Word.docx"/><Relationship Id="rId19" Type="http://schemas.openxmlformats.org/officeDocument/2006/relationships/hyperlink" Target="https://sp-portaldev.mze.cz/sites/projekty/Projekty/2016_0054_33.x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Dokument_aplikace_Microsoft_Word2.docx"/><Relationship Id="rId22" Type="http://schemas.openxmlformats.org/officeDocument/2006/relationships/hyperlink" Target="https://sp-portaldev.mze.cz/sites/projekty/Projekty/2016_0054_33.x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24FC3"/>
    <w:rsid w:val="00033D05"/>
    <w:rsid w:val="00044BCB"/>
    <w:rsid w:val="000B592B"/>
    <w:rsid w:val="00131738"/>
    <w:rsid w:val="00153916"/>
    <w:rsid w:val="00160075"/>
    <w:rsid w:val="00196A81"/>
    <w:rsid w:val="001B32E8"/>
    <w:rsid w:val="002203BD"/>
    <w:rsid w:val="00233F79"/>
    <w:rsid w:val="00273B82"/>
    <w:rsid w:val="002854C4"/>
    <w:rsid w:val="00291133"/>
    <w:rsid w:val="002D675D"/>
    <w:rsid w:val="00304C74"/>
    <w:rsid w:val="00316149"/>
    <w:rsid w:val="0033214D"/>
    <w:rsid w:val="003471EF"/>
    <w:rsid w:val="00360737"/>
    <w:rsid w:val="003624E4"/>
    <w:rsid w:val="0037109B"/>
    <w:rsid w:val="003958BD"/>
    <w:rsid w:val="003A0ED3"/>
    <w:rsid w:val="003A6879"/>
    <w:rsid w:val="003A74E9"/>
    <w:rsid w:val="003B7DF5"/>
    <w:rsid w:val="003D738C"/>
    <w:rsid w:val="003E4CA7"/>
    <w:rsid w:val="003F407B"/>
    <w:rsid w:val="004154BA"/>
    <w:rsid w:val="004250F9"/>
    <w:rsid w:val="00432811"/>
    <w:rsid w:val="004B3EFF"/>
    <w:rsid w:val="004B4B76"/>
    <w:rsid w:val="004C07D6"/>
    <w:rsid w:val="004D19EB"/>
    <w:rsid w:val="00504451"/>
    <w:rsid w:val="00515B87"/>
    <w:rsid w:val="00535D15"/>
    <w:rsid w:val="00547CF6"/>
    <w:rsid w:val="00566730"/>
    <w:rsid w:val="005E620A"/>
    <w:rsid w:val="0060300C"/>
    <w:rsid w:val="00616997"/>
    <w:rsid w:val="006238BD"/>
    <w:rsid w:val="0063652F"/>
    <w:rsid w:val="006531CC"/>
    <w:rsid w:val="0069033B"/>
    <w:rsid w:val="006B6BB5"/>
    <w:rsid w:val="00701A89"/>
    <w:rsid w:val="0078579A"/>
    <w:rsid w:val="007F3BFB"/>
    <w:rsid w:val="008754C5"/>
    <w:rsid w:val="008E0CAD"/>
    <w:rsid w:val="008E21C5"/>
    <w:rsid w:val="008E5E3D"/>
    <w:rsid w:val="009071F9"/>
    <w:rsid w:val="0091586A"/>
    <w:rsid w:val="0092788B"/>
    <w:rsid w:val="0097265F"/>
    <w:rsid w:val="0097386F"/>
    <w:rsid w:val="009B0034"/>
    <w:rsid w:val="009F43AD"/>
    <w:rsid w:val="00A32644"/>
    <w:rsid w:val="00A52B03"/>
    <w:rsid w:val="00A71011"/>
    <w:rsid w:val="00AA188B"/>
    <w:rsid w:val="00AD58BD"/>
    <w:rsid w:val="00B23DDF"/>
    <w:rsid w:val="00B5381C"/>
    <w:rsid w:val="00B71738"/>
    <w:rsid w:val="00B754FF"/>
    <w:rsid w:val="00BE0AC8"/>
    <w:rsid w:val="00BF3BC2"/>
    <w:rsid w:val="00C8446F"/>
    <w:rsid w:val="00D125DC"/>
    <w:rsid w:val="00D155C5"/>
    <w:rsid w:val="00D26CF0"/>
    <w:rsid w:val="00D51033"/>
    <w:rsid w:val="00D55DFE"/>
    <w:rsid w:val="00D73526"/>
    <w:rsid w:val="00D82DBD"/>
    <w:rsid w:val="00DA0F67"/>
    <w:rsid w:val="00DA1C6A"/>
    <w:rsid w:val="00DB3E63"/>
    <w:rsid w:val="00DD5494"/>
    <w:rsid w:val="00E12383"/>
    <w:rsid w:val="00E30217"/>
    <w:rsid w:val="00E3363E"/>
    <w:rsid w:val="00E465BA"/>
    <w:rsid w:val="00E71314"/>
    <w:rsid w:val="00EC2B4B"/>
    <w:rsid w:val="00EC7489"/>
    <w:rsid w:val="00ED3756"/>
    <w:rsid w:val="00ED44BD"/>
    <w:rsid w:val="00F06909"/>
    <w:rsid w:val="00F366FE"/>
    <w:rsid w:val="00F41794"/>
    <w:rsid w:val="00F53502"/>
    <w:rsid w:val="00F82A16"/>
    <w:rsid w:val="00F92C78"/>
    <w:rsid w:val="00F93010"/>
    <w:rsid w:val="00F96B7C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19FC-6D7F-4BDA-BE10-2594D80C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17</Pages>
  <Words>4831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33274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Horáčková Vladana</cp:lastModifiedBy>
  <cp:revision>2</cp:revision>
  <cp:lastPrinted>2019-04-02T04:53:00Z</cp:lastPrinted>
  <dcterms:created xsi:type="dcterms:W3CDTF">2019-04-23T08:43:00Z</dcterms:created>
  <dcterms:modified xsi:type="dcterms:W3CDTF">2019-04-23T08:43:00Z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