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9193A" w14:textId="77777777" w:rsidR="00906858" w:rsidRPr="00906858" w:rsidRDefault="00906858" w:rsidP="00906858">
      <w:pPr>
        <w:rPr>
          <w:rFonts w:ascii="Calibri" w:hAnsi="Calibri" w:cs="Calibri"/>
          <w:b/>
          <w:sz w:val="22"/>
          <w:szCs w:val="22"/>
        </w:rPr>
      </w:pPr>
    </w:p>
    <w:p w14:paraId="2679AE26" w14:textId="77777777"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0A7BB70B" w14:textId="6934597F" w:rsidR="0053312A" w:rsidRPr="0053312A" w:rsidRDefault="00906858" w:rsidP="00906858">
      <w:pPr>
        <w:jc w:val="both"/>
        <w:rPr>
          <w:rFonts w:ascii="Calibri" w:hAnsi="Calibri" w:cs="Calibri"/>
          <w:b/>
          <w:sz w:val="22"/>
          <w:szCs w:val="22"/>
        </w:rPr>
      </w:pPr>
      <w:r w:rsidRPr="0053312A">
        <w:rPr>
          <w:rFonts w:ascii="Calibri" w:hAnsi="Calibri" w:cs="Calibri"/>
          <w:sz w:val="22"/>
          <w:szCs w:val="22"/>
        </w:rPr>
        <w:t xml:space="preserve">č. smlouvy objednatele: </w:t>
      </w:r>
      <w:r w:rsidR="007000AA" w:rsidRPr="0053312A">
        <w:rPr>
          <w:rFonts w:ascii="Calibri" w:hAnsi="Calibri" w:cs="Calibri"/>
          <w:b/>
          <w:sz w:val="22"/>
          <w:szCs w:val="22"/>
        </w:rPr>
        <w:t xml:space="preserve"> </w:t>
      </w:r>
      <w:r w:rsidR="00721195">
        <w:rPr>
          <w:rFonts w:ascii="Calibri" w:hAnsi="Calibri" w:cs="Calibri"/>
          <w:b/>
          <w:sz w:val="22"/>
          <w:szCs w:val="22"/>
        </w:rPr>
        <w:t>64/2019</w:t>
      </w:r>
    </w:p>
    <w:p w14:paraId="4729E9AD" w14:textId="77777777" w:rsidR="00906858" w:rsidRPr="0053312A" w:rsidRDefault="00906858" w:rsidP="00906858">
      <w:pPr>
        <w:jc w:val="both"/>
        <w:rPr>
          <w:rFonts w:ascii="Calibri" w:hAnsi="Calibri" w:cs="Calibri"/>
          <w:sz w:val="22"/>
          <w:szCs w:val="22"/>
        </w:rPr>
      </w:pPr>
      <w:r w:rsidRPr="0053312A">
        <w:rPr>
          <w:rFonts w:ascii="Calibri" w:hAnsi="Calibri" w:cs="Calibri"/>
          <w:sz w:val="22"/>
          <w:szCs w:val="22"/>
        </w:rPr>
        <w:t>č. smlouvy zhotovitele:</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37B78EF3"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r>
      <w:bookmarkStart w:id="0" w:name="_GoBack"/>
      <w:bookmarkEnd w:id="0"/>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2C5C1A3F" w14:textId="3E7E473C"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p>
    <w:p w14:paraId="6467A891" w14:textId="530220A9"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4331EA4A" w14:textId="06318594" w:rsidR="0053312A" w:rsidRPr="006C3FE8" w:rsidRDefault="006A4216" w:rsidP="006C3FE8">
      <w:pPr>
        <w:rPr>
          <w:bCs/>
          <w:highlight w:val="yellow"/>
        </w:rPr>
      </w:pPr>
      <w:r w:rsidRPr="0053312A">
        <w:rPr>
          <w:rFonts w:asciiTheme="minorHAnsi" w:hAnsiTheme="minorHAnsi" w:cstheme="minorHAnsi"/>
          <w:b/>
          <w:sz w:val="22"/>
          <w:szCs w:val="22"/>
        </w:rPr>
        <w:t>2</w:t>
      </w:r>
      <w:r w:rsidRPr="00204E38">
        <w:rPr>
          <w:rFonts w:asciiTheme="minorHAnsi" w:hAnsiTheme="minorHAnsi" w:cstheme="minorHAnsi"/>
          <w:b/>
          <w:sz w:val="22"/>
          <w:szCs w:val="22"/>
        </w:rPr>
        <w:t xml:space="preserve">.  </w:t>
      </w:r>
      <w:r w:rsidR="006C3FE8" w:rsidRPr="00204E38">
        <w:rPr>
          <w:rFonts w:asciiTheme="minorHAnsi" w:hAnsiTheme="minorHAnsi" w:cstheme="minorHAnsi"/>
          <w:b/>
          <w:sz w:val="22"/>
          <w:szCs w:val="22"/>
        </w:rPr>
        <w:t>Jaromír Vyhnálek</w:t>
      </w:r>
    </w:p>
    <w:p w14:paraId="1BA03096" w14:textId="775FEFFB" w:rsidR="00204E38" w:rsidRDefault="0053312A" w:rsidP="006C3FE8">
      <w:pPr>
        <w:overflowPunct w:val="0"/>
        <w:autoSpaceDE w:val="0"/>
        <w:autoSpaceDN w:val="0"/>
        <w:adjustRightInd w:val="0"/>
        <w:ind w:left="2410" w:hanging="2410"/>
        <w:rPr>
          <w:rFonts w:asciiTheme="minorHAnsi" w:hAnsiTheme="minorHAnsi" w:cstheme="minorHAnsi"/>
          <w:sz w:val="22"/>
          <w:szCs w:val="22"/>
        </w:rPr>
      </w:pPr>
      <w:r>
        <w:rPr>
          <w:rFonts w:asciiTheme="minorHAnsi" w:hAnsiTheme="minorHAnsi" w:cstheme="minorHAnsi"/>
          <w:sz w:val="22"/>
          <w:szCs w:val="22"/>
        </w:rPr>
        <w:t xml:space="preserve">      </w:t>
      </w:r>
      <w:r w:rsidR="00204E38">
        <w:rPr>
          <w:rFonts w:asciiTheme="minorHAnsi" w:hAnsiTheme="minorHAnsi" w:cstheme="minorHAnsi"/>
          <w:sz w:val="22"/>
          <w:szCs w:val="22"/>
        </w:rPr>
        <w:t xml:space="preserve">zápis v obchodním rejstříku: fyzická osoba podnikající dle živnostenského zákona nezapsaná v obchodním rejstříku     </w:t>
      </w:r>
    </w:p>
    <w:p w14:paraId="6CF5F75D" w14:textId="3F6D96BB" w:rsidR="006A4216" w:rsidRPr="00906858" w:rsidRDefault="00204E38" w:rsidP="006C3FE8">
      <w:pPr>
        <w:overflowPunct w:val="0"/>
        <w:autoSpaceDE w:val="0"/>
        <w:autoSpaceDN w:val="0"/>
        <w:adjustRightInd w:val="0"/>
        <w:ind w:left="2410" w:hanging="2410"/>
        <w:rPr>
          <w:rFonts w:asciiTheme="minorHAnsi" w:hAnsiTheme="minorHAnsi" w:cstheme="minorHAnsi"/>
          <w:sz w:val="22"/>
          <w:szCs w:val="22"/>
        </w:rPr>
      </w:pPr>
      <w:r>
        <w:rPr>
          <w:rFonts w:asciiTheme="minorHAnsi" w:hAnsiTheme="minorHAnsi" w:cstheme="minorHAnsi"/>
          <w:sz w:val="22"/>
          <w:szCs w:val="22"/>
        </w:rPr>
        <w:t xml:space="preserve">      </w:t>
      </w:r>
      <w:r w:rsidR="00906858" w:rsidRPr="00906858">
        <w:rPr>
          <w:rFonts w:asciiTheme="minorHAnsi" w:hAnsiTheme="minorHAnsi" w:cstheme="minorHAnsi"/>
          <w:sz w:val="22"/>
          <w:szCs w:val="22"/>
        </w:rPr>
        <w:t>právní forma:</w:t>
      </w:r>
      <w:r w:rsidR="00906858">
        <w:rPr>
          <w:rFonts w:asciiTheme="minorHAnsi" w:hAnsiTheme="minorHAnsi" w:cstheme="minorHAnsi"/>
          <w:sz w:val="22"/>
          <w:szCs w:val="22"/>
        </w:rPr>
        <w:t xml:space="preserve"> </w:t>
      </w:r>
      <w:r w:rsidR="00265A2B">
        <w:rPr>
          <w:rFonts w:asciiTheme="minorHAnsi" w:hAnsiTheme="minorHAnsi" w:cstheme="minorHAnsi"/>
          <w:sz w:val="22"/>
          <w:szCs w:val="22"/>
        </w:rPr>
        <w:t xml:space="preserve">      </w:t>
      </w:r>
      <w:r w:rsidR="006C3FE8">
        <w:rPr>
          <w:rFonts w:asciiTheme="minorHAnsi" w:hAnsiTheme="minorHAnsi" w:cstheme="minorHAnsi"/>
          <w:sz w:val="22"/>
          <w:szCs w:val="22"/>
        </w:rPr>
        <w:t xml:space="preserve">          </w:t>
      </w:r>
      <w:r>
        <w:rPr>
          <w:rFonts w:asciiTheme="minorHAnsi" w:hAnsiTheme="minorHAnsi" w:cstheme="minorHAnsi"/>
          <w:sz w:val="22"/>
          <w:szCs w:val="22"/>
        </w:rPr>
        <w:t xml:space="preserve"> OSVČ</w:t>
      </w:r>
      <w:r w:rsidR="00265A2B">
        <w:rPr>
          <w:rFonts w:asciiTheme="minorHAnsi" w:hAnsiTheme="minorHAnsi" w:cstheme="minorHAnsi"/>
          <w:sz w:val="22"/>
          <w:szCs w:val="22"/>
        </w:rPr>
        <w:t xml:space="preserve"> </w:t>
      </w:r>
    </w:p>
    <w:p w14:paraId="331FACDD" w14:textId="04D8C7E6"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Pr="000F159F">
        <w:rPr>
          <w:rFonts w:ascii="Calibri" w:hAnsi="Calibri"/>
          <w:sz w:val="22"/>
          <w:szCs w:val="22"/>
        </w:rPr>
        <w:tab/>
      </w:r>
      <w:r w:rsidR="00265A2B">
        <w:rPr>
          <w:rFonts w:ascii="Calibri" w:hAnsi="Calibri"/>
          <w:sz w:val="22"/>
          <w:szCs w:val="22"/>
        </w:rPr>
        <w:t xml:space="preserve">               </w:t>
      </w:r>
      <w:r w:rsidR="006C3FE8">
        <w:rPr>
          <w:rFonts w:ascii="Calibri" w:hAnsi="Calibri"/>
          <w:sz w:val="22"/>
          <w:szCs w:val="22"/>
        </w:rPr>
        <w:t xml:space="preserve">     </w:t>
      </w:r>
    </w:p>
    <w:p w14:paraId="61375A59" w14:textId="18CB39ED"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r w:rsidR="006C3FE8">
        <w:rPr>
          <w:rFonts w:ascii="Calibri" w:hAnsi="Calibri"/>
          <w:sz w:val="22"/>
          <w:szCs w:val="22"/>
        </w:rPr>
        <w:t>65787609</w:t>
      </w:r>
      <w:r w:rsidR="000F159F">
        <w:rPr>
          <w:rFonts w:ascii="Calibri" w:hAnsi="Calibri"/>
          <w:sz w:val="22"/>
          <w:szCs w:val="22"/>
        </w:rPr>
        <w:t xml:space="preserve">    </w:t>
      </w:r>
    </w:p>
    <w:p w14:paraId="2391EDC9" w14:textId="0A5B5FC5"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6C3FE8">
        <w:rPr>
          <w:rFonts w:ascii="Calibri" w:hAnsi="Calibri"/>
          <w:sz w:val="22"/>
          <w:szCs w:val="22"/>
        </w:rPr>
        <w:t xml:space="preserve">     CZ6501131340</w:t>
      </w:r>
      <w:r w:rsidRPr="000F159F">
        <w:rPr>
          <w:rFonts w:ascii="Calibri" w:hAnsi="Calibri"/>
          <w:sz w:val="22"/>
          <w:szCs w:val="22"/>
        </w:rPr>
        <w:tab/>
        <w:t xml:space="preserve">    </w:t>
      </w:r>
    </w:p>
    <w:p w14:paraId="305C0F9D" w14:textId="5D5886F4"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6C3FE8">
        <w:rPr>
          <w:rFonts w:ascii="Calibri" w:hAnsi="Calibri"/>
          <w:sz w:val="22"/>
          <w:szCs w:val="22"/>
        </w:rPr>
        <w:t xml:space="preserve">    Česká spořitelna</w:t>
      </w:r>
    </w:p>
    <w:p w14:paraId="7A3195E3" w14:textId="473DA64B" w:rsidR="00E74761" w:rsidRDefault="00E74761" w:rsidP="00E74761">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6C3FE8">
        <w:rPr>
          <w:rFonts w:ascii="Calibri" w:hAnsi="Calibri"/>
          <w:sz w:val="22"/>
          <w:szCs w:val="22"/>
        </w:rPr>
        <w:t xml:space="preserve">    </w:t>
      </w:r>
    </w:p>
    <w:p w14:paraId="5B500ED0" w14:textId="56284CDF"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r w:rsidR="006C3FE8">
        <w:rPr>
          <w:rFonts w:ascii="Calibri" w:hAnsi="Calibri"/>
          <w:sz w:val="22"/>
          <w:szCs w:val="22"/>
        </w:rPr>
        <w:t xml:space="preserve">  </w:t>
      </w:r>
    </w:p>
    <w:p w14:paraId="29552A64" w14:textId="613A6541"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r w:rsidR="006C3FE8">
        <w:rPr>
          <w:rFonts w:ascii="Calibri" w:hAnsi="Calibri"/>
          <w:sz w:val="22"/>
          <w:szCs w:val="22"/>
        </w:rPr>
        <w:t xml:space="preserve">    </w:t>
      </w:r>
    </w:p>
    <w:p w14:paraId="4347F63A" w14:textId="77777777"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77777777" w:rsidR="00FF2F9F" w:rsidRDefault="006A4216" w:rsidP="00206F78">
      <w:pPr>
        <w:numPr>
          <w:ilvl w:val="0"/>
          <w:numId w:val="2"/>
        </w:numPr>
        <w:spacing w:before="60"/>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 xml:space="preserve">provedení stavebních prací, jejichž hlavním účelem je </w:t>
      </w:r>
      <w:r w:rsidR="00206F78">
        <w:rPr>
          <w:rFonts w:asciiTheme="minorHAnsi" w:eastAsia="Calibri" w:hAnsiTheme="minorHAnsi" w:cstheme="minorHAnsi"/>
          <w:sz w:val="22"/>
          <w:szCs w:val="22"/>
        </w:rPr>
        <w:t>oprava bezpečnostních prvků na zřícenině hradu Cornštejn, k. ú. Bítov</w:t>
      </w:r>
      <w:r w:rsidR="00775D8E" w:rsidRPr="00775D8E">
        <w:rPr>
          <w:rFonts w:asciiTheme="minorHAnsi" w:eastAsia="Calibri" w:hAnsiTheme="minorHAnsi" w:cstheme="minorHAnsi"/>
          <w:sz w:val="22"/>
          <w:szCs w:val="22"/>
        </w:rPr>
        <w:t>, nemovité kulturní památky č.</w:t>
      </w:r>
      <w:r w:rsidR="00775D8E" w:rsidRPr="00775D8E">
        <w:rPr>
          <w:rFonts w:asciiTheme="minorHAnsi" w:hAnsiTheme="minorHAnsi" w:cstheme="minorHAnsi"/>
          <w:bCs/>
          <w:sz w:val="22"/>
          <w:szCs w:val="22"/>
        </w:rPr>
        <w:t xml:space="preserve"> </w:t>
      </w:r>
      <w:r w:rsidR="00206F78" w:rsidRPr="00206F78">
        <w:rPr>
          <w:rFonts w:asciiTheme="minorHAnsi" w:hAnsiTheme="minorHAnsi" w:cstheme="minorHAnsi"/>
          <w:bCs/>
          <w:sz w:val="22"/>
          <w:szCs w:val="22"/>
        </w:rPr>
        <w:t>44978/7-6206</w:t>
      </w:r>
      <w:r w:rsidR="00206F78">
        <w:rPr>
          <w:rFonts w:asciiTheme="minorHAnsi" w:hAnsiTheme="minorHAnsi" w:cstheme="minorHAnsi"/>
          <w:bCs/>
          <w:sz w:val="22"/>
          <w:szCs w:val="22"/>
        </w:rPr>
        <w:t xml:space="preserve"> </w:t>
      </w:r>
      <w:r w:rsidR="00F07DAF" w:rsidRPr="00D54536">
        <w:rPr>
          <w:rFonts w:ascii="Calibri" w:hAnsi="Calibri"/>
          <w:sz w:val="22"/>
          <w:szCs w:val="22"/>
        </w:rPr>
        <w:t>v</w:t>
      </w:r>
      <w:r w:rsidR="005D454A">
        <w:rPr>
          <w:rFonts w:ascii="Calibri" w:hAnsi="Calibri"/>
          <w:sz w:val="22"/>
          <w:szCs w:val="22"/>
        </w:rPr>
        <w:t> </w:t>
      </w:r>
      <w:r w:rsidR="00F07DAF" w:rsidRPr="00D54536">
        <w:rPr>
          <w:rFonts w:ascii="Calibri" w:hAnsi="Calibri"/>
          <w:sz w:val="22"/>
          <w:szCs w:val="22"/>
        </w:rPr>
        <w:t>souladu</w:t>
      </w:r>
      <w:r w:rsidR="005D454A">
        <w:rPr>
          <w:rFonts w:ascii="Calibri" w:hAnsi="Calibri"/>
          <w:sz w:val="22"/>
          <w:szCs w:val="22"/>
        </w:rPr>
        <w:t xml:space="preserve"> s</w:t>
      </w:r>
      <w:r w:rsidR="00206F78">
        <w:rPr>
          <w:rFonts w:ascii="Calibri" w:hAnsi="Calibri"/>
          <w:sz w:val="22"/>
          <w:szCs w:val="22"/>
        </w:rPr>
        <w:t xml:space="preserve"> výkresovou dokumentací, </w:t>
      </w:r>
      <w:r w:rsidR="005D454A" w:rsidRPr="005D454A">
        <w:rPr>
          <w:rFonts w:ascii="Calibri" w:hAnsi="Calibri"/>
          <w:sz w:val="22"/>
          <w:szCs w:val="22"/>
        </w:rPr>
        <w:t>Rozhodnutím</w:t>
      </w:r>
      <w:r w:rsidR="00206F78" w:rsidRPr="005D454A">
        <w:rPr>
          <w:rFonts w:ascii="Calibri" w:hAnsi="Calibri"/>
          <w:sz w:val="22"/>
          <w:szCs w:val="22"/>
        </w:rPr>
        <w:t xml:space="preserve"> č.</w:t>
      </w:r>
      <w:r w:rsidR="00206F78">
        <w:rPr>
          <w:rFonts w:ascii="Calibri" w:hAnsi="Calibri"/>
          <w:sz w:val="22"/>
          <w:szCs w:val="22"/>
        </w:rPr>
        <w:t xml:space="preserve"> </w:t>
      </w:r>
      <w:r w:rsidR="005D454A" w:rsidRPr="005D454A">
        <w:rPr>
          <w:rFonts w:ascii="Calibri" w:hAnsi="Calibri"/>
          <w:sz w:val="22"/>
          <w:szCs w:val="22"/>
        </w:rPr>
        <w:t>9/2019</w:t>
      </w:r>
      <w:r w:rsidR="005D454A">
        <w:rPr>
          <w:rFonts w:ascii="Calibri" w:hAnsi="Calibri"/>
          <w:sz w:val="22"/>
          <w:szCs w:val="22"/>
        </w:rPr>
        <w:t xml:space="preserve"> OŠKPP</w:t>
      </w:r>
      <w:r w:rsidR="00206F78">
        <w:rPr>
          <w:rFonts w:ascii="Calibri" w:hAnsi="Calibri"/>
          <w:sz w:val="22"/>
          <w:szCs w:val="22"/>
        </w:rPr>
        <w:t>, s</w:t>
      </w:r>
      <w:r w:rsidR="00206F78" w:rsidRPr="00D54536">
        <w:rPr>
          <w:rFonts w:ascii="Calibri" w:hAnsi="Calibri"/>
          <w:sz w:val="22"/>
          <w:szCs w:val="22"/>
        </w:rPr>
        <w:t>oupisem stavebních prací, dodávek a služeb s výkazem výměr</w:t>
      </w:r>
      <w:r w:rsidR="00206F78">
        <w:rPr>
          <w:rFonts w:ascii="Calibri" w:hAnsi="Calibri"/>
          <w:sz w:val="22"/>
          <w:szCs w:val="22"/>
        </w:rPr>
        <w:t>,</w:t>
      </w:r>
      <w:r w:rsidR="00206F78" w:rsidRPr="00D54536">
        <w:rPr>
          <w:rFonts w:ascii="Calibri" w:hAnsi="Calibri"/>
          <w:sz w:val="22"/>
          <w:szCs w:val="22"/>
        </w:rPr>
        <w:t xml:space="preserve"> </w:t>
      </w:r>
      <w:r w:rsidR="00F07DAF" w:rsidRPr="00D54536">
        <w:rPr>
          <w:rFonts w:ascii="Calibri" w:hAnsi="Calibri"/>
          <w:sz w:val="22"/>
          <w:szCs w:val="22"/>
        </w:rPr>
        <w:t xml:space="preserve">který je přílohou </w:t>
      </w:r>
      <w:r w:rsidR="00F07DAF">
        <w:rPr>
          <w:rFonts w:ascii="Calibri" w:hAnsi="Calibri"/>
          <w:sz w:val="22"/>
          <w:szCs w:val="22"/>
        </w:rPr>
        <w:t>této smlouvy</w:t>
      </w:r>
      <w:r w:rsidR="00775D8E">
        <w:rPr>
          <w:rFonts w:ascii="Calibri" w:hAnsi="Calibri"/>
          <w:sz w:val="22"/>
          <w:szCs w:val="22"/>
        </w:rPr>
        <w:t xml:space="preserve"> a pokyny objednatele</w:t>
      </w:r>
      <w:r w:rsidR="00F07DAF" w:rsidRPr="00D54536">
        <w:rPr>
          <w:rFonts w:ascii="Calibri" w:hAnsi="Calibri"/>
          <w:sz w:val="22"/>
          <w:szCs w:val="22"/>
        </w:rPr>
        <w:t>.</w:t>
      </w:r>
    </w:p>
    <w:p w14:paraId="44154FA3" w14:textId="77777777" w:rsidR="00C87296" w:rsidRPr="00775D8E" w:rsidRDefault="005D454A" w:rsidP="005D454A">
      <w:pPr>
        <w:widowControl w:val="0"/>
        <w:spacing w:after="120"/>
        <w:jc w:val="both"/>
        <w:rPr>
          <w:rFonts w:ascii="Calibri" w:hAnsi="Calibri" w:cs="Arial"/>
          <w:snapToGrid w:val="0"/>
          <w:sz w:val="22"/>
          <w:szCs w:val="22"/>
        </w:rPr>
      </w:pPr>
      <w:r>
        <w:rPr>
          <w:rFonts w:ascii="Calibri" w:hAnsi="Calibri" w:cs="Arial"/>
          <w:snapToGrid w:val="0"/>
          <w:sz w:val="22"/>
          <w:szCs w:val="22"/>
        </w:rPr>
        <w:t xml:space="preserve">       </w:t>
      </w:r>
      <w:r w:rsidR="00C87296" w:rsidRPr="0099371A">
        <w:rPr>
          <w:rFonts w:ascii="Calibri" w:hAnsi="Calibri" w:cs="Arial"/>
          <w:snapToGrid w:val="0"/>
          <w:sz w:val="22"/>
          <w:szCs w:val="22"/>
        </w:rPr>
        <w:t>Zhotovením díla se rozumí úplné, funkční a bezvadné provedení všech služeb, dodávek, prací, jejichž provedení je pr</w:t>
      </w:r>
      <w:r w:rsidR="00C87296">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lastRenderedPageBreak/>
        <w:t xml:space="preserve">Dílo zahrnuje zejména realizaci těchto prací a činností zhotovitele: </w:t>
      </w:r>
    </w:p>
    <w:p w14:paraId="23202684" w14:textId="77777777" w:rsidR="005D454A" w:rsidRPr="00C80C08" w:rsidRDefault="005D454A" w:rsidP="005D454A">
      <w:pPr>
        <w:pStyle w:val="Default"/>
        <w:numPr>
          <w:ilvl w:val="0"/>
          <w:numId w:val="26"/>
        </w:numPr>
        <w:ind w:left="709" w:hanging="284"/>
        <w:jc w:val="both"/>
        <w:rPr>
          <w:rFonts w:eastAsia="Calibri"/>
          <w:sz w:val="22"/>
          <w:szCs w:val="22"/>
        </w:rPr>
      </w:pPr>
      <w:r w:rsidRPr="00C80C08">
        <w:rPr>
          <w:rFonts w:ascii="Calibri" w:hAnsi="Calibri" w:cs="Calibri"/>
          <w:color w:val="auto"/>
          <w:sz w:val="22"/>
          <w:szCs w:val="22"/>
        </w:rPr>
        <w:t>oprava poškozeného zábradlí z dřevěné kulatiny na ochozech</w:t>
      </w:r>
    </w:p>
    <w:p w14:paraId="23725D10" w14:textId="77777777" w:rsidR="005D454A" w:rsidRPr="00C80C08" w:rsidRDefault="005D454A" w:rsidP="005D454A">
      <w:pPr>
        <w:pStyle w:val="Default"/>
        <w:numPr>
          <w:ilvl w:val="0"/>
          <w:numId w:val="26"/>
        </w:numPr>
        <w:ind w:left="709" w:hanging="284"/>
        <w:jc w:val="both"/>
        <w:rPr>
          <w:rFonts w:eastAsia="Calibri"/>
          <w:sz w:val="22"/>
          <w:szCs w:val="22"/>
        </w:rPr>
      </w:pPr>
      <w:r>
        <w:rPr>
          <w:color w:val="auto"/>
          <w:sz w:val="22"/>
          <w:szCs w:val="22"/>
        </w:rPr>
        <w:t xml:space="preserve">oprava </w:t>
      </w:r>
      <w:r w:rsidRPr="00C80C08">
        <w:rPr>
          <w:rFonts w:ascii="Calibri" w:hAnsi="Calibri" w:cs="Calibri"/>
          <w:color w:val="auto"/>
          <w:sz w:val="22"/>
          <w:szCs w:val="22"/>
        </w:rPr>
        <w:t xml:space="preserve">nosné části trámového ochozu </w:t>
      </w:r>
    </w:p>
    <w:p w14:paraId="7568FC3F" w14:textId="77777777" w:rsidR="00775D8E" w:rsidRPr="005D454A" w:rsidRDefault="005D454A" w:rsidP="005D454A">
      <w:pPr>
        <w:pStyle w:val="Default"/>
        <w:numPr>
          <w:ilvl w:val="0"/>
          <w:numId w:val="26"/>
        </w:numPr>
        <w:spacing w:after="60"/>
        <w:ind w:left="709" w:hanging="283"/>
        <w:jc w:val="both"/>
        <w:rPr>
          <w:rFonts w:eastAsia="Calibri"/>
          <w:sz w:val="22"/>
          <w:szCs w:val="22"/>
        </w:rPr>
      </w:pPr>
      <w:r w:rsidRPr="00C80C08">
        <w:rPr>
          <w:rFonts w:ascii="Calibri" w:hAnsi="Calibri" w:cs="Calibri"/>
          <w:color w:val="auto"/>
          <w:sz w:val="22"/>
          <w:szCs w:val="22"/>
        </w:rPr>
        <w:t xml:space="preserve">oprava bezpečnostního krytu hradních cisteren </w:t>
      </w:r>
      <w:r w:rsidRPr="005D454A">
        <w:rPr>
          <w:rFonts w:asciiTheme="minorHAnsi" w:hAnsiTheme="minorHAnsi" w:cstheme="minorHAnsi"/>
          <w:color w:val="auto"/>
          <w:sz w:val="22"/>
          <w:szCs w:val="22"/>
        </w:rPr>
        <w:t>- síť a kovaná mříž</w:t>
      </w:r>
      <w:r w:rsidR="00775D8E" w:rsidRPr="005D454A">
        <w:rPr>
          <w:rFonts w:ascii="Calibri" w:hAnsi="Calibri"/>
          <w:sz w:val="22"/>
          <w:szCs w:val="22"/>
        </w:rPr>
        <w:t xml:space="preserve">. </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77777777" w:rsidR="00206F78" w:rsidRDefault="00D930EB" w:rsidP="00206F78">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nemovité kulturní památky ev. pod č. </w:t>
      </w:r>
      <w:r w:rsidR="00206F78" w:rsidRPr="00206F78">
        <w:rPr>
          <w:rFonts w:asciiTheme="minorHAnsi" w:eastAsia="Calibri" w:hAnsiTheme="minorHAnsi"/>
          <w:bCs/>
          <w:sz w:val="22"/>
          <w:szCs w:val="22"/>
        </w:rPr>
        <w:t>44978/7-6206</w:t>
      </w:r>
      <w:r w:rsidR="00033B02">
        <w:rPr>
          <w:rFonts w:asciiTheme="minorHAnsi" w:eastAsia="Calibri" w:hAnsiTheme="minorHAnsi"/>
          <w:bCs/>
          <w:sz w:val="22"/>
          <w:szCs w:val="22"/>
        </w:rPr>
        <w:t>.</w:t>
      </w:r>
    </w:p>
    <w:p w14:paraId="43D0551C" w14:textId="77777777"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14:paraId="2A5DF34E" w14:textId="77777777" w:rsidR="00206F78" w:rsidRPr="00206F78" w:rsidRDefault="00206F78" w:rsidP="00206F78">
      <w:pPr>
        <w:numPr>
          <w:ilvl w:val="0"/>
          <w:numId w:val="9"/>
        </w:numPr>
        <w:spacing w:after="120" w:line="276" w:lineRule="auto"/>
        <w:ind w:hanging="294"/>
        <w:contextualSpacing/>
        <w:rPr>
          <w:rFonts w:ascii="Calibri" w:eastAsia="Calibri" w:hAnsi="Calibri"/>
          <w:sz w:val="22"/>
          <w:szCs w:val="22"/>
          <w:lang w:eastAsia="en-US"/>
        </w:rPr>
      </w:pPr>
      <w:r w:rsidRPr="00206F78">
        <w:rPr>
          <w:rFonts w:ascii="Calibri" w:eastAsia="Calibri" w:hAnsi="Calibri"/>
          <w:sz w:val="22"/>
          <w:szCs w:val="22"/>
          <w:lang w:eastAsia="en-US"/>
        </w:rPr>
        <w:t>vjezd do areálu hradu je omezen šířkou brány 2 m</w:t>
      </w:r>
    </w:p>
    <w:p w14:paraId="714BD2E5" w14:textId="77777777" w:rsidR="00206F78" w:rsidRPr="005D454A" w:rsidRDefault="00206F78" w:rsidP="00991923">
      <w:pPr>
        <w:numPr>
          <w:ilvl w:val="0"/>
          <w:numId w:val="9"/>
        </w:numPr>
        <w:spacing w:line="276" w:lineRule="auto"/>
        <w:ind w:hanging="295"/>
        <w:rPr>
          <w:rFonts w:asciiTheme="minorHAnsi" w:eastAsiaTheme="minorHAnsi" w:hAnsiTheme="minorHAnsi" w:cstheme="minorBidi"/>
          <w:sz w:val="22"/>
          <w:szCs w:val="22"/>
          <w:lang w:eastAsia="en-US"/>
        </w:rPr>
      </w:pPr>
      <w:r w:rsidRPr="00206F78">
        <w:rPr>
          <w:rFonts w:ascii="Calibri" w:eastAsia="Calibri" w:hAnsi="Calibri"/>
          <w:sz w:val="22"/>
          <w:szCs w:val="22"/>
          <w:lang w:eastAsia="en-US"/>
        </w:rPr>
        <w:t>v areálu zříceniny není elektrika, voda a ani sociální zařízení.</w:t>
      </w:r>
    </w:p>
    <w:p w14:paraId="04E69A0D" w14:textId="37491FF6" w:rsidR="005D454A" w:rsidRPr="005D454A" w:rsidRDefault="005D454A" w:rsidP="005D454A">
      <w:pPr>
        <w:pStyle w:val="Odstavecseseznamem"/>
        <w:numPr>
          <w:ilvl w:val="0"/>
          <w:numId w:val="2"/>
        </w:numPr>
        <w:spacing w:after="120" w:line="276" w:lineRule="auto"/>
        <w:rPr>
          <w:rFonts w:asciiTheme="minorHAnsi" w:eastAsiaTheme="minorHAnsi" w:hAnsiTheme="minorHAnsi" w:cstheme="minorBidi"/>
          <w:sz w:val="22"/>
          <w:szCs w:val="22"/>
          <w:lang w:eastAsia="en-US"/>
        </w:rPr>
      </w:pPr>
      <w:r w:rsidRPr="005D454A">
        <w:rPr>
          <w:rFonts w:asciiTheme="minorHAnsi" w:hAnsiTheme="minorHAnsi" w:cstheme="minorHAnsi"/>
          <w:sz w:val="22"/>
          <w:szCs w:val="22"/>
        </w:rPr>
        <w:t xml:space="preserve">Odpadní dřevo bude ponecháno na zřícenině </w:t>
      </w:r>
    </w:p>
    <w:p w14:paraId="1DB085C5" w14:textId="77777777" w:rsidR="00206F78" w:rsidRPr="005D454A" w:rsidRDefault="00206F78" w:rsidP="005D454A">
      <w:pPr>
        <w:pStyle w:val="Odstavecseseznamem"/>
        <w:numPr>
          <w:ilvl w:val="0"/>
          <w:numId w:val="2"/>
        </w:numPr>
        <w:tabs>
          <w:tab w:val="clear" w:pos="360"/>
          <w:tab w:val="num" w:pos="426"/>
        </w:tabs>
        <w:spacing w:after="120" w:line="276" w:lineRule="auto"/>
        <w:rPr>
          <w:rFonts w:asciiTheme="minorHAnsi" w:eastAsiaTheme="minorHAnsi" w:hAnsiTheme="minorHAnsi" w:cstheme="minorBidi"/>
          <w:sz w:val="22"/>
          <w:szCs w:val="22"/>
          <w:lang w:eastAsia="en-US"/>
        </w:rPr>
      </w:pPr>
      <w:r w:rsidRPr="005D454A">
        <w:rPr>
          <w:rFonts w:asciiTheme="minorHAnsi" w:eastAsiaTheme="minorHAnsi" w:hAnsiTheme="minorHAnsi" w:cstheme="minorBidi"/>
          <w:sz w:val="22"/>
          <w:szCs w:val="22"/>
          <w:lang w:eastAsia="en-US"/>
        </w:rPr>
        <w:t>Zadavatel dále upozorňuje, že návštěvnická sezóna na zřícenině hradu Cornštejn bude zahájena 1. 6. 2019.</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5B7C2923"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předání podepsaných smluv o dílo: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1" w:name="__RefHeading__7802_1360741685"/>
      <w:bookmarkEnd w:id="1"/>
      <w:r w:rsidR="00D002E0">
        <w:rPr>
          <w:rFonts w:asciiTheme="minorHAnsi" w:hAnsiTheme="minorHAnsi" w:cstheme="minorHAnsi"/>
          <w:iCs/>
          <w:sz w:val="22"/>
          <w:szCs w:val="22"/>
        </w:rPr>
        <w:t>objednatele</w:t>
      </w:r>
    </w:p>
    <w:p w14:paraId="740E208F" w14:textId="6E30F7A7"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Pr="004B1A9F">
        <w:rPr>
          <w:rFonts w:asciiTheme="minorHAnsi" w:hAnsiTheme="minorHAnsi" w:cstheme="minorHAnsi"/>
          <w:b/>
          <w:sz w:val="22"/>
          <w:szCs w:val="22"/>
        </w:rPr>
        <w:t xml:space="preserve">      </w:t>
      </w:r>
      <w:r w:rsidR="00D002E0">
        <w:rPr>
          <w:rFonts w:asciiTheme="minorHAnsi" w:hAnsiTheme="minorHAnsi" w:cstheme="minorHAnsi"/>
          <w:b/>
          <w:sz w:val="22"/>
          <w:szCs w:val="22"/>
        </w:rPr>
        <w:t xml:space="preserve">  </w:t>
      </w:r>
      <w:r w:rsidR="005D454A">
        <w:rPr>
          <w:rFonts w:asciiTheme="minorHAnsi" w:hAnsiTheme="minorHAnsi" w:cstheme="minorHAnsi"/>
          <w:b/>
          <w:sz w:val="22"/>
          <w:szCs w:val="22"/>
        </w:rPr>
        <w:t xml:space="preserve"> </w:t>
      </w:r>
      <w:r w:rsidRPr="004B1A9F">
        <w:rPr>
          <w:rFonts w:asciiTheme="minorHAnsi" w:hAnsiTheme="minorHAnsi" w:cstheme="minorHAnsi"/>
          <w:b/>
          <w:sz w:val="22"/>
          <w:szCs w:val="22"/>
        </w:rPr>
        <w:t xml:space="preserve"> </w:t>
      </w:r>
      <w:r w:rsidRPr="004B1A9F">
        <w:rPr>
          <w:rFonts w:asciiTheme="minorHAnsi" w:eastAsia="Calibri" w:hAnsiTheme="minorHAnsi" w:cstheme="minorHAnsi"/>
          <w:sz w:val="22"/>
          <w:szCs w:val="22"/>
        </w:rPr>
        <w:t xml:space="preserve">do </w:t>
      </w:r>
      <w:r w:rsidR="005D454A" w:rsidRPr="00033B02">
        <w:rPr>
          <w:rFonts w:asciiTheme="minorHAnsi" w:eastAsia="Calibri" w:hAnsiTheme="minorHAnsi" w:cstheme="minorHAnsi"/>
          <w:b/>
          <w:sz w:val="22"/>
          <w:szCs w:val="22"/>
        </w:rPr>
        <w:t>29. 5. 2019</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6BD43B81" w14:textId="77777777" w:rsidR="004B1A9F" w:rsidRPr="004B1A9F" w:rsidRDefault="004B1A9F" w:rsidP="004B1A9F">
      <w:pPr>
        <w:pStyle w:val="Odstavecseseznamem"/>
        <w:numPr>
          <w:ilvl w:val="0"/>
          <w:numId w:val="22"/>
        </w:numPr>
        <w:ind w:left="426" w:hanging="426"/>
        <w:jc w:val="both"/>
        <w:rPr>
          <w:rFonts w:asciiTheme="minorHAnsi" w:hAnsiTheme="minorHAnsi" w:cstheme="minorHAnsi"/>
          <w:sz w:val="22"/>
          <w:szCs w:val="22"/>
        </w:rPr>
      </w:pPr>
      <w:r w:rsidRPr="004B1A9F">
        <w:rPr>
          <w:rFonts w:asciiTheme="minorHAnsi" w:eastAsia="Calibri" w:hAnsiTheme="minorHAnsi" w:cstheme="minorHAnsi"/>
          <w:sz w:val="22"/>
          <w:szCs w:val="22"/>
        </w:rPr>
        <w:t>Místem plnění zakázky</w:t>
      </w:r>
      <w:r w:rsidRPr="004B1A9F">
        <w:rPr>
          <w:rFonts w:asciiTheme="minorHAnsi" w:eastAsia="Calibri" w:hAnsiTheme="minorHAnsi" w:cstheme="minorHAnsi"/>
          <w:b/>
          <w:sz w:val="22"/>
          <w:szCs w:val="22"/>
        </w:rPr>
        <w:t xml:space="preserve"> </w:t>
      </w:r>
      <w:r w:rsidRPr="004B1A9F">
        <w:rPr>
          <w:rFonts w:asciiTheme="minorHAnsi" w:eastAsia="Calibri" w:hAnsiTheme="minorHAnsi" w:cstheme="minorHAnsi"/>
          <w:sz w:val="22"/>
          <w:szCs w:val="22"/>
        </w:rPr>
        <w:t>je</w:t>
      </w:r>
      <w:r w:rsidRPr="004B1A9F">
        <w:rPr>
          <w:rFonts w:asciiTheme="minorHAnsi" w:eastAsia="Calibri" w:hAnsiTheme="minorHAnsi" w:cstheme="minorHAnsi"/>
          <w:b/>
          <w:sz w:val="22"/>
          <w:szCs w:val="22"/>
        </w:rPr>
        <w:t xml:space="preserve"> </w:t>
      </w:r>
      <w:r w:rsidR="00033B02">
        <w:rPr>
          <w:rFonts w:asciiTheme="minorHAnsi" w:eastAsia="Calibri" w:hAnsiTheme="minorHAnsi" w:cstheme="minorHAnsi"/>
          <w:b/>
          <w:sz w:val="22"/>
          <w:szCs w:val="22"/>
        </w:rPr>
        <w:t>zřícenina hradu Cornštejn</w:t>
      </w:r>
      <w:r w:rsidRPr="004B1A9F">
        <w:rPr>
          <w:rFonts w:asciiTheme="minorHAnsi" w:eastAsia="Calibri" w:hAnsiTheme="minorHAnsi" w:cstheme="minorHAnsi"/>
          <w:b/>
          <w:sz w:val="22"/>
          <w:szCs w:val="22"/>
        </w:rPr>
        <w:t xml:space="preserve">, </w:t>
      </w:r>
      <w:r w:rsidR="00033B02" w:rsidRPr="002D62CC">
        <w:rPr>
          <w:rFonts w:ascii="Calibri" w:hAnsi="Calibri"/>
          <w:sz w:val="22"/>
          <w:szCs w:val="22"/>
          <w:lang w:eastAsia="en-US"/>
        </w:rPr>
        <w:t xml:space="preserve">par. č. 68, zastavěná plocha a nádvoří, </w:t>
      </w:r>
      <w:r w:rsidR="00033B02">
        <w:rPr>
          <w:rFonts w:ascii="Calibri" w:hAnsi="Calibri"/>
          <w:sz w:val="22"/>
          <w:szCs w:val="22"/>
          <w:lang w:eastAsia="en-US"/>
        </w:rPr>
        <w:t>k. ú. Bítov</w:t>
      </w:r>
      <w:r w:rsidR="00033B02" w:rsidRPr="002047D2">
        <w:rPr>
          <w:rFonts w:ascii="Calibri" w:hAnsi="Calibri" w:cs="Calibri"/>
          <w:sz w:val="22"/>
          <w:szCs w:val="22"/>
        </w:rPr>
        <w:t xml:space="preserve">, nemovitá kulturní památky </w:t>
      </w:r>
      <w:r w:rsidR="00033B02">
        <w:rPr>
          <w:rFonts w:ascii="Calibri" w:hAnsi="Calibri" w:cs="Calibri"/>
          <w:sz w:val="22"/>
          <w:szCs w:val="22"/>
        </w:rPr>
        <w:t xml:space="preserve">ev. </w:t>
      </w:r>
      <w:r w:rsidR="00033B02" w:rsidRPr="002047D2">
        <w:rPr>
          <w:rFonts w:ascii="Calibri" w:hAnsi="Calibri" w:cs="Calibri"/>
          <w:sz w:val="22"/>
          <w:szCs w:val="22"/>
        </w:rPr>
        <w:t xml:space="preserve">č. </w:t>
      </w:r>
      <w:r w:rsidR="00033B02" w:rsidRPr="002D62CC">
        <w:rPr>
          <w:rFonts w:ascii="Calibri" w:hAnsi="Calibri" w:cs="Calibri"/>
          <w:bCs/>
          <w:sz w:val="22"/>
          <w:szCs w:val="22"/>
        </w:rPr>
        <w:t>44978/7-6206</w:t>
      </w:r>
      <w:r w:rsidRPr="004B1A9F">
        <w:rPr>
          <w:rFonts w:asciiTheme="minorHAnsi" w:eastAsia="Calibri" w:hAnsiTheme="minorHAnsi" w:cstheme="minorHAnsi"/>
          <w:sz w:val="22"/>
          <w:szCs w:val="22"/>
        </w:rPr>
        <w:t>.</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733CB190"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4B1A9F" w:rsidRPr="004E34DE">
        <w:rPr>
          <w:rFonts w:ascii="Calibri" w:hAnsi="Calibri" w:cs="Calibri"/>
          <w:b/>
          <w:sz w:val="22"/>
          <w:szCs w:val="22"/>
        </w:rPr>
        <w:t xml:space="preserve"> </w:t>
      </w:r>
      <w:r w:rsidR="006C3FE8">
        <w:rPr>
          <w:rFonts w:ascii="Calibri" w:hAnsi="Calibri" w:cs="Calibri"/>
          <w:b/>
          <w:sz w:val="22"/>
          <w:szCs w:val="22"/>
        </w:rPr>
        <w:t>151.347</w:t>
      </w:r>
      <w:r w:rsidR="004B1A9F" w:rsidRPr="004E34DE">
        <w:rPr>
          <w:rFonts w:ascii="Calibri" w:hAnsi="Calibri" w:cs="Calibri"/>
          <w:b/>
          <w:sz w:val="22"/>
          <w:szCs w:val="22"/>
        </w:rPr>
        <w:t xml:space="preserve"> </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10592ECC"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6C3FE8">
        <w:rPr>
          <w:rFonts w:ascii="Calibri" w:hAnsi="Calibri" w:cs="Calibri"/>
          <w:sz w:val="22"/>
          <w:szCs w:val="22"/>
        </w:rPr>
        <w:t>125.080,00</w:t>
      </w:r>
      <w:r w:rsidR="004B1A9F">
        <w:rPr>
          <w:rFonts w:ascii="Calibri" w:hAnsi="Calibri" w:cs="Calibri"/>
          <w:sz w:val="22"/>
          <w:szCs w:val="22"/>
        </w:rPr>
        <w:t xml:space="preserve"> </w:t>
      </w:r>
      <w:r w:rsidRPr="00265A2B">
        <w:rPr>
          <w:rFonts w:ascii="Calibri" w:hAnsi="Calibri" w:cs="Calibri"/>
          <w:sz w:val="22"/>
          <w:szCs w:val="22"/>
        </w:rPr>
        <w:t xml:space="preserve">Kč, </w:t>
      </w:r>
    </w:p>
    <w:p w14:paraId="3934D1F8" w14:textId="00447606"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6C3FE8">
        <w:rPr>
          <w:rFonts w:ascii="Calibri" w:hAnsi="Calibri" w:cs="Calibri"/>
          <w:sz w:val="22"/>
          <w:szCs w:val="22"/>
        </w:rPr>
        <w:t>26</w:t>
      </w:r>
      <w:r w:rsidR="00204E38">
        <w:rPr>
          <w:rFonts w:ascii="Calibri" w:hAnsi="Calibri" w:cs="Calibri"/>
          <w:sz w:val="22"/>
          <w:szCs w:val="22"/>
        </w:rPr>
        <w:t>.</w:t>
      </w:r>
      <w:r w:rsidR="006C3FE8">
        <w:rPr>
          <w:rFonts w:ascii="Calibri" w:hAnsi="Calibri" w:cs="Calibri"/>
          <w:sz w:val="22"/>
          <w:szCs w:val="22"/>
        </w:rPr>
        <w:t>267,00</w:t>
      </w:r>
      <w:r w:rsidR="004B1A9F">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14:paraId="3A67FCB2" w14:textId="6C691060"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6C3FE8">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77777777"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B456270" w14:textId="77777777" w:rsidR="00B97649" w:rsidRDefault="004E34DE" w:rsidP="00991923">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7777777"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14:paraId="7F14D2B6" w14:textId="77777777" w:rsidR="008E7C1F" w:rsidRPr="008806FE" w:rsidRDefault="00C36C02" w:rsidP="004E34DE">
      <w:pPr>
        <w:pStyle w:val="Odstavecseseznamem"/>
        <w:numPr>
          <w:ilvl w:val="0"/>
          <w:numId w:val="8"/>
        </w:numPr>
        <w:ind w:left="709" w:hanging="352"/>
        <w:contextualSpacing w:val="0"/>
        <w:jc w:val="center"/>
        <w:rPr>
          <w:rFonts w:ascii="Calibri" w:hAnsi="Calibri" w:cs="Calibri"/>
          <w:b/>
          <w:sz w:val="22"/>
          <w:szCs w:val="22"/>
        </w:rPr>
      </w:pPr>
      <w:r>
        <w:rPr>
          <w:rFonts w:ascii="Calibri" w:hAnsi="Calibri" w:cs="Calibri"/>
          <w:b/>
          <w:sz w:val="22"/>
          <w:szCs w:val="22"/>
        </w:rPr>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14:paraId="5CE4835B" w14:textId="77777777"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II. smlouvy a způsobem v souladu s</w:t>
      </w:r>
      <w:r w:rsidR="00991923">
        <w:rPr>
          <w:rFonts w:ascii="Calibri" w:hAnsi="Calibri"/>
          <w:snapToGrid w:val="0"/>
          <w:sz w:val="22"/>
          <w:szCs w:val="22"/>
        </w:rPr>
        <w:t> výkresovou dokumentací a Rozhodnutím č. 9/2019</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5C263536" w14:textId="77777777" w:rsidR="000949A3" w:rsidRP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 zákona náleží k vyřízení objednateli. Zejména se zhotovitel zavazuje zajistit konzultace prováděných prací s pověřeným pracovníkem Národního památkového ústavu před jejich provedením.</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77777777"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r w:rsidRPr="00D911E9">
        <w:rPr>
          <w:rFonts w:ascii="Calibri" w:hAnsi="Calibri"/>
          <w:sz w:val="22"/>
          <w:szCs w:val="22"/>
        </w:rPr>
        <w:t>a doloží doklady o této likvidaci</w:t>
      </w:r>
      <w:r w:rsidRPr="00C76DDA">
        <w:rPr>
          <w:rFonts w:ascii="Calibri" w:hAnsi="Calibri"/>
          <w:sz w:val="22"/>
          <w:szCs w:val="22"/>
        </w:rPr>
        <w:t>.</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77777777"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14:paraId="67A01A10" w14:textId="77777777" w:rsidR="00257826" w:rsidRDefault="00257826" w:rsidP="00257826">
      <w:pPr>
        <w:spacing w:before="60"/>
        <w:ind w:left="567"/>
        <w:jc w:val="both"/>
        <w:rPr>
          <w:rFonts w:ascii="Calibri" w:hAnsi="Calibri"/>
          <w:snapToGrid w:val="0"/>
          <w:sz w:val="22"/>
          <w:szCs w:val="22"/>
        </w:rPr>
      </w:pP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77777777" w:rsidR="00D911E9" w:rsidRPr="00733361" w:rsidRDefault="00D911E9" w:rsidP="00D911E9">
      <w:pPr>
        <w:pStyle w:val="Odstavecseseznamem"/>
        <w:spacing w:before="60"/>
        <w:ind w:left="567"/>
        <w:contextualSpacing w:val="0"/>
        <w:jc w:val="both"/>
        <w:rPr>
          <w:rFonts w:ascii="Calibri" w:hAnsi="Calibri" w:cs="Calibri"/>
          <w:b/>
          <w:sz w:val="22"/>
          <w:szCs w:val="22"/>
        </w:rPr>
      </w:pP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77777777"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822851" w:rsidRPr="00D002E0">
        <w:rPr>
          <w:rFonts w:ascii="Calibri" w:hAnsi="Calibri" w:cs="Calibri"/>
          <w:sz w:val="22"/>
          <w:szCs w:val="22"/>
        </w:rPr>
        <w:t>48</w:t>
      </w:r>
      <w:r w:rsidR="00195D6A" w:rsidRPr="00257826">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0D1F9CCF" w14:textId="77777777"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822851">
        <w:rPr>
          <w:rFonts w:ascii="Calibri" w:hAnsi="Calibri" w:cs="Calibri"/>
          <w:sz w:val="22"/>
          <w:szCs w:val="22"/>
        </w:rPr>
        <w:t>48</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59701FD2" w14:textId="77777777"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77777777"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047C2964" w14:textId="77777777"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7777777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  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77777777" w:rsidR="00E918E6" w:rsidRPr="007F7D97"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14:paraId="07C098CC" w14:textId="77777777"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7777777"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1D82B691" w14:textId="77777777"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14:paraId="3AA294B2" w14:textId="77777777"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77777777"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14:paraId="50618A08" w14:textId="77777777" w:rsidR="00E50FFF" w:rsidRDefault="00E50FFF" w:rsidP="00E50FFF">
      <w:pPr>
        <w:pStyle w:val="Zkladntext"/>
        <w:spacing w:before="120"/>
        <w:outlineLvl w:val="0"/>
        <w:rPr>
          <w:rFonts w:ascii="Calibri" w:hAnsi="Calibri"/>
          <w:snapToGrid w:val="0"/>
          <w:szCs w:val="22"/>
        </w:rPr>
      </w:pP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196C539B" w14:textId="77777777"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14:paraId="6BD02471" w14:textId="77777777" w:rsidR="00E50FFF" w:rsidRPr="00D82D9B" w:rsidRDefault="00E50FFF" w:rsidP="00E50FFF">
      <w:pPr>
        <w:spacing w:before="60"/>
        <w:ind w:left="567"/>
        <w:jc w:val="both"/>
        <w:rPr>
          <w:rFonts w:ascii="Calibri" w:hAnsi="Calibri" w:cs="Calibri"/>
          <w:sz w:val="22"/>
          <w:szCs w:val="22"/>
        </w:rPr>
      </w:pPr>
    </w:p>
    <w:p w14:paraId="2B12F9AA" w14:textId="77777777" w:rsidR="007D21DF" w:rsidRPr="002E4055" w:rsidRDefault="007D21DF" w:rsidP="00CF3200">
      <w:pPr>
        <w:rPr>
          <w:rFonts w:ascii="Calibri" w:hAnsi="Calibri" w:cs="Calibri"/>
          <w:sz w:val="22"/>
          <w:szCs w:val="22"/>
        </w:rPr>
      </w:pPr>
    </w:p>
    <w:tbl>
      <w:tblPr>
        <w:tblW w:w="8137" w:type="dxa"/>
        <w:tblLook w:val="04A0" w:firstRow="1" w:lastRow="0" w:firstColumn="1" w:lastColumn="0" w:noHBand="0" w:noVBand="1"/>
      </w:tblPr>
      <w:tblGrid>
        <w:gridCol w:w="3227"/>
        <w:gridCol w:w="1451"/>
        <w:gridCol w:w="3261"/>
        <w:gridCol w:w="198"/>
      </w:tblGrid>
      <w:tr w:rsidR="009767B6" w:rsidRPr="002E4055" w14:paraId="44A9BEBC" w14:textId="77777777" w:rsidTr="00204E38">
        <w:trPr>
          <w:gridAfter w:val="1"/>
          <w:wAfter w:w="198" w:type="dxa"/>
        </w:trPr>
        <w:tc>
          <w:tcPr>
            <w:tcW w:w="3227" w:type="dxa"/>
          </w:tcPr>
          <w:p w14:paraId="1200B6EB" w14:textId="47C1F61F"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E8035B">
              <w:rPr>
                <w:rFonts w:ascii="Calibri" w:hAnsi="Calibri" w:cs="Tahoma"/>
                <w:sz w:val="22"/>
                <w:szCs w:val="22"/>
              </w:rPr>
              <w:t>23. 4. 2019</w:t>
            </w:r>
          </w:p>
        </w:tc>
        <w:tc>
          <w:tcPr>
            <w:tcW w:w="14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5B363E45" w:rsidR="009767B6" w:rsidRPr="002E4055" w:rsidRDefault="00E50FFF" w:rsidP="00204E38">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732ADE">
              <w:rPr>
                <w:rFonts w:ascii="Calibri" w:hAnsi="Calibri" w:cs="Tahoma"/>
                <w:sz w:val="22"/>
                <w:szCs w:val="22"/>
              </w:rPr>
              <w:t xml:space="preserve"> </w:t>
            </w:r>
            <w:r w:rsidR="00204E38">
              <w:rPr>
                <w:rFonts w:ascii="Calibri" w:hAnsi="Calibri" w:cs="Tahoma"/>
                <w:sz w:val="22"/>
                <w:szCs w:val="22"/>
              </w:rPr>
              <w:t>Jemnici</w:t>
            </w:r>
            <w:r w:rsidR="00732ADE">
              <w:rPr>
                <w:rFonts w:ascii="Calibri" w:hAnsi="Calibri" w:cs="Tahoma"/>
                <w:sz w:val="22"/>
                <w:szCs w:val="22"/>
              </w:rPr>
              <w:t xml:space="preserve">        </w:t>
            </w:r>
            <w:r w:rsidR="00C76DDA">
              <w:rPr>
                <w:rFonts w:ascii="Calibri" w:hAnsi="Calibri" w:cs="Tahoma"/>
                <w:sz w:val="22"/>
                <w:szCs w:val="22"/>
              </w:rPr>
              <w:t>dne</w:t>
            </w:r>
            <w:r w:rsidR="007000AA">
              <w:rPr>
                <w:rFonts w:ascii="Calibri" w:hAnsi="Calibri" w:cs="Tahoma"/>
                <w:sz w:val="22"/>
                <w:szCs w:val="22"/>
              </w:rPr>
              <w:t xml:space="preserve"> </w:t>
            </w:r>
            <w:r w:rsidR="00E8035B">
              <w:rPr>
                <w:rFonts w:ascii="Calibri" w:hAnsi="Calibri" w:cs="Tahoma"/>
                <w:sz w:val="22"/>
                <w:szCs w:val="22"/>
              </w:rPr>
              <w:t>17. 4. 2019</w:t>
            </w:r>
          </w:p>
        </w:tc>
      </w:tr>
      <w:tr w:rsidR="009767B6" w:rsidRPr="002E4055" w14:paraId="38572C5C" w14:textId="77777777" w:rsidTr="00204E38">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14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204E38">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14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25C81361" w14:textId="3E4887B4" w:rsidR="007000AA" w:rsidRPr="00204E38" w:rsidRDefault="00204E38" w:rsidP="00204E38">
            <w:pPr>
              <w:jc w:val="center"/>
              <w:rPr>
                <w:rFonts w:ascii="Calibri" w:hAnsi="Calibri" w:cs="Tahoma"/>
                <w:sz w:val="22"/>
                <w:szCs w:val="22"/>
              </w:rPr>
            </w:pPr>
            <w:r w:rsidRPr="00204E38">
              <w:rPr>
                <w:rFonts w:ascii="Calibri" w:hAnsi="Calibri" w:cs="Tahoma"/>
                <w:sz w:val="22"/>
                <w:szCs w:val="22"/>
              </w:rPr>
              <w:t xml:space="preserve">Jaromír Vyhnálek </w:t>
            </w:r>
          </w:p>
        </w:tc>
      </w:tr>
    </w:tbl>
    <w:p w14:paraId="0CA58E8F" w14:textId="77777777" w:rsidR="009767B6" w:rsidRPr="002E4055" w:rsidRDefault="009767B6" w:rsidP="000D62AE">
      <w:pPr>
        <w:rPr>
          <w:rFonts w:ascii="Calibri" w:hAnsi="Calibri" w:cs="Calibri"/>
          <w:sz w:val="22"/>
          <w:szCs w:val="22"/>
        </w:rPr>
      </w:pPr>
    </w:p>
    <w:sectPr w:rsidR="009767B6" w:rsidRPr="002E4055" w:rsidSect="00F47F5F">
      <w:footerReference w:type="default" r:id="rId8"/>
      <w:pgSz w:w="11906" w:h="16838"/>
      <w:pgMar w:top="1361"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A30D" w14:textId="77777777" w:rsidR="003D1952" w:rsidRDefault="003D1952" w:rsidP="001131D7">
      <w:r>
        <w:separator/>
      </w:r>
    </w:p>
  </w:endnote>
  <w:endnote w:type="continuationSeparator" w:id="0">
    <w:p w14:paraId="67BCD4FB" w14:textId="77777777" w:rsidR="003D1952" w:rsidRDefault="003D1952"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6C8FE4DE"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3D1952">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FC3E" w14:textId="77777777" w:rsidR="003D1952" w:rsidRDefault="003D1952" w:rsidP="001131D7">
      <w:r>
        <w:separator/>
      </w:r>
    </w:p>
  </w:footnote>
  <w:footnote w:type="continuationSeparator" w:id="0">
    <w:p w14:paraId="783C2249" w14:textId="77777777" w:rsidR="003D1952" w:rsidRDefault="003D1952"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3"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4"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11"/>
  </w:num>
  <w:num w:numId="3">
    <w:abstractNumId w:val="14"/>
  </w:num>
  <w:num w:numId="4">
    <w:abstractNumId w:val="8"/>
  </w:num>
  <w:num w:numId="5">
    <w:abstractNumId w:val="2"/>
  </w:num>
  <w:num w:numId="6">
    <w:abstractNumId w:val="26"/>
  </w:num>
  <w:num w:numId="7">
    <w:abstractNumId w:val="24"/>
  </w:num>
  <w:num w:numId="8">
    <w:abstractNumId w:val="7"/>
  </w:num>
  <w:num w:numId="9">
    <w:abstractNumId w:val="21"/>
  </w:num>
  <w:num w:numId="10">
    <w:abstractNumId w:val="25"/>
  </w:num>
  <w:num w:numId="11">
    <w:abstractNumId w:val="22"/>
  </w:num>
  <w:num w:numId="12">
    <w:abstractNumId w:val="13"/>
  </w:num>
  <w:num w:numId="13">
    <w:abstractNumId w:val="1"/>
  </w:num>
  <w:num w:numId="14">
    <w:abstractNumId w:val="18"/>
  </w:num>
  <w:num w:numId="15">
    <w:abstractNumId w:val="16"/>
  </w:num>
  <w:num w:numId="16">
    <w:abstractNumId w:val="17"/>
  </w:num>
  <w:num w:numId="17">
    <w:abstractNumId w:val="19"/>
  </w:num>
  <w:num w:numId="18">
    <w:abstractNumId w:val="15"/>
  </w:num>
  <w:num w:numId="19">
    <w:abstractNumId w:val="23"/>
  </w:num>
  <w:num w:numId="20">
    <w:abstractNumId w:val="4"/>
  </w:num>
  <w:num w:numId="21">
    <w:abstractNumId w:val="5"/>
  </w:num>
  <w:num w:numId="22">
    <w:abstractNumId w:val="3"/>
  </w:num>
  <w:num w:numId="23">
    <w:abstractNumId w:val="0"/>
  </w:num>
  <w:num w:numId="24">
    <w:abstractNumId w:val="6"/>
  </w:num>
  <w:num w:numId="25">
    <w:abstractNumId w:val="20"/>
  </w:num>
  <w:num w:numId="26">
    <w:abstractNumId w:val="12"/>
  </w:num>
  <w:num w:numId="2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4854"/>
    <w:rsid w:val="00050576"/>
    <w:rsid w:val="00054F8B"/>
    <w:rsid w:val="00055689"/>
    <w:rsid w:val="000677F2"/>
    <w:rsid w:val="0007743E"/>
    <w:rsid w:val="0009476F"/>
    <w:rsid w:val="000949A3"/>
    <w:rsid w:val="000B3E2C"/>
    <w:rsid w:val="000C695D"/>
    <w:rsid w:val="000D62AE"/>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3E1C"/>
    <w:rsid w:val="00195D6A"/>
    <w:rsid w:val="001A6133"/>
    <w:rsid w:val="001A7F71"/>
    <w:rsid w:val="001B1301"/>
    <w:rsid w:val="001B5E47"/>
    <w:rsid w:val="001D198C"/>
    <w:rsid w:val="001E6755"/>
    <w:rsid w:val="002037D8"/>
    <w:rsid w:val="002047D2"/>
    <w:rsid w:val="00204E38"/>
    <w:rsid w:val="00206423"/>
    <w:rsid w:val="00206F78"/>
    <w:rsid w:val="00207068"/>
    <w:rsid w:val="00207BF2"/>
    <w:rsid w:val="00212728"/>
    <w:rsid w:val="00215E0F"/>
    <w:rsid w:val="00225856"/>
    <w:rsid w:val="00246B29"/>
    <w:rsid w:val="0025000C"/>
    <w:rsid w:val="00253380"/>
    <w:rsid w:val="00257826"/>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952"/>
    <w:rsid w:val="003D1C40"/>
    <w:rsid w:val="003E4F6D"/>
    <w:rsid w:val="00401120"/>
    <w:rsid w:val="00403270"/>
    <w:rsid w:val="004042E8"/>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9731D"/>
    <w:rsid w:val="006A4216"/>
    <w:rsid w:val="006B450E"/>
    <w:rsid w:val="006C0198"/>
    <w:rsid w:val="006C0787"/>
    <w:rsid w:val="006C1539"/>
    <w:rsid w:val="006C3FE8"/>
    <w:rsid w:val="006D1126"/>
    <w:rsid w:val="006D357C"/>
    <w:rsid w:val="006E3EFD"/>
    <w:rsid w:val="006E7698"/>
    <w:rsid w:val="007000AA"/>
    <w:rsid w:val="00711A38"/>
    <w:rsid w:val="0071446C"/>
    <w:rsid w:val="0071595B"/>
    <w:rsid w:val="00717E6B"/>
    <w:rsid w:val="00721195"/>
    <w:rsid w:val="007264DD"/>
    <w:rsid w:val="00732ADE"/>
    <w:rsid w:val="00733361"/>
    <w:rsid w:val="007376CF"/>
    <w:rsid w:val="00744BD1"/>
    <w:rsid w:val="00747803"/>
    <w:rsid w:val="00752DF2"/>
    <w:rsid w:val="00756E6C"/>
    <w:rsid w:val="00765A24"/>
    <w:rsid w:val="00767335"/>
    <w:rsid w:val="007707F2"/>
    <w:rsid w:val="007719A5"/>
    <w:rsid w:val="00775D8E"/>
    <w:rsid w:val="00781C08"/>
    <w:rsid w:val="007824CC"/>
    <w:rsid w:val="007858EF"/>
    <w:rsid w:val="00786A84"/>
    <w:rsid w:val="00794102"/>
    <w:rsid w:val="007A2CB1"/>
    <w:rsid w:val="007B76F8"/>
    <w:rsid w:val="007D21DF"/>
    <w:rsid w:val="007D2EFD"/>
    <w:rsid w:val="007D779C"/>
    <w:rsid w:val="007F4E49"/>
    <w:rsid w:val="007F7D97"/>
    <w:rsid w:val="00807759"/>
    <w:rsid w:val="00814BFE"/>
    <w:rsid w:val="00820AD2"/>
    <w:rsid w:val="008211DB"/>
    <w:rsid w:val="00822851"/>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68C7"/>
    <w:rsid w:val="00953B4C"/>
    <w:rsid w:val="00954789"/>
    <w:rsid w:val="00967C08"/>
    <w:rsid w:val="0097019B"/>
    <w:rsid w:val="00972A8B"/>
    <w:rsid w:val="009767B6"/>
    <w:rsid w:val="009802FC"/>
    <w:rsid w:val="00987A58"/>
    <w:rsid w:val="00991923"/>
    <w:rsid w:val="009B269D"/>
    <w:rsid w:val="009B5191"/>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A4D29"/>
    <w:rsid w:val="00AA713B"/>
    <w:rsid w:val="00AB3C05"/>
    <w:rsid w:val="00AB4420"/>
    <w:rsid w:val="00AB518F"/>
    <w:rsid w:val="00AC3E7C"/>
    <w:rsid w:val="00AC4712"/>
    <w:rsid w:val="00AF46D6"/>
    <w:rsid w:val="00B00ED7"/>
    <w:rsid w:val="00B01BA7"/>
    <w:rsid w:val="00B07EA6"/>
    <w:rsid w:val="00B138DE"/>
    <w:rsid w:val="00B167AB"/>
    <w:rsid w:val="00B26B3A"/>
    <w:rsid w:val="00B304FE"/>
    <w:rsid w:val="00B36748"/>
    <w:rsid w:val="00B62FDD"/>
    <w:rsid w:val="00B6535C"/>
    <w:rsid w:val="00B8651B"/>
    <w:rsid w:val="00B8728D"/>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709D"/>
    <w:rsid w:val="00C334E4"/>
    <w:rsid w:val="00C36C02"/>
    <w:rsid w:val="00C6759E"/>
    <w:rsid w:val="00C76DDA"/>
    <w:rsid w:val="00C87296"/>
    <w:rsid w:val="00C93D19"/>
    <w:rsid w:val="00CB5458"/>
    <w:rsid w:val="00CC07E3"/>
    <w:rsid w:val="00CC14D2"/>
    <w:rsid w:val="00CC2B1F"/>
    <w:rsid w:val="00CC47EC"/>
    <w:rsid w:val="00CD027D"/>
    <w:rsid w:val="00CD50BE"/>
    <w:rsid w:val="00CD7ABD"/>
    <w:rsid w:val="00CE1C2D"/>
    <w:rsid w:val="00CE35CA"/>
    <w:rsid w:val="00CE473C"/>
    <w:rsid w:val="00CE64CF"/>
    <w:rsid w:val="00CF3200"/>
    <w:rsid w:val="00CF5885"/>
    <w:rsid w:val="00D002E0"/>
    <w:rsid w:val="00D02488"/>
    <w:rsid w:val="00D06FB3"/>
    <w:rsid w:val="00D07B17"/>
    <w:rsid w:val="00D25DC3"/>
    <w:rsid w:val="00D41A6D"/>
    <w:rsid w:val="00D478E7"/>
    <w:rsid w:val="00D54536"/>
    <w:rsid w:val="00D642C0"/>
    <w:rsid w:val="00D65DCF"/>
    <w:rsid w:val="00D703E3"/>
    <w:rsid w:val="00D82D9B"/>
    <w:rsid w:val="00D85FE2"/>
    <w:rsid w:val="00D911E9"/>
    <w:rsid w:val="00D930EB"/>
    <w:rsid w:val="00DA37B7"/>
    <w:rsid w:val="00DA3914"/>
    <w:rsid w:val="00DA554B"/>
    <w:rsid w:val="00DB08E4"/>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4E40"/>
    <w:rsid w:val="00E772AF"/>
    <w:rsid w:val="00E8035B"/>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47F5F"/>
    <w:rsid w:val="00F52E23"/>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1"/>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5E9251-2855-480D-9C1A-636B2DE9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2363</Words>
  <Characters>13944</Characters>
  <Application>Microsoft Office Word</Application>
  <DocSecurity>0</DocSecurity>
  <Lines>116</Lines>
  <Paragraphs>32</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Smlouva o dílo č</vt:lpstr>
      <vt:lpstr>        Termín ukončení prací a předání díla:          do 29. 5. 2019.</vt:lpstr>
      <vt:lpstr>Místo plnění</vt:lpstr>
      <vt:lpstr/>
      <vt:lpstr>Příloha:</vt:lpstr>
      <vt:lpstr>Soupis stavebních prací, dodávek a služeb s výkazem výměr</vt:lpstr>
    </vt:vector>
  </TitlesOfParts>
  <Company>Jihomoravské Muzeum Znojmo</Company>
  <LinksUpToDate>false</LinksUpToDate>
  <CharactersWithSpaces>16275</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3</cp:revision>
  <cp:lastPrinted>2017-03-07T09:15:00Z</cp:lastPrinted>
  <dcterms:created xsi:type="dcterms:W3CDTF">2019-04-23T08:20:00Z</dcterms:created>
  <dcterms:modified xsi:type="dcterms:W3CDTF">2019-04-23T08:31:00Z</dcterms:modified>
</cp:coreProperties>
</file>