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409CABDE" w14:textId="77777777" w:rsidTr="00BE518B">
        <w:trPr>
          <w:trHeight w:val="567"/>
        </w:trPr>
        <w:tc>
          <w:tcPr>
            <w:tcW w:w="7513" w:type="dxa"/>
          </w:tcPr>
          <w:p w14:paraId="26630AA9" w14:textId="623FE3B7"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bookmarkStart w:id="1" w:name="_GoBack"/>
            <w:bookmarkEnd w:id="1"/>
            <w:r>
              <w:rPr>
                <w:sz w:val="40"/>
                <w:lang w:val="en-GB"/>
              </w:rPr>
              <w:t>Pojistná s</w:t>
            </w:r>
            <w:r w:rsidR="003C794F" w:rsidRPr="003C794F">
              <w:rPr>
                <w:sz w:val="40"/>
                <w:lang w:val="en-GB"/>
              </w:rPr>
              <w:t>mlouv</w:t>
            </w:r>
            <w:r w:rsidR="003C794F" w:rsidRPr="003C794F">
              <w:rPr>
                <w:sz w:val="40"/>
              </w:rPr>
              <w:t>a</w:t>
            </w:r>
          </w:p>
        </w:tc>
      </w:tr>
      <w:tr w:rsidR="00BE518B" w:rsidRPr="008A74AA" w14:paraId="4DE35297" w14:textId="77777777" w:rsidTr="00BE518B">
        <w:trPr>
          <w:trHeight w:hRule="exact" w:val="369"/>
        </w:trPr>
        <w:tc>
          <w:tcPr>
            <w:tcW w:w="7513" w:type="dxa"/>
          </w:tcPr>
          <w:p w14:paraId="557A3F82" w14:textId="77777777"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14:paraId="70F483B5" w14:textId="77777777" w:rsidTr="00BE518B">
        <w:trPr>
          <w:trHeight w:val="454"/>
        </w:trPr>
        <w:tc>
          <w:tcPr>
            <w:tcW w:w="7513" w:type="dxa"/>
          </w:tcPr>
          <w:p w14:paraId="24E44811" w14:textId="2E900E7F" w:rsidR="00F62E7A" w:rsidRPr="00D063AF" w:rsidRDefault="00F62E7A" w:rsidP="00F62E7A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 xml:space="preserve">íslo: </w:t>
            </w:r>
            <w:r w:rsidR="00CD0EDE">
              <w:rPr>
                <w:lang w:val="cs-CZ"/>
              </w:rPr>
              <w:t xml:space="preserve"> </w:t>
            </w:r>
          </w:p>
          <w:p w14:paraId="64AD8C84" w14:textId="6ED50F18" w:rsidR="00BE518B" w:rsidRPr="008A74AA" w:rsidRDefault="006321FA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- Pojištění odpovědnosti m</w:t>
            </w:r>
            <w:r w:rsidR="00F528E4" w:rsidRPr="00F528E4">
              <w:rPr>
                <w:lang w:val="cs-CZ"/>
              </w:rPr>
              <w:t>anagement</w:t>
            </w:r>
            <w:r>
              <w:rPr>
                <w:lang w:val="cs-CZ"/>
              </w:rPr>
              <w:t>u</w:t>
            </w:r>
          </w:p>
        </w:tc>
      </w:tr>
      <w:tr w:rsidR="00BE518B" w:rsidRPr="008A74AA" w14:paraId="5FD9DDB2" w14:textId="77777777" w:rsidTr="00BE518B">
        <w:trPr>
          <w:trHeight w:hRule="exact" w:val="510"/>
        </w:trPr>
        <w:tc>
          <w:tcPr>
            <w:tcW w:w="7513" w:type="dxa"/>
          </w:tcPr>
          <w:p w14:paraId="6F6DBC33" w14:textId="77777777" w:rsidR="00BE518B" w:rsidRPr="008A74AA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14:paraId="441AE887" w14:textId="2C8D6B86"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2" w:name="_Toc385428798"/>
      <w:bookmarkStart w:id="3" w:name="_Toc454483000"/>
      <w:bookmarkEnd w:id="0"/>
      <w:r w:rsidRPr="001A6D52">
        <w:rPr>
          <w:bCs/>
          <w:lang w:val="en-GB"/>
        </w:rPr>
        <w:t>Pojistitel</w:t>
      </w:r>
      <w:bookmarkEnd w:id="2"/>
      <w:bookmarkEnd w:id="3"/>
      <w:r>
        <w:rPr>
          <w:bCs/>
          <w:lang w:val="en-GB"/>
        </w:rPr>
        <w:t>:</w:t>
      </w:r>
    </w:p>
    <w:p w14:paraId="32731ACA" w14:textId="36FA0517"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606E94">
        <w:rPr>
          <w:b/>
          <w:bCs/>
          <w:lang w:val="en-GB"/>
        </w:rPr>
        <w:t>SE</w:t>
      </w:r>
      <w:r w:rsidR="00713E14">
        <w:rPr>
          <w:b/>
          <w:bCs/>
          <w:lang w:val="en-GB"/>
        </w:rPr>
        <w:t>,</w:t>
      </w:r>
    </w:p>
    <w:p w14:paraId="6A231A49" w14:textId="77777777" w:rsidR="00275E98" w:rsidRDefault="00275E98" w:rsidP="00275E98">
      <w:pPr>
        <w:jc w:val="both"/>
        <w:rPr>
          <w:bCs/>
          <w:lang w:val="en-GB"/>
        </w:rPr>
      </w:pPr>
      <w:r>
        <w:rPr>
          <w:bCs/>
          <w:lang w:val="en-GB"/>
        </w:rPr>
        <w:t>se sídlem La Tour Carpe Diem, 31 Place des Corolles, Esplanade Nord, 92400 Courbevoie, France</w:t>
      </w:r>
      <w:r w:rsidRPr="000114A4">
        <w:rPr>
          <w:bCs/>
          <w:lang w:val="en-GB"/>
        </w:rPr>
        <w:t xml:space="preserve">, provozující činnost v České republice prostřednictvím odštěpného závodu zahraniční právnické osoby </w:t>
      </w:r>
      <w:r>
        <w:rPr>
          <w:b/>
          <w:bCs/>
          <w:lang w:val="en-GB"/>
        </w:rPr>
        <w:t>Chubb European Group SE</w:t>
      </w:r>
      <w:r w:rsidRPr="000114A4">
        <w:rPr>
          <w:b/>
          <w:bCs/>
          <w:lang w:val="en-GB"/>
        </w:rPr>
        <w:t>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14:paraId="3246D71C" w14:textId="1A7C64F4" w:rsidR="00F528E4" w:rsidRPr="007B11B7" w:rsidRDefault="00F528E4" w:rsidP="006321FA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szCs w:val="18"/>
          <w:lang w:val="cs-CZ" w:eastAsia="cs-CZ"/>
        </w:rPr>
        <w:t xml:space="preserve">zastoupen Ing. </w:t>
      </w:r>
      <w:r w:rsidR="0064279F">
        <w:rPr>
          <w:rFonts w:ascii="Georgia" w:hAnsi="Georgia"/>
          <w:szCs w:val="18"/>
          <w:lang w:val="cs-CZ" w:eastAsia="cs-CZ"/>
        </w:rPr>
        <w:t>Michaelou Součkovou</w:t>
      </w:r>
      <w:r w:rsidRPr="007B11B7">
        <w:rPr>
          <w:rFonts w:ascii="Georgia" w:hAnsi="Georgia"/>
          <w:szCs w:val="18"/>
          <w:lang w:val="cs-CZ" w:eastAsia="cs-CZ"/>
        </w:rPr>
        <w:t xml:space="preserve">, </w:t>
      </w:r>
      <w:r w:rsidR="002D0CAD">
        <w:rPr>
          <w:bCs/>
          <w:szCs w:val="18"/>
        </w:rPr>
        <w:t>pověřen</w:t>
      </w:r>
      <w:r w:rsidR="0064279F">
        <w:rPr>
          <w:bCs/>
          <w:szCs w:val="18"/>
        </w:rPr>
        <w:t>ou</w:t>
      </w:r>
      <w:r w:rsidR="002D0CAD">
        <w:rPr>
          <w:bCs/>
          <w:szCs w:val="18"/>
        </w:rPr>
        <w:t xml:space="preserve"> uzavřením pojistné smlouvy</w:t>
      </w:r>
    </w:p>
    <w:p w14:paraId="57576E57" w14:textId="62B71D7E" w:rsidR="00C65895" w:rsidRPr="00F97FAD" w:rsidRDefault="006D4513" w:rsidP="006321FA">
      <w:pPr>
        <w:jc w:val="both"/>
        <w:rPr>
          <w:lang w:val="de-DE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14:paraId="1575A5F6" w14:textId="58229B35"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4" w:name="_Toc453249838"/>
      <w:r w:rsidRPr="00F97FAD">
        <w:rPr>
          <w:bCs/>
          <w:lang w:val="de-DE"/>
        </w:rPr>
        <w:t>Pojistník</w:t>
      </w:r>
      <w:bookmarkEnd w:id="4"/>
      <w:r w:rsidRPr="00F97FAD">
        <w:rPr>
          <w:lang w:val="de-DE"/>
        </w:rPr>
        <w:t>:</w:t>
      </w:r>
    </w:p>
    <w:p w14:paraId="3B687ACA" w14:textId="77777777" w:rsidR="00CD0EDE" w:rsidRDefault="00CD0EDE" w:rsidP="00CD0EDE">
      <w:pPr>
        <w:spacing w:after="0"/>
        <w:jc w:val="both"/>
        <w:rPr>
          <w:b/>
          <w:lang w:val="cs-CZ"/>
        </w:rPr>
      </w:pPr>
      <w:r w:rsidRPr="00CF5FBF">
        <w:rPr>
          <w:b/>
          <w:lang w:val="cs-CZ"/>
        </w:rPr>
        <w:t xml:space="preserve">Astronomický ústav AV ČR, v.v.i. </w:t>
      </w:r>
    </w:p>
    <w:p w14:paraId="323B71E6" w14:textId="77777777" w:rsidR="00CD0EDE" w:rsidRDefault="00CD0EDE" w:rsidP="00CD0EDE">
      <w:pPr>
        <w:jc w:val="both"/>
        <w:rPr>
          <w:rFonts w:asciiTheme="majorHAnsi" w:hAnsiTheme="majorHAnsi"/>
          <w:szCs w:val="18"/>
          <w:lang w:val="cs-CZ"/>
        </w:rPr>
      </w:pPr>
      <w:r w:rsidRPr="00D063AF">
        <w:rPr>
          <w:lang w:val="cs-CZ"/>
        </w:rPr>
        <w:t xml:space="preserve">se sídlem </w:t>
      </w:r>
      <w:r>
        <w:rPr>
          <w:lang w:val="cs-CZ"/>
        </w:rPr>
        <w:t>Fričova 298</w:t>
      </w:r>
      <w:r w:rsidRPr="00D063AF">
        <w:rPr>
          <w:lang w:val="cs-CZ"/>
        </w:rPr>
        <w:t>, PS</w:t>
      </w:r>
      <w:r w:rsidRPr="00D063AF">
        <w:rPr>
          <w:rFonts w:cs="Myriad Hebrew Regular"/>
          <w:lang w:val="cs-CZ"/>
        </w:rPr>
        <w:t>Č</w:t>
      </w:r>
      <w:r w:rsidRPr="00D063AF">
        <w:rPr>
          <w:lang w:val="cs-CZ"/>
        </w:rPr>
        <w:t xml:space="preserve"> </w:t>
      </w:r>
      <w:r>
        <w:rPr>
          <w:lang w:val="cs-CZ"/>
        </w:rPr>
        <w:t>251 65</w:t>
      </w:r>
      <w:r w:rsidRPr="00D063AF">
        <w:rPr>
          <w:lang w:val="cs-CZ"/>
        </w:rPr>
        <w:t>, I</w:t>
      </w:r>
      <w:r w:rsidRPr="00D063AF">
        <w:rPr>
          <w:rFonts w:cs="Myriad Hebrew Regular"/>
          <w:lang w:val="cs-CZ"/>
        </w:rPr>
        <w:t>Č</w:t>
      </w:r>
      <w:r w:rsidRPr="00D063AF">
        <w:rPr>
          <w:lang w:val="cs-CZ"/>
        </w:rPr>
        <w:t xml:space="preserve"> </w:t>
      </w:r>
      <w:r>
        <w:rPr>
          <w:lang w:val="cs-CZ"/>
        </w:rPr>
        <w:t>679 85 815</w:t>
      </w:r>
      <w:r w:rsidRPr="00D063AF">
        <w:rPr>
          <w:lang w:val="cs-CZ"/>
        </w:rPr>
        <w:t xml:space="preserve">, </w:t>
      </w:r>
      <w:r>
        <w:rPr>
          <w:rFonts w:asciiTheme="majorHAnsi" w:hAnsiTheme="majorHAnsi"/>
          <w:szCs w:val="18"/>
          <w:lang w:val="cs-CZ"/>
        </w:rPr>
        <w:t>zapsaná v resjtříku veřejných výzkumných institucí ke dni 1.1.2017</w:t>
      </w:r>
    </w:p>
    <w:p w14:paraId="3B2BFCB7" w14:textId="77777777" w:rsidR="00A11DDF" w:rsidRPr="007B11B7" w:rsidRDefault="00A11DDF" w:rsidP="006321FA">
      <w:pPr>
        <w:jc w:val="both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</w:p>
    <w:p w14:paraId="6590E703" w14:textId="77777777" w:rsidR="00A11DDF" w:rsidRPr="007B11B7" w:rsidRDefault="00A11DDF" w:rsidP="00A11DDF">
      <w:pPr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2C57F887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14:paraId="266C58C8" w14:textId="16F5330B" w:rsidR="00FE3E45" w:rsidRPr="00FE3E45" w:rsidRDefault="00A46BE4" w:rsidP="00FE3E45">
      <w:pPr>
        <w:pStyle w:val="ChubbBodyText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14:paraId="2145A574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14:paraId="5D74CB89" w14:textId="77777777" w:rsidR="00CD0EDE" w:rsidRPr="00F97FAD" w:rsidRDefault="00A46BE4" w:rsidP="00CD0EDE">
      <w:pPr>
        <w:jc w:val="both"/>
        <w:rPr>
          <w:lang w:val="cs-CZ"/>
        </w:rPr>
      </w:pPr>
      <w:r w:rsidRPr="001B3E1C">
        <w:rPr>
          <w:lang w:val="cs-CZ"/>
        </w:rPr>
        <w:t xml:space="preserve">Pojištění je sjednáno prostřednictvím a na základě informací poskytnutých pojišťovacím </w:t>
      </w:r>
      <w:r>
        <w:rPr>
          <w:lang w:val="cs-CZ"/>
        </w:rPr>
        <w:t>zprostředkovatelem</w:t>
      </w:r>
      <w:r w:rsidRPr="001B3E1C">
        <w:rPr>
          <w:lang w:val="cs-CZ"/>
        </w:rPr>
        <w:t xml:space="preserve"> </w:t>
      </w:r>
      <w:r w:rsidR="00CD0EDE">
        <w:rPr>
          <w:b/>
        </w:rPr>
        <w:t>MARSH, s.r.o.</w:t>
      </w:r>
      <w:r w:rsidR="00CD0EDE">
        <w:t>,</w:t>
      </w:r>
      <w:r w:rsidR="00CD0EDE">
        <w:rPr>
          <w:lang w:val="cs-CZ"/>
        </w:rPr>
        <w:t xml:space="preserve"> se sídlem Praha 3, Vinohradská 2828/151, Žižkov,                       PSČ 130 00, IČ 45306541, zapsaná v obchodním rejstříku vedeném  Městským soudem v Praze, oddíl C, vložka 7847.</w:t>
      </w:r>
    </w:p>
    <w:p w14:paraId="741B92FA" w14:textId="201840A5" w:rsidR="00480DDE" w:rsidRPr="00F97FAD" w:rsidRDefault="00480DDE" w:rsidP="00CD0EDE">
      <w:pPr>
        <w:jc w:val="both"/>
        <w:rPr>
          <w:lang w:val="cs-CZ"/>
        </w:rPr>
      </w:pPr>
    </w:p>
    <w:p w14:paraId="60E275EE" w14:textId="77777777" w:rsidR="000E6C82" w:rsidRPr="00F97FAD" w:rsidRDefault="000E6C82" w:rsidP="00960729">
      <w:pPr>
        <w:rPr>
          <w:lang w:val="cs-CZ"/>
        </w:rPr>
        <w:sectPr w:rsidR="000E6C82" w:rsidRPr="00F97FAD" w:rsidSect="00E03EBE">
          <w:headerReference w:type="default" r:id="rId8"/>
          <w:footerReference w:type="default" r:id="rId9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0"/>
        <w:gridCol w:w="2268"/>
        <w:gridCol w:w="33"/>
        <w:gridCol w:w="442"/>
        <w:gridCol w:w="1507"/>
        <w:gridCol w:w="1278"/>
        <w:gridCol w:w="2343"/>
        <w:gridCol w:w="1590"/>
      </w:tblGrid>
      <w:tr w:rsidR="00FE3E45" w:rsidRPr="007B11B7" w14:paraId="118860F9" w14:textId="77777777" w:rsidTr="00B52B34">
        <w:tc>
          <w:tcPr>
            <w:tcW w:w="461" w:type="pct"/>
          </w:tcPr>
          <w:p w14:paraId="50810F1E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1.</w:t>
            </w:r>
          </w:p>
        </w:tc>
        <w:tc>
          <w:tcPr>
            <w:tcW w:w="1104" w:type="pct"/>
            <w:gridSpan w:val="2"/>
          </w:tcPr>
          <w:p w14:paraId="022DE49E" w14:textId="77777777" w:rsidR="00FE3E45" w:rsidRPr="007B11B7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14:paraId="35A83866" w14:textId="1A905923" w:rsidR="00FE3E45" w:rsidRPr="007B11B7" w:rsidRDefault="00FE3E45" w:rsidP="00667F8A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fldChar w:fldCharType="begin"/>
            </w:r>
            <w:r w:rsidRPr="007B11B7">
              <w:rPr>
                <w:rFonts w:ascii="Georgia" w:hAnsi="Georgia"/>
                <w:szCs w:val="18"/>
                <w:lang w:val="cs-CZ"/>
              </w:rPr>
              <w:instrText xml:space="preserve"> DOCVARIABLE "end_start" \* MERGEFORMAT </w:instrText>
            </w:r>
            <w:r w:rsidRPr="007B11B7">
              <w:rPr>
                <w:rFonts w:ascii="Georgia" w:hAnsi="Georgia"/>
                <w:szCs w:val="18"/>
                <w:lang w:val="cs-CZ"/>
              </w:rPr>
              <w:fldChar w:fldCharType="end"/>
            </w:r>
            <w:r w:rsidR="00CD0EDE">
              <w:rPr>
                <w:rFonts w:ascii="Georgia" w:hAnsi="Georgia"/>
                <w:szCs w:val="18"/>
                <w:lang w:val="cs-CZ"/>
              </w:rPr>
              <w:t>1.4.2019 – 31.3.2020 s automatickou obnovou dle čl. 3.44 pojistných podmínek</w:t>
            </w:r>
          </w:p>
        </w:tc>
      </w:tr>
      <w:tr w:rsidR="00FE3E45" w:rsidRPr="007B11B7" w14:paraId="2073DF4F" w14:textId="77777777" w:rsidTr="00B52B34">
        <w:tc>
          <w:tcPr>
            <w:tcW w:w="461" w:type="pct"/>
          </w:tcPr>
          <w:p w14:paraId="37FCF89D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7EDA75CC" w14:textId="77777777" w:rsidR="00FE3E45" w:rsidRPr="00B67F79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DE6205A" w14:textId="43AF7868" w:rsidR="00FE3E45" w:rsidRPr="007B11B7" w:rsidRDefault="00CD0EDE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1.1.2007</w:t>
            </w:r>
          </w:p>
        </w:tc>
      </w:tr>
      <w:tr w:rsidR="006321FA" w:rsidRPr="007B11B7" w14:paraId="32F9B8EA" w14:textId="77777777" w:rsidTr="00B52B34">
        <w:tc>
          <w:tcPr>
            <w:tcW w:w="461" w:type="pct"/>
          </w:tcPr>
          <w:p w14:paraId="24B38EE7" w14:textId="77777777" w:rsidR="006321FA" w:rsidRPr="00A244B5" w:rsidRDefault="006321FA" w:rsidP="007E44A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177DFAC4" w14:textId="77777777" w:rsidR="006321FA" w:rsidRPr="007B11B7" w:rsidRDefault="006321FA" w:rsidP="007E44A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5709EDEE" w14:textId="11717ADB" w:rsidR="006321FA" w:rsidRPr="007B11B7" w:rsidRDefault="00CD0EDE" w:rsidP="00D943D2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20.000.000 Kč</w:t>
            </w:r>
          </w:p>
        </w:tc>
      </w:tr>
      <w:tr w:rsidR="006321FA" w:rsidRPr="00F97FAD" w14:paraId="093004A2" w14:textId="77777777" w:rsidTr="00B52B34">
        <w:trPr>
          <w:trHeight w:val="751"/>
        </w:trPr>
        <w:tc>
          <w:tcPr>
            <w:tcW w:w="461" w:type="pct"/>
          </w:tcPr>
          <w:p w14:paraId="3137A4F4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3EBFE41B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29EB3E0" w14:textId="77777777" w:rsidR="006321FA" w:rsidRPr="007B11B7" w:rsidRDefault="006321FA" w:rsidP="007E44A8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7D6790EE" w14:textId="3AF7E128" w:rsidR="006321FA" w:rsidRPr="007B11B7" w:rsidRDefault="006321FA" w:rsidP="007C25AB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="007E2F20"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7C25AB">
              <w:rPr>
                <w:rFonts w:ascii="Georgia" w:hAnsi="Georgia"/>
                <w:szCs w:val="18"/>
                <w:lang w:val="cs-CZ"/>
              </w:rPr>
              <w:t xml:space="preserve">a </w:t>
            </w:r>
            <w:r w:rsidR="007E2F2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C103B8" w:rsidRPr="007B11B7" w14:paraId="4933E390" w14:textId="77777777" w:rsidTr="00B52B34">
        <w:trPr>
          <w:trHeight w:val="751"/>
        </w:trPr>
        <w:tc>
          <w:tcPr>
            <w:tcW w:w="461" w:type="pct"/>
          </w:tcPr>
          <w:p w14:paraId="5D10CB6E" w14:textId="092AC3A6" w:rsidR="00D33052" w:rsidRPr="00A244B5" w:rsidRDefault="00D33052" w:rsidP="003237A3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685912ED" w14:textId="77777777" w:rsidR="00D33052" w:rsidRPr="00B67F79" w:rsidRDefault="00D33052" w:rsidP="003237A3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3C37F161" w14:textId="77777777" w:rsidR="00D33052" w:rsidRPr="00D33052" w:rsidRDefault="00D33052" w:rsidP="00D33052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14:paraId="01743A22" w14:textId="77777777" w:rsidTr="00B52B34">
        <w:trPr>
          <w:trHeight w:val="270"/>
        </w:trPr>
        <w:tc>
          <w:tcPr>
            <w:tcW w:w="461" w:type="pct"/>
          </w:tcPr>
          <w:p w14:paraId="66ADF688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AD7BCD6" w14:textId="65C03FC1" w:rsidR="00D33052" w:rsidRPr="000808EF" w:rsidRDefault="00D33052" w:rsidP="00A7262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</w:t>
            </w:r>
            <w:r w:rsidR="00A33E95" w:rsidRPr="000808EF">
              <w:rPr>
                <w:rFonts w:ascii="Georgia" w:hAnsi="Georgia"/>
                <w:bCs/>
                <w:szCs w:val="18"/>
                <w:lang w:val="cs-CZ"/>
              </w:rPr>
              <w:t>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C103B8" w:rsidRPr="007B11B7" w14:paraId="2AC7091A" w14:textId="77777777" w:rsidTr="00B52B34">
        <w:trPr>
          <w:trHeight w:val="270"/>
        </w:trPr>
        <w:tc>
          <w:tcPr>
            <w:tcW w:w="461" w:type="pct"/>
          </w:tcPr>
          <w:p w14:paraId="62E6DC67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DA24225" w14:textId="77777777" w:rsidR="00D33052" w:rsidRPr="007B11B7" w:rsidRDefault="00D33052" w:rsidP="005D66ED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64D06BDE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uplatněné nebo vedené ve Spojených státech amerických nebo 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ukončené smírem ve Spojených státech amerických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C103B8" w:rsidRPr="007B11B7" w14:paraId="5ABE7122" w14:textId="77777777" w:rsidTr="00B52B34">
        <w:trPr>
          <w:cantSplit/>
          <w:trHeight w:val="270"/>
        </w:trPr>
        <w:tc>
          <w:tcPr>
            <w:tcW w:w="461" w:type="pct"/>
          </w:tcPr>
          <w:p w14:paraId="30B5020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B1BFA13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B556678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4648F2F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za údajné porušení zákona o cenných papírech: Securities Act 1933, o burze: Securities Exchange Act 1934 nebo jakéhokoli jiného federálního zákona nebo zvykového práva:  </w:t>
            </w:r>
          </w:p>
        </w:tc>
        <w:tc>
          <w:tcPr>
            <w:tcW w:w="763" w:type="pct"/>
          </w:tcPr>
          <w:p w14:paraId="779CF05F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7E68251D" w14:textId="77777777" w:rsidTr="00B52B34">
        <w:trPr>
          <w:cantSplit/>
          <w:trHeight w:val="270"/>
        </w:trPr>
        <w:tc>
          <w:tcPr>
            <w:tcW w:w="461" w:type="pct"/>
          </w:tcPr>
          <w:p w14:paraId="570712AC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5642AD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2ECCA2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7B92F446" w14:textId="52858EA0" w:rsidR="00D33052" w:rsidRPr="007B11B7" w:rsidRDefault="00D33052" w:rsidP="00AD7D11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AD7D11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4FB218A4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7B3D5DC1" w14:textId="77777777" w:rsidTr="00B52B34">
        <w:trPr>
          <w:cantSplit/>
          <w:trHeight w:val="270"/>
        </w:trPr>
        <w:tc>
          <w:tcPr>
            <w:tcW w:w="461" w:type="pct"/>
          </w:tcPr>
          <w:p w14:paraId="7C64CC0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1F5457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9770DB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67553E3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ostatní: </w:t>
            </w:r>
          </w:p>
        </w:tc>
        <w:tc>
          <w:tcPr>
            <w:tcW w:w="763" w:type="pct"/>
          </w:tcPr>
          <w:p w14:paraId="4C412BE2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237918CB" w14:textId="77777777" w:rsidTr="00B52B34">
        <w:trPr>
          <w:trHeight w:val="270"/>
        </w:trPr>
        <w:tc>
          <w:tcPr>
            <w:tcW w:w="461" w:type="pct"/>
          </w:tcPr>
          <w:p w14:paraId="7C42C173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8046139" w14:textId="77777777" w:rsidR="00D33052" w:rsidRPr="007B11B7" w:rsidRDefault="00D33052" w:rsidP="005D66ED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4B1298B4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uplatněné v jakémkoli jiném státě než ve Spojených státech amerických:</w:t>
            </w:r>
          </w:p>
        </w:tc>
      </w:tr>
      <w:tr w:rsidR="00C103B8" w:rsidRPr="007B11B7" w14:paraId="61B64D1C" w14:textId="77777777" w:rsidTr="00B52B34">
        <w:trPr>
          <w:cantSplit/>
          <w:trHeight w:val="270"/>
        </w:trPr>
        <w:tc>
          <w:tcPr>
            <w:tcW w:w="461" w:type="pct"/>
          </w:tcPr>
          <w:p w14:paraId="77B8F0B2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CF6CB6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2E6409A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06493C66" w14:textId="0B92365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za údajné porušení jakéhokoli právního předpisu vztahujícího se k cenným papírům</w:t>
            </w:r>
            <w:r w:rsidR="0075057C">
              <w:rPr>
                <w:rFonts w:ascii="Georgia" w:hAnsi="Georgia"/>
                <w:szCs w:val="18"/>
                <w:lang w:val="cs-CZ"/>
              </w:rPr>
              <w:t>: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429ED09F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07758C43" w14:textId="77777777" w:rsidTr="00B52B34">
        <w:trPr>
          <w:cantSplit/>
          <w:trHeight w:val="270"/>
        </w:trPr>
        <w:tc>
          <w:tcPr>
            <w:tcW w:w="461" w:type="pct"/>
          </w:tcPr>
          <w:p w14:paraId="29B913D9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C3B3C28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477F9995" w14:textId="77777777" w:rsidR="00D33052" w:rsidRPr="007B11B7" w:rsidRDefault="00D33052" w:rsidP="005854F8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0533B4CF" w14:textId="68BD7AD2" w:rsidR="00D33052" w:rsidRPr="007B11B7" w:rsidRDefault="00D33052" w:rsidP="00F701C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F701CC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předpisů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2BAC2E36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33BBFA9B" w14:textId="77777777" w:rsidTr="00B52B34">
        <w:trPr>
          <w:cantSplit/>
          <w:trHeight w:val="270"/>
        </w:trPr>
        <w:tc>
          <w:tcPr>
            <w:tcW w:w="461" w:type="pct"/>
          </w:tcPr>
          <w:p w14:paraId="4392941F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949426D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A862F48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48D0B546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ostatní:</w:t>
            </w:r>
          </w:p>
        </w:tc>
        <w:tc>
          <w:tcPr>
            <w:tcW w:w="763" w:type="pct"/>
          </w:tcPr>
          <w:p w14:paraId="09C70949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377EB1" w:rsidRPr="007B11B7" w14:paraId="2C1AA03B" w14:textId="77777777" w:rsidTr="00B52B34">
        <w:trPr>
          <w:trHeight w:val="270"/>
        </w:trPr>
        <w:tc>
          <w:tcPr>
            <w:tcW w:w="461" w:type="pct"/>
          </w:tcPr>
          <w:p w14:paraId="4D89D1EB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B46F465" w14:textId="525A03D1" w:rsidR="00D33052" w:rsidRPr="000808EF" w:rsidRDefault="00D33052" w:rsidP="00DE361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C103B8" w:rsidRPr="007B11B7" w14:paraId="42BD6749" w14:textId="77777777" w:rsidTr="00B52B34">
        <w:trPr>
          <w:trHeight w:val="270"/>
        </w:trPr>
        <w:tc>
          <w:tcPr>
            <w:tcW w:w="461" w:type="pct"/>
          </w:tcPr>
          <w:p w14:paraId="1481D399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39F5817" w14:textId="77777777" w:rsidR="00D33052" w:rsidRPr="007B11B7" w:rsidRDefault="00D33052" w:rsidP="00DE361E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23035D73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Pr="00ED7BF9">
              <w:rPr>
                <w:b/>
                <w:color w:val="000000"/>
                <w:lang w:val="cs-CZ"/>
              </w:rPr>
              <w:t>ároky</w:t>
            </w:r>
            <w:r>
              <w:rPr>
                <w:b/>
                <w:color w:val="000000"/>
                <w:lang w:val="cs-CZ"/>
              </w:rPr>
              <w:t xml:space="preserve"> v souvislosti s cennými papíry</w:t>
            </w:r>
            <w:r w:rsidRPr="00ED7BF9">
              <w:rPr>
                <w:color w:val="000000"/>
                <w:lang w:val="cs-CZ"/>
              </w:rPr>
              <w:t xml:space="preserve"> uplatněné nebo vedené ve Spojených státech amerických nebo </w:t>
            </w:r>
            <w:r w:rsidRPr="00ED7BF9">
              <w:rPr>
                <w:b/>
                <w:color w:val="000000"/>
                <w:lang w:val="cs-CZ"/>
              </w:rPr>
              <w:t>nároky</w:t>
            </w:r>
            <w:r w:rsidRPr="00ED7BF9">
              <w:rPr>
                <w:color w:val="000000"/>
                <w:lang w:val="cs-CZ"/>
              </w:rPr>
              <w:t xml:space="preserve"> ukončené smírem ve Spojených státech amerických</w:t>
            </w:r>
          </w:p>
        </w:tc>
        <w:tc>
          <w:tcPr>
            <w:tcW w:w="763" w:type="pct"/>
          </w:tcPr>
          <w:p w14:paraId="5324B841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14:paraId="25E2D698" w14:textId="77777777" w:rsidTr="00B52B34">
        <w:trPr>
          <w:trHeight w:val="270"/>
        </w:trPr>
        <w:tc>
          <w:tcPr>
            <w:tcW w:w="461" w:type="pct"/>
          </w:tcPr>
          <w:p w14:paraId="773034E8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F6A9CDF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0810E2C5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lang w:val="cs-CZ"/>
              </w:rPr>
              <w:t>n</w:t>
            </w:r>
            <w:r w:rsidRPr="00ED7BF9">
              <w:rPr>
                <w:b/>
                <w:lang w:val="cs-CZ"/>
              </w:rPr>
              <w:t>ároky</w:t>
            </w:r>
            <w:r>
              <w:rPr>
                <w:b/>
                <w:lang w:val="cs-CZ"/>
              </w:rPr>
              <w:t xml:space="preserve"> v souvislosti s cennými papíry</w:t>
            </w:r>
            <w:r w:rsidRPr="00ED7BF9">
              <w:rPr>
                <w:lang w:val="cs-CZ"/>
              </w:rPr>
              <w:t xml:space="preserve"> uplatněné v jakémkoli jiném státě než ve Spojených státech amerických</w:t>
            </w:r>
          </w:p>
        </w:tc>
        <w:tc>
          <w:tcPr>
            <w:tcW w:w="763" w:type="pct"/>
          </w:tcPr>
          <w:p w14:paraId="0AD8452F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14:paraId="28FDE46A" w14:textId="77777777" w:rsidTr="00B52B34">
        <w:trPr>
          <w:trHeight w:val="270"/>
        </w:trPr>
        <w:tc>
          <w:tcPr>
            <w:tcW w:w="461" w:type="pct"/>
          </w:tcPr>
          <w:p w14:paraId="0A4F59BE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21327D4E" w14:textId="3DFD8512" w:rsidR="00D33052" w:rsidRPr="000808EF" w:rsidRDefault="00D33052" w:rsidP="00BF37E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</w:t>
            </w:r>
            <w:r w:rsidR="00BF37E3" w:rsidRPr="000808EF">
              <w:rPr>
                <w:bCs/>
                <w:lang w:val="cs-CZ"/>
              </w:rPr>
              <w:t xml:space="preserve"> (ii)</w:t>
            </w:r>
            <w:r w:rsidRPr="000808EF">
              <w:rPr>
                <w:bCs/>
                <w:lang w:val="cs-CZ"/>
              </w:rPr>
              <w:t xml:space="preserve"> pojistných podmínek:</w:t>
            </w:r>
          </w:p>
        </w:tc>
      </w:tr>
      <w:tr w:rsidR="00C103B8" w:rsidRPr="007B11B7" w14:paraId="4DF284F7" w14:textId="77777777" w:rsidTr="00B52B34">
        <w:trPr>
          <w:trHeight w:val="270"/>
        </w:trPr>
        <w:tc>
          <w:tcPr>
            <w:tcW w:w="461" w:type="pct"/>
          </w:tcPr>
          <w:p w14:paraId="2F30907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52437BE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097B6B8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ve Spojených státech amerických nebo ukončené smírem ve Spojených státech amerických</w:t>
            </w:r>
          </w:p>
        </w:tc>
        <w:tc>
          <w:tcPr>
            <w:tcW w:w="763" w:type="pct"/>
          </w:tcPr>
          <w:p w14:paraId="5ED935D1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C103B8" w:rsidRPr="007B11B7" w14:paraId="18E9013E" w14:textId="77777777" w:rsidTr="00B52B34">
        <w:trPr>
          <w:trHeight w:val="270"/>
        </w:trPr>
        <w:tc>
          <w:tcPr>
            <w:tcW w:w="461" w:type="pct"/>
          </w:tcPr>
          <w:p w14:paraId="6BE3E31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08C4173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3FB7AC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 kterémkoli jiném státě než ve Spojených státech amerických </w:t>
            </w:r>
          </w:p>
        </w:tc>
        <w:tc>
          <w:tcPr>
            <w:tcW w:w="763" w:type="pct"/>
          </w:tcPr>
          <w:p w14:paraId="0471B2E7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6321FA" w:rsidRPr="00F97FAD" w14:paraId="58A3505A" w14:textId="77777777" w:rsidTr="00B52B34">
        <w:tc>
          <w:tcPr>
            <w:tcW w:w="461" w:type="pct"/>
          </w:tcPr>
          <w:p w14:paraId="46D1B9A6" w14:textId="6143CBCB" w:rsidR="006321FA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76CBDDD5" w14:textId="4F57B477" w:rsidR="006321FA" w:rsidRPr="000808EF" w:rsidRDefault="006321FA" w:rsidP="00BF37E3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Datum probíhajícího </w:t>
            </w:r>
            <w:r w:rsidR="00BF37E3" w:rsidRPr="000808EF">
              <w:rPr>
                <w:rFonts w:ascii="Georgia" w:hAnsi="Georgia"/>
                <w:szCs w:val="18"/>
                <w:lang w:val="cs-CZ"/>
              </w:rPr>
              <w:t>či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předcházejícího soudního sporu pro účely výluky 4.2 dle pojistných podmínek</w:t>
            </w:r>
            <w:r w:rsidRPr="000808EF">
              <w:rPr>
                <w:rFonts w:ascii="Georgia" w:hAnsi="Georgia"/>
                <w:i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060A2DFE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</w:p>
          <w:p w14:paraId="4F931541" w14:textId="4982E02D" w:rsidR="006321FA" w:rsidRPr="00A00991" w:rsidRDefault="00CD0EDE" w:rsidP="00B552D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>
              <w:rPr>
                <w:rFonts w:ascii="Georgia" w:hAnsi="Georgia"/>
                <w:iCs/>
                <w:szCs w:val="18"/>
                <w:lang w:val="cs-CZ"/>
              </w:rPr>
              <w:t>1.4.2019</w:t>
            </w:r>
          </w:p>
        </w:tc>
      </w:tr>
      <w:tr w:rsidR="001D4976" w:rsidRPr="00F97FAD" w14:paraId="2D7C4917" w14:textId="77777777" w:rsidTr="00B52B34">
        <w:tc>
          <w:tcPr>
            <w:tcW w:w="461" w:type="pct"/>
          </w:tcPr>
          <w:p w14:paraId="62F6B0EC" w14:textId="140CD4B8" w:rsidR="001D4976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6.</w:t>
            </w:r>
          </w:p>
        </w:tc>
        <w:tc>
          <w:tcPr>
            <w:tcW w:w="1104" w:type="pct"/>
            <w:gridSpan w:val="2"/>
          </w:tcPr>
          <w:p w14:paraId="2CEE494B" w14:textId="2228488B" w:rsidR="001D4976" w:rsidRPr="000808EF" w:rsidRDefault="001D4976" w:rsidP="00705E8F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Akviziční limit </w:t>
            </w:r>
            <w:r w:rsidR="00705E8F" w:rsidRPr="000808EF">
              <w:rPr>
                <w:rFonts w:ascii="Georgia" w:hAnsi="Georgia"/>
                <w:szCs w:val="18"/>
                <w:lang w:val="cs-CZ"/>
              </w:rPr>
              <w:t xml:space="preserve">pro </w:t>
            </w:r>
            <w:r w:rsidRPr="000808EF">
              <w:rPr>
                <w:color w:val="000000"/>
                <w:lang w:val="cs-CZ"/>
              </w:rPr>
              <w:t xml:space="preserve">účely článku 2.3 pojistných </w:t>
            </w:r>
            <w:r w:rsidRPr="000808EF">
              <w:rPr>
                <w:color w:val="000000"/>
                <w:lang w:val="cs-CZ"/>
              </w:rPr>
              <w:lastRenderedPageBreak/>
              <w:t>podmínek</w:t>
            </w:r>
            <w:r w:rsidRPr="000808EF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4C7E89E1" w14:textId="066B3F8A" w:rsidR="001D4976" w:rsidRPr="007B11B7" w:rsidRDefault="003F2852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lastRenderedPageBreak/>
              <w:t xml:space="preserve">20 % z celkových aktiv </w:t>
            </w:r>
            <w:r w:rsidRPr="003F2852">
              <w:rPr>
                <w:rFonts w:ascii="Georgia" w:hAnsi="Georgia"/>
                <w:b/>
                <w:szCs w:val="18"/>
                <w:lang w:val="cs-CZ"/>
              </w:rPr>
              <w:t>společnosti</w:t>
            </w:r>
          </w:p>
        </w:tc>
      </w:tr>
      <w:tr w:rsidR="006321FA" w:rsidRPr="00F97FAD" w14:paraId="292BE68D" w14:textId="77777777" w:rsidTr="00B52B34">
        <w:trPr>
          <w:trHeight w:val="270"/>
        </w:trPr>
        <w:tc>
          <w:tcPr>
            <w:tcW w:w="461" w:type="pct"/>
          </w:tcPr>
          <w:p w14:paraId="0C4E8290" w14:textId="3E23A3C2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7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4539" w:type="pct"/>
            <w:gridSpan w:val="7"/>
          </w:tcPr>
          <w:p w14:paraId="3AF37713" w14:textId="0CFA9C02" w:rsidR="006321FA" w:rsidRPr="007B11B7" w:rsidRDefault="006321FA" w:rsidP="006321F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6321FA" w:rsidRPr="007B11B7" w14:paraId="6C697EE2" w14:textId="77777777" w:rsidTr="00B52B34">
        <w:trPr>
          <w:trHeight w:val="270"/>
        </w:trPr>
        <w:tc>
          <w:tcPr>
            <w:tcW w:w="461" w:type="pct"/>
          </w:tcPr>
          <w:p w14:paraId="1438701D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431C78D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14C13CD9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v USA</w:t>
            </w:r>
          </w:p>
        </w:tc>
        <w:tc>
          <w:tcPr>
            <w:tcW w:w="763" w:type="pct"/>
          </w:tcPr>
          <w:p w14:paraId="54481564" w14:textId="2584EE08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D2E1761" w14:textId="77777777" w:rsidTr="00B52B34">
        <w:trPr>
          <w:trHeight w:val="270"/>
        </w:trPr>
        <w:tc>
          <w:tcPr>
            <w:tcW w:w="461" w:type="pct"/>
          </w:tcPr>
          <w:p w14:paraId="263590F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0077772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697E4C32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mimo USA</w:t>
            </w:r>
          </w:p>
        </w:tc>
        <w:tc>
          <w:tcPr>
            <w:tcW w:w="763" w:type="pct"/>
          </w:tcPr>
          <w:p w14:paraId="2D3DF6B4" w14:textId="77AC6F1C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4C90B1E7" w14:textId="77777777" w:rsidTr="00B52B34">
        <w:trPr>
          <w:trHeight w:val="270"/>
        </w:trPr>
        <w:tc>
          <w:tcPr>
            <w:tcW w:w="461" w:type="pct"/>
          </w:tcPr>
          <w:p w14:paraId="2C43C2B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E920EEB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14:paraId="045333CD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v USA</w:t>
            </w:r>
          </w:p>
        </w:tc>
        <w:tc>
          <w:tcPr>
            <w:tcW w:w="763" w:type="pct"/>
          </w:tcPr>
          <w:p w14:paraId="06F6FE91" w14:textId="2D2F8CF2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612589EA" w14:textId="77777777" w:rsidTr="00B52B34">
        <w:trPr>
          <w:trHeight w:val="270"/>
        </w:trPr>
        <w:tc>
          <w:tcPr>
            <w:tcW w:w="461" w:type="pct"/>
          </w:tcPr>
          <w:p w14:paraId="6605D1B8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84B61C7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14:paraId="4EF2D247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mimo USA</w:t>
            </w:r>
          </w:p>
        </w:tc>
        <w:tc>
          <w:tcPr>
            <w:tcW w:w="763" w:type="pct"/>
          </w:tcPr>
          <w:p w14:paraId="5479D678" w14:textId="143ED87D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92549CF" w14:textId="77777777" w:rsidTr="00B52B34">
        <w:tc>
          <w:tcPr>
            <w:tcW w:w="461" w:type="pct"/>
          </w:tcPr>
          <w:p w14:paraId="3440EAE0" w14:textId="13162740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</w:t>
            </w:r>
            <w:r w:rsidR="006321FA" w:rsidRPr="00A244B5">
              <w:rPr>
                <w:rFonts w:ascii="Georgia" w:hAnsi="Georgia"/>
                <w:b/>
                <w:i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397F6C04" w14:textId="77777777" w:rsidR="006321FA" w:rsidRPr="00504B39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685FAAB8" w14:textId="3883AF84" w:rsidR="006321FA" w:rsidRPr="007B11B7" w:rsidRDefault="00CD0EDE" w:rsidP="00B552DC">
            <w:pPr>
              <w:pStyle w:val="Zkladntext"/>
              <w:spacing w:before="120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</w:rPr>
              <w:t>30.000 Kč splatné do 30.4.2019</w:t>
            </w:r>
          </w:p>
        </w:tc>
      </w:tr>
      <w:tr w:rsidR="006321FA" w:rsidRPr="007B11B7" w14:paraId="32486026" w14:textId="77777777" w:rsidTr="00B52B34">
        <w:tc>
          <w:tcPr>
            <w:tcW w:w="461" w:type="pct"/>
          </w:tcPr>
          <w:p w14:paraId="668D526E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6A023B2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5886466B" w14:textId="33E1EAF8" w:rsidR="006321FA" w:rsidRPr="007B11B7" w:rsidRDefault="00CD0EDE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Nesjednávají se</w:t>
            </w:r>
          </w:p>
        </w:tc>
      </w:tr>
      <w:tr w:rsidR="006321FA" w:rsidRPr="007B11B7" w14:paraId="1D04BB4D" w14:textId="77777777" w:rsidTr="00B52B34">
        <w:tc>
          <w:tcPr>
            <w:tcW w:w="461" w:type="pct"/>
          </w:tcPr>
          <w:p w14:paraId="1D9D4D26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6A57F40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060F88EE" w14:textId="4CD787F6" w:rsidR="006321FA" w:rsidRPr="007B11B7" w:rsidRDefault="00CD0EDE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Pojistné je splatné na účet pojišťovacího zprostředkovatele číslo 2049900308/2600  vedený u  Citibank Europe plc, organizační složka. Pojistné se považuje za zaplacené okamžikem připsání pojistného na výše uvedený účet.</w:t>
            </w:r>
          </w:p>
        </w:tc>
      </w:tr>
      <w:tr w:rsidR="006321FA" w:rsidRPr="00F97FAD" w14:paraId="11F64913" w14:textId="77777777" w:rsidTr="00B52B34">
        <w:tc>
          <w:tcPr>
            <w:tcW w:w="461" w:type="pct"/>
          </w:tcPr>
          <w:p w14:paraId="0C8A577B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24AC6C0" w14:textId="77777777" w:rsidR="006321FA" w:rsidRPr="007B11B7" w:rsidRDefault="006321FA" w:rsidP="00795CE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79B78F02" w14:textId="77777777" w:rsidR="006321FA" w:rsidRPr="007B11B7" w:rsidRDefault="006321FA" w:rsidP="00795CE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B52B34" w:rsidRPr="00F97FAD" w14:paraId="32243EDC" w14:textId="77777777" w:rsidTr="00B52B34">
        <w:tc>
          <w:tcPr>
            <w:tcW w:w="461" w:type="pct"/>
            <w:vMerge w:val="restart"/>
          </w:tcPr>
          <w:p w14:paraId="4857626C" w14:textId="6FDCDD9F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5A0A3520" w14:textId="11D56CB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="002145E8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14:paraId="54A502F0" w14:textId="171FE34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5B67A4A5" w14:textId="3D5EE69F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B52B34" w:rsidRPr="00F97FAD" w14:paraId="195B58D5" w14:textId="77777777" w:rsidTr="00B52B34">
        <w:tc>
          <w:tcPr>
            <w:tcW w:w="461" w:type="pct"/>
            <w:vMerge/>
          </w:tcPr>
          <w:p w14:paraId="529DBC2B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848A04E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53A8C47" w14:textId="38619FC2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122465A0" w14:textId="29B80FDC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B52B34" w:rsidRPr="00F97FAD" w14:paraId="19BD249D" w14:textId="77777777" w:rsidTr="00B52B34">
        <w:tc>
          <w:tcPr>
            <w:tcW w:w="461" w:type="pct"/>
            <w:vMerge/>
          </w:tcPr>
          <w:p w14:paraId="6A83568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B9A7611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FB056E5" w14:textId="15452F09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2B027E89" w14:textId="1C37EDE4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B52B34" w:rsidRPr="00F97FAD" w14:paraId="1C755D0E" w14:textId="77777777" w:rsidTr="00B52B34">
        <w:tc>
          <w:tcPr>
            <w:tcW w:w="461" w:type="pct"/>
            <w:vMerge/>
          </w:tcPr>
          <w:p w14:paraId="79E597A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7F6F1CC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57A7181E" w14:textId="28AE06BE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40551E3A" w14:textId="0B08E58B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B52B34" w:rsidRPr="00F97FAD" w14:paraId="7099F49F" w14:textId="77777777" w:rsidTr="00B52B34">
        <w:tc>
          <w:tcPr>
            <w:tcW w:w="461" w:type="pct"/>
            <w:vMerge/>
          </w:tcPr>
          <w:p w14:paraId="2EACF7C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CA98287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E013F99" w14:textId="769A1A4F" w:rsidR="00B52B34" w:rsidRPr="007B11B7" w:rsidRDefault="00724137" w:rsidP="00724137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B52B34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0F1A028" w14:textId="28B1DF6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27D15720" w14:textId="77777777" w:rsidTr="00B52B34">
        <w:tc>
          <w:tcPr>
            <w:tcW w:w="461" w:type="pct"/>
            <w:vMerge/>
          </w:tcPr>
          <w:p w14:paraId="17DDEF9C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83E01AC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DD300B2" w14:textId="6A4A2F7E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62CE8501" w14:textId="77ECD022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F47A62" w:rsidRPr="00F97FAD" w14:paraId="6968A7DD" w14:textId="77777777" w:rsidTr="00B52B34">
        <w:tc>
          <w:tcPr>
            <w:tcW w:w="461" w:type="pct"/>
            <w:vMerge/>
          </w:tcPr>
          <w:p w14:paraId="6869030D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1FA70AE7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659F916" w14:textId="52F9A16F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24B5B189" w14:textId="4DB30D8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F47A62" w:rsidRPr="00F97FAD" w14:paraId="4D471EFC" w14:textId="77777777" w:rsidTr="00B52B34">
        <w:tc>
          <w:tcPr>
            <w:tcW w:w="461" w:type="pct"/>
            <w:vMerge/>
          </w:tcPr>
          <w:p w14:paraId="48AA8429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09D00AB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22F8FEA" w14:textId="691B6EC0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65B0DE25" w14:textId="5C74B31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F47A62" w:rsidRPr="00F97FAD" w14:paraId="5EAB2A70" w14:textId="77777777" w:rsidTr="00B52B34">
        <w:tc>
          <w:tcPr>
            <w:tcW w:w="461" w:type="pct"/>
            <w:vMerge/>
          </w:tcPr>
          <w:p w14:paraId="67F312BB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3227ADA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CD0051E" w14:textId="04082094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2361168F" w14:textId="46D6745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F47A62" w:rsidRPr="00F97FAD" w14:paraId="54E87543" w14:textId="77777777" w:rsidTr="00B52B34">
        <w:tc>
          <w:tcPr>
            <w:tcW w:w="461" w:type="pct"/>
            <w:vMerge/>
          </w:tcPr>
          <w:p w14:paraId="105581C8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B609964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3E972F7" w14:textId="69B9FF3C" w:rsidR="00F47A62" w:rsidRPr="007B11B7" w:rsidRDefault="00724137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F47A62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DEC14D8" w14:textId="5D9DA75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6F0B30B6" w14:textId="77777777" w:rsidTr="009274FE">
        <w:trPr>
          <w:trHeight w:val="782"/>
        </w:trPr>
        <w:tc>
          <w:tcPr>
            <w:tcW w:w="461" w:type="pct"/>
          </w:tcPr>
          <w:p w14:paraId="531BF3F0" w14:textId="1B58BA85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14:paraId="726A25A9" w14:textId="0DAE470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Dodatečný limit pro členy orgánů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1564" w:type="pct"/>
            <w:gridSpan w:val="4"/>
          </w:tcPr>
          <w:p w14:paraId="6D33BEAD" w14:textId="1ED3342C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(a) Ind</w:t>
            </w:r>
            <w:r w:rsidR="00D627B5">
              <w:rPr>
                <w:rFonts w:ascii="Georgia" w:hAnsi="Georgia"/>
                <w:bCs/>
                <w:szCs w:val="18"/>
                <w:lang w:val="cs-CZ"/>
              </w:rPr>
              <w:t>i</w:t>
            </w:r>
            <w:r>
              <w:rPr>
                <w:rFonts w:ascii="Georgia" w:hAnsi="Georgia"/>
                <w:bCs/>
                <w:szCs w:val="18"/>
                <w:lang w:val="cs-CZ"/>
              </w:rPr>
              <w:t xml:space="preserve">viduální limit 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pojistného plnění</w:t>
            </w:r>
          </w:p>
        </w:tc>
        <w:tc>
          <w:tcPr>
            <w:tcW w:w="1887" w:type="pct"/>
            <w:gridSpan w:val="2"/>
          </w:tcPr>
          <w:p w14:paraId="7526DD78" w14:textId="02992E58" w:rsidR="00F47A62" w:rsidRDefault="00776782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500</w:t>
            </w:r>
            <w:r w:rsidR="00F47A62">
              <w:rPr>
                <w:lang w:val="cs-CZ"/>
              </w:rPr>
              <w:t xml:space="preserve">.000 Kč za jednoho </w:t>
            </w:r>
            <w:r w:rsidR="00F47A62" w:rsidRPr="009547AB">
              <w:rPr>
                <w:b/>
                <w:lang w:val="cs-CZ"/>
              </w:rPr>
              <w:t>člena orgánu</w:t>
            </w:r>
          </w:p>
        </w:tc>
      </w:tr>
      <w:tr w:rsidR="00F47A62" w:rsidRPr="00F97FAD" w14:paraId="5E4BDAB2" w14:textId="77777777" w:rsidTr="009274FE">
        <w:trPr>
          <w:trHeight w:val="706"/>
        </w:trPr>
        <w:tc>
          <w:tcPr>
            <w:tcW w:w="461" w:type="pct"/>
          </w:tcPr>
          <w:p w14:paraId="4F5A8F6A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0B901325" w14:textId="52818F1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313B2505" w14:textId="3EA24F33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(b) Celkový dodatečný limit p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ojistného plnění</w:t>
            </w:r>
          </w:p>
        </w:tc>
        <w:tc>
          <w:tcPr>
            <w:tcW w:w="1887" w:type="pct"/>
            <w:gridSpan w:val="2"/>
          </w:tcPr>
          <w:p w14:paraId="4507FB98" w14:textId="2E274C36" w:rsidR="00F47A62" w:rsidRDefault="00CD0ED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F47A62">
              <w:rPr>
                <w:lang w:val="cs-CZ"/>
              </w:rPr>
              <w:t xml:space="preserve">.000.000 Kč za všechny </w:t>
            </w:r>
            <w:r w:rsidR="00F47A62" w:rsidRPr="00FB3E37">
              <w:rPr>
                <w:b/>
                <w:lang w:val="cs-CZ"/>
              </w:rPr>
              <w:t>členy orgánu</w:t>
            </w:r>
          </w:p>
        </w:tc>
      </w:tr>
      <w:tr w:rsidR="00F47A62" w:rsidRPr="00F97FAD" w14:paraId="5AF7040D" w14:textId="77777777" w:rsidTr="009274FE">
        <w:trPr>
          <w:trHeight w:val="706"/>
        </w:trPr>
        <w:tc>
          <w:tcPr>
            <w:tcW w:w="461" w:type="pct"/>
          </w:tcPr>
          <w:p w14:paraId="218C3950" w14:textId="0FB97129" w:rsidR="00F47A62" w:rsidRPr="00A244B5" w:rsidRDefault="00F47A62" w:rsidP="00426B4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1B7F6458" w14:textId="1F662249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poradce:</w:t>
            </w:r>
          </w:p>
        </w:tc>
        <w:tc>
          <w:tcPr>
            <w:tcW w:w="1564" w:type="pct"/>
            <w:gridSpan w:val="4"/>
          </w:tcPr>
          <w:p w14:paraId="013932E1" w14:textId="68E22B96" w:rsidR="00F47A62" w:rsidRPr="004C664C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A6189FA" w14:textId="3C095F92" w:rsidR="00F47A62" w:rsidRDefault="00CD0EDE" w:rsidP="0045308E">
            <w:pPr>
              <w:spacing w:before="120" w:after="100" w:afterAutospacing="1"/>
              <w:ind w:left="-109" w:right="-108" w:firstLine="109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4D13D4D1" w14:textId="77777777" w:rsidTr="009274FE">
        <w:trPr>
          <w:trHeight w:val="706"/>
        </w:trPr>
        <w:tc>
          <w:tcPr>
            <w:tcW w:w="461" w:type="pct"/>
          </w:tcPr>
          <w:p w14:paraId="3003E3CB" w14:textId="51B1F7CF" w:rsidR="00F47A62" w:rsidRPr="00A244B5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2046AEA7" w14:textId="337C9B3D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PR:</w:t>
            </w:r>
          </w:p>
        </w:tc>
        <w:tc>
          <w:tcPr>
            <w:tcW w:w="1564" w:type="pct"/>
            <w:gridSpan w:val="4"/>
          </w:tcPr>
          <w:p w14:paraId="52A6F038" w14:textId="4E5C413C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5A6CFB" w14:textId="0B65AF41" w:rsidR="00F47A62" w:rsidRDefault="00CD0EDE" w:rsidP="0045308E">
            <w:pPr>
              <w:spacing w:before="120" w:after="100" w:afterAutospacing="1"/>
              <w:ind w:right="-108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7B03892A" w14:textId="77777777" w:rsidTr="009274FE">
        <w:trPr>
          <w:trHeight w:val="706"/>
        </w:trPr>
        <w:tc>
          <w:tcPr>
            <w:tcW w:w="461" w:type="pct"/>
          </w:tcPr>
          <w:p w14:paraId="704CF85D" w14:textId="52F7110A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53E0E97E" w14:textId="6B558CC3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očištění dobrého jména:</w:t>
            </w:r>
          </w:p>
        </w:tc>
        <w:tc>
          <w:tcPr>
            <w:tcW w:w="1564" w:type="pct"/>
            <w:gridSpan w:val="4"/>
          </w:tcPr>
          <w:p w14:paraId="766A5B37" w14:textId="20A435D8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3A4204" w14:textId="5CB35BC7" w:rsidR="00F47A62" w:rsidRDefault="00CD0ED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6F3C6C0B" w14:textId="77777777" w:rsidTr="009274FE">
        <w:trPr>
          <w:trHeight w:val="706"/>
        </w:trPr>
        <w:tc>
          <w:tcPr>
            <w:tcW w:w="461" w:type="pct"/>
          </w:tcPr>
          <w:p w14:paraId="740335B7" w14:textId="368D0042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14.</w:t>
            </w:r>
          </w:p>
        </w:tc>
        <w:tc>
          <w:tcPr>
            <w:tcW w:w="1088" w:type="pct"/>
          </w:tcPr>
          <w:p w14:paraId="3A30B16E" w14:textId="37F42C35" w:rsidR="00F47A62" w:rsidRDefault="00F47A62" w:rsidP="007F7003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prověření nároku společníka</w:t>
            </w:r>
          </w:p>
        </w:tc>
        <w:tc>
          <w:tcPr>
            <w:tcW w:w="1564" w:type="pct"/>
            <w:gridSpan w:val="4"/>
          </w:tcPr>
          <w:p w14:paraId="79139DDA" w14:textId="166388D0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09BACAF" w14:textId="3B6EDECA" w:rsidR="00F47A62" w:rsidRDefault="00C269FB" w:rsidP="00D82F51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Do výše celkového </w:t>
            </w:r>
            <w:r w:rsidRPr="00C269FB">
              <w:rPr>
                <w:b/>
                <w:lang w:val="cs-CZ"/>
              </w:rPr>
              <w:t>limitu pojistného plnění</w:t>
            </w:r>
          </w:p>
        </w:tc>
      </w:tr>
      <w:tr w:rsidR="00F47A62" w:rsidRPr="00F97FAD" w14:paraId="1C1A431A" w14:textId="77777777" w:rsidTr="009274FE">
        <w:trPr>
          <w:trHeight w:val="706"/>
        </w:trPr>
        <w:tc>
          <w:tcPr>
            <w:tcW w:w="461" w:type="pct"/>
          </w:tcPr>
          <w:p w14:paraId="33EF0F02" w14:textId="191CA9AD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5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. </w:t>
            </w:r>
          </w:p>
        </w:tc>
        <w:tc>
          <w:tcPr>
            <w:tcW w:w="1088" w:type="pct"/>
          </w:tcPr>
          <w:p w14:paraId="751F81E3" w14:textId="0E577C61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Narušení soukromí v souvislosti s elektronickými daty:</w:t>
            </w:r>
          </w:p>
        </w:tc>
        <w:tc>
          <w:tcPr>
            <w:tcW w:w="1564" w:type="pct"/>
            <w:gridSpan w:val="4"/>
          </w:tcPr>
          <w:p w14:paraId="54C6CA37" w14:textId="68B072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14:paraId="6948776B" w14:textId="67B4322B" w:rsidR="00F47A62" w:rsidRDefault="00CD0EDE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6319FC5D" w14:textId="77777777" w:rsidTr="009274FE">
        <w:trPr>
          <w:trHeight w:val="706"/>
        </w:trPr>
        <w:tc>
          <w:tcPr>
            <w:tcW w:w="461" w:type="pct"/>
          </w:tcPr>
          <w:p w14:paraId="4A91C297" w14:textId="2FB33E73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6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54E2EC4D" w14:textId="538CA82F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zmenšení škody:</w:t>
            </w:r>
          </w:p>
        </w:tc>
        <w:tc>
          <w:tcPr>
            <w:tcW w:w="1564" w:type="pct"/>
            <w:gridSpan w:val="4"/>
          </w:tcPr>
          <w:p w14:paraId="209030D3" w14:textId="561CFA19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ADC2E0" w14:textId="7899FB2D" w:rsidR="00F47A62" w:rsidRDefault="000A655F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10 % z limitu pojistného plnění</w:t>
            </w:r>
          </w:p>
        </w:tc>
      </w:tr>
      <w:tr w:rsidR="00F47A62" w:rsidRPr="00F97FAD" w14:paraId="00F75206" w14:textId="77777777" w:rsidTr="009274FE">
        <w:trPr>
          <w:trHeight w:val="706"/>
        </w:trPr>
        <w:tc>
          <w:tcPr>
            <w:tcW w:w="461" w:type="pct"/>
          </w:tcPr>
          <w:p w14:paraId="230A02BE" w14:textId="659E2ECB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7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5217F483" w14:textId="4D4B409F" w:rsidR="00F47A62" w:rsidRDefault="00F47A62" w:rsidP="00BD50E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 insolvenčním řízením:</w:t>
            </w:r>
          </w:p>
        </w:tc>
        <w:tc>
          <w:tcPr>
            <w:tcW w:w="1564" w:type="pct"/>
            <w:gridSpan w:val="4"/>
          </w:tcPr>
          <w:p w14:paraId="7C0C15FC" w14:textId="1F909C66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6B460ED" w14:textId="4A03EC3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5CEFA437" w14:textId="77777777" w:rsidTr="009274FE">
        <w:trPr>
          <w:trHeight w:val="706"/>
        </w:trPr>
        <w:tc>
          <w:tcPr>
            <w:tcW w:w="461" w:type="pct"/>
          </w:tcPr>
          <w:p w14:paraId="4DC83C82" w14:textId="252C78DF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8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15C636F3" w14:textId="2DA7C78C" w:rsidR="00F47A62" w:rsidRDefault="00F47A62" w:rsidP="008E192D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se získáváním elektronických dat:</w:t>
            </w:r>
          </w:p>
        </w:tc>
        <w:tc>
          <w:tcPr>
            <w:tcW w:w="1564" w:type="pct"/>
            <w:gridSpan w:val="4"/>
          </w:tcPr>
          <w:p w14:paraId="7036B515" w14:textId="0C8F6DE4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DCDD84B" w14:textId="13897AF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44CC00E3" w14:textId="77777777" w:rsidTr="009274FE">
        <w:trPr>
          <w:trHeight w:val="706"/>
        </w:trPr>
        <w:tc>
          <w:tcPr>
            <w:tcW w:w="461" w:type="pct"/>
          </w:tcPr>
          <w:p w14:paraId="0593869C" w14:textId="412DB366" w:rsidR="00F47A62" w:rsidRPr="00A244B5" w:rsidRDefault="0067039E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19</w:t>
            </w:r>
            <w:r w:rsidR="00F47A62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079FC60C" w14:textId="2AFA6E6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poradenství na hromadné vypořádání:</w:t>
            </w:r>
          </w:p>
        </w:tc>
        <w:tc>
          <w:tcPr>
            <w:tcW w:w="1564" w:type="pct"/>
            <w:gridSpan w:val="4"/>
          </w:tcPr>
          <w:p w14:paraId="177D76C1" w14:textId="0356BA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43418D06" w14:textId="1C3ECA58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14:paraId="11689BD0" w14:textId="77777777" w:rsidTr="009274FE">
        <w:trPr>
          <w:trHeight w:val="706"/>
        </w:trPr>
        <w:tc>
          <w:tcPr>
            <w:tcW w:w="461" w:type="pct"/>
          </w:tcPr>
          <w:p w14:paraId="614AD8E8" w14:textId="31F57AC5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0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0F703153" w14:textId="7B15678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přiznání účinků skupinové žaloby:</w:t>
            </w:r>
          </w:p>
        </w:tc>
        <w:tc>
          <w:tcPr>
            <w:tcW w:w="1564" w:type="pct"/>
            <w:gridSpan w:val="4"/>
          </w:tcPr>
          <w:p w14:paraId="5E20E5FD" w14:textId="28CC431C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2F23F487" w14:textId="135A0E04" w:rsidR="00F47A62" w:rsidRDefault="00CD0EDE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30D73CEC" w14:textId="77777777" w:rsidTr="009274FE">
        <w:trPr>
          <w:trHeight w:val="706"/>
        </w:trPr>
        <w:tc>
          <w:tcPr>
            <w:tcW w:w="461" w:type="pct"/>
          </w:tcPr>
          <w:p w14:paraId="1EF4477B" w14:textId="3147BC49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1C66F5DA" w14:textId="4DD82AA9" w:rsidR="00F47A62" w:rsidRPr="008D26FC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8D26FC">
              <w:rPr>
                <w:rFonts w:ascii="Georgia" w:eastAsia="Arial" w:hAnsi="Georgia" w:cs="Arial"/>
              </w:rPr>
              <w:t>Náklady na řešení krizové situace:</w:t>
            </w:r>
          </w:p>
        </w:tc>
        <w:tc>
          <w:tcPr>
            <w:tcW w:w="1564" w:type="pct"/>
            <w:gridSpan w:val="4"/>
          </w:tcPr>
          <w:p w14:paraId="34F28091" w14:textId="4A937F20" w:rsidR="00F47A62" w:rsidRPr="00B02DB7" w:rsidRDefault="00F47A62" w:rsidP="00235D3E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3B0262" w14:textId="07020587" w:rsidR="00F47A62" w:rsidRDefault="00CD0EDE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2</w:t>
            </w:r>
            <w:r w:rsidRPr="00B00ADA">
              <w:t>.000.000 Kč</w:t>
            </w:r>
          </w:p>
        </w:tc>
      </w:tr>
      <w:tr w:rsidR="00F47A62" w:rsidRPr="00F97FAD" w14:paraId="1739A3C3" w14:textId="77777777" w:rsidTr="009274FE">
        <w:trPr>
          <w:trHeight w:val="706"/>
        </w:trPr>
        <w:tc>
          <w:tcPr>
            <w:tcW w:w="461" w:type="pct"/>
          </w:tcPr>
          <w:p w14:paraId="4C4902F9" w14:textId="5A449072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2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2803F11C" w14:textId="2D602DDA" w:rsidR="00F47A62" w:rsidRPr="00582C57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1A2BA3DA" w14:textId="4D661FF4" w:rsidR="00F47A62" w:rsidRDefault="00F47A62" w:rsidP="00667F8A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rFonts w:ascii="Georgia" w:hAnsi="Georgia" w:cstheme="minorHAnsi"/>
              </w:rPr>
              <w:t xml:space="preserve">ELITE – </w:t>
            </w:r>
            <w:r w:rsidR="00776782" w:rsidRPr="00776782">
              <w:rPr>
                <w:rFonts w:ascii="Georgia" w:hAnsi="Georgia" w:cstheme="minorHAnsi"/>
              </w:rPr>
              <w:t xml:space="preserve">Pojistné podmínky pro pojištění odpovědnosti managementu </w:t>
            </w:r>
            <w:r>
              <w:rPr>
                <w:rFonts w:ascii="Georgia" w:hAnsi="Georgia" w:cstheme="minorHAnsi"/>
              </w:rPr>
              <w:t xml:space="preserve">verze </w:t>
            </w:r>
            <w:r w:rsidR="00667F8A">
              <w:rPr>
                <w:rFonts w:ascii="Georgia" w:hAnsi="Georgia" w:cstheme="minorHAnsi"/>
              </w:rPr>
              <w:t>1</w:t>
            </w:r>
            <w:r w:rsidR="00C15FE3">
              <w:rPr>
                <w:rFonts w:ascii="Georgia" w:hAnsi="Georgia" w:cstheme="minorHAnsi"/>
              </w:rPr>
              <w:t>-</w:t>
            </w:r>
            <w:r>
              <w:rPr>
                <w:rFonts w:ascii="Georgia" w:hAnsi="Georgia" w:cstheme="minorHAnsi"/>
              </w:rPr>
              <w:t>201</w:t>
            </w:r>
            <w:r w:rsidR="00667F8A">
              <w:rPr>
                <w:rFonts w:ascii="Georgia" w:hAnsi="Georgia" w:cstheme="minorHAnsi"/>
              </w:rPr>
              <w:t>9</w:t>
            </w:r>
          </w:p>
        </w:tc>
      </w:tr>
      <w:tr w:rsidR="00F47A62" w:rsidRPr="00F97FAD" w14:paraId="02F7DA7D" w14:textId="77777777" w:rsidTr="009274FE">
        <w:tc>
          <w:tcPr>
            <w:tcW w:w="461" w:type="pct"/>
          </w:tcPr>
          <w:p w14:paraId="305E0F6E" w14:textId="577DF0CA" w:rsidR="00F47A62" w:rsidRPr="00A244B5" w:rsidRDefault="00F47A62" w:rsidP="0067039E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 w:rsidR="0067039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3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2382CB46" w14:textId="77777777" w:rsidR="00F47A62" w:rsidRPr="00582C57" w:rsidRDefault="00F47A62" w:rsidP="00795CE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4ECA3539" w14:textId="77777777" w:rsidR="00F47A62" w:rsidRPr="007B11B7" w:rsidRDefault="00F47A62" w:rsidP="00426B4C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3E3519D3" w14:textId="77777777" w:rsidR="00F47A62" w:rsidRDefault="00F47A62" w:rsidP="00734B75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14:paraId="4FC63BFB" w14:textId="2D4026AB" w:rsidR="00F47A62" w:rsidRPr="007B11B7" w:rsidRDefault="00F47A62" w:rsidP="007362D6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14:paraId="08DDB3E0" w14:textId="47E5564F" w:rsidR="00B37622" w:rsidRPr="007B11B7" w:rsidRDefault="00B37622" w:rsidP="00B37622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Smluvní</w:t>
      </w:r>
      <w:r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3DC11DB1" w14:textId="493BFC68" w:rsidR="009274FE" w:rsidRPr="00B37622" w:rsidRDefault="00B37622" w:rsidP="00795CE9">
      <w:pPr>
        <w:spacing w:before="180" w:after="0"/>
        <w:rPr>
          <w:rFonts w:ascii="Georgia" w:hAnsi="Georgia"/>
          <w:szCs w:val="18"/>
          <w:lang w:val="cs-CZ"/>
        </w:rPr>
      </w:pPr>
      <w:r w:rsidRPr="00B37622">
        <w:rPr>
          <w:rFonts w:ascii="Georgia" w:hAnsi="Georgia"/>
          <w:szCs w:val="18"/>
          <w:lang w:val="cs-CZ"/>
        </w:rPr>
        <w:t xml:space="preserve">Pro vyloučení pochybností se ujednává, že za </w:t>
      </w:r>
      <w:r w:rsidRPr="00B37622">
        <w:rPr>
          <w:rFonts w:ascii="Georgia" w:hAnsi="Georgia"/>
          <w:b/>
          <w:szCs w:val="18"/>
          <w:lang w:val="cs-CZ"/>
        </w:rPr>
        <w:t>pojištěnou osobu</w:t>
      </w:r>
      <w:r>
        <w:rPr>
          <w:rFonts w:ascii="Georgia" w:hAnsi="Georgia"/>
          <w:szCs w:val="18"/>
          <w:lang w:val="cs-CZ"/>
        </w:rPr>
        <w:t xml:space="preserve"> se dle čl. 3.48 dále rozumí členové rady</w:t>
      </w:r>
      <w:r w:rsidR="00543DF1">
        <w:rPr>
          <w:rFonts w:ascii="Georgia" w:hAnsi="Georgia"/>
          <w:szCs w:val="18"/>
          <w:lang w:val="cs-CZ"/>
        </w:rPr>
        <w:t xml:space="preserve"> </w:t>
      </w:r>
      <w:r w:rsidR="00543DF1" w:rsidRPr="00543DF1">
        <w:rPr>
          <w:rFonts w:ascii="Georgia" w:hAnsi="Georgia"/>
          <w:b/>
          <w:szCs w:val="18"/>
          <w:lang w:val="cs-CZ"/>
        </w:rPr>
        <w:t>společnosti</w:t>
      </w:r>
      <w:r>
        <w:rPr>
          <w:rFonts w:ascii="Georgia" w:hAnsi="Georgia"/>
          <w:szCs w:val="18"/>
          <w:lang w:val="cs-CZ"/>
        </w:rPr>
        <w:t>, členové dozorčí rady</w:t>
      </w:r>
      <w:r w:rsidR="00543DF1">
        <w:rPr>
          <w:rFonts w:ascii="Georgia" w:hAnsi="Georgia"/>
          <w:szCs w:val="18"/>
          <w:lang w:val="cs-CZ"/>
        </w:rPr>
        <w:t xml:space="preserve"> </w:t>
      </w:r>
      <w:r w:rsidR="00543DF1" w:rsidRPr="00543DF1">
        <w:rPr>
          <w:rFonts w:ascii="Georgia" w:hAnsi="Georgia"/>
          <w:b/>
          <w:szCs w:val="18"/>
          <w:lang w:val="cs-CZ"/>
        </w:rPr>
        <w:t>společnosti</w:t>
      </w:r>
      <w:r w:rsidR="005D2C48">
        <w:rPr>
          <w:rFonts w:ascii="Georgia" w:hAnsi="Georgia"/>
          <w:b/>
          <w:szCs w:val="18"/>
          <w:lang w:val="cs-CZ"/>
        </w:rPr>
        <w:t xml:space="preserve"> </w:t>
      </w:r>
      <w:r w:rsidR="005D2C48" w:rsidRPr="005D2C48">
        <w:rPr>
          <w:rFonts w:ascii="Georgia" w:hAnsi="Georgia"/>
          <w:szCs w:val="18"/>
          <w:lang w:val="cs-CZ"/>
        </w:rPr>
        <w:t>a</w:t>
      </w:r>
      <w:r w:rsidR="00543DF1" w:rsidRPr="005D2C48">
        <w:rPr>
          <w:rFonts w:ascii="Georgia" w:hAnsi="Georgia"/>
          <w:szCs w:val="18"/>
          <w:lang w:val="cs-CZ"/>
        </w:rPr>
        <w:t xml:space="preserve"> </w:t>
      </w:r>
      <w:r w:rsidR="00543DF1">
        <w:rPr>
          <w:rFonts w:ascii="Georgia" w:hAnsi="Georgia"/>
          <w:szCs w:val="18"/>
          <w:lang w:val="cs-CZ"/>
        </w:rPr>
        <w:t xml:space="preserve">ředitelé </w:t>
      </w:r>
      <w:r w:rsidR="00543DF1" w:rsidRPr="00543DF1">
        <w:rPr>
          <w:rFonts w:ascii="Georgia" w:hAnsi="Georgia"/>
          <w:b/>
          <w:szCs w:val="18"/>
          <w:lang w:val="cs-CZ"/>
        </w:rPr>
        <w:t>společnosti</w:t>
      </w:r>
      <w:r w:rsidR="00543DF1">
        <w:rPr>
          <w:rFonts w:ascii="Georgia" w:hAnsi="Georgia"/>
          <w:szCs w:val="18"/>
          <w:lang w:val="cs-CZ"/>
        </w:rPr>
        <w:t xml:space="preserve">. </w:t>
      </w:r>
    </w:p>
    <w:p w14:paraId="053942B6" w14:textId="58568E6C"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021D91EF" w14:textId="05F25D12" w:rsidR="006321FA" w:rsidRPr="009B7E8F" w:rsidRDefault="006321FA" w:rsidP="006321FA">
      <w:pPr>
        <w:jc w:val="both"/>
        <w:rPr>
          <w:bCs/>
          <w:lang w:val="cs-CZ"/>
        </w:rPr>
      </w:pPr>
      <w:r w:rsidRPr="009B7E8F">
        <w:rPr>
          <w:bCs/>
          <w:lang w:val="cs-CZ"/>
        </w:rPr>
        <w:t>Nedílnou součástí této smlouvy jsou ELITE  - Pojistné podmínky pro pojištění managementu</w:t>
      </w:r>
      <w:r>
        <w:rPr>
          <w:bCs/>
          <w:lang w:val="cs-CZ"/>
        </w:rPr>
        <w:t xml:space="preserve">, verze </w:t>
      </w:r>
      <w:r w:rsidR="00667F8A">
        <w:rPr>
          <w:bCs/>
          <w:lang w:val="cs-CZ"/>
        </w:rPr>
        <w:t>1</w:t>
      </w:r>
      <w:r w:rsidR="002145E8">
        <w:rPr>
          <w:bCs/>
          <w:lang w:val="cs-CZ"/>
        </w:rPr>
        <w:t>-</w:t>
      </w:r>
      <w:r>
        <w:rPr>
          <w:bCs/>
          <w:lang w:val="cs-CZ"/>
        </w:rPr>
        <w:t>201</w:t>
      </w:r>
      <w:r w:rsidR="00667F8A">
        <w:rPr>
          <w:bCs/>
          <w:lang w:val="cs-CZ"/>
        </w:rPr>
        <w:t>9</w:t>
      </w:r>
      <w:r w:rsidRPr="009B7E8F">
        <w:rPr>
          <w:bCs/>
          <w:lang w:val="cs-CZ"/>
        </w:rPr>
        <w:t xml:space="preserve"> (dále jen „pojistné podmínky“). Tyto pojistné podmínky mají přednost před zákonnými ustanoveními, od kterých se lze odchýlit. V případě rozporu mezi touto pojistnou smlouvou a pojistnými podmínkami mají přednost ustanovení této pojistné smlouvy.</w:t>
      </w:r>
    </w:p>
    <w:p w14:paraId="7F66F454" w14:textId="38042AC4"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14:paraId="761AE469" w14:textId="77777777"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14:paraId="2BB83C85" w14:textId="77777777"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14:paraId="26B88502" w14:textId="77777777"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5F6737C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lastRenderedPageBreak/>
        <w:t xml:space="preserve">V Praze dne </w:t>
      </w:r>
    </w:p>
    <w:p w14:paraId="6AB94C96" w14:textId="7482E56D" w:rsidR="0086252C" w:rsidRDefault="0086252C" w:rsidP="006321FA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pojistitel: </w:t>
      </w:r>
      <w:r w:rsidR="003B2BEA">
        <w:rPr>
          <w:rFonts w:asciiTheme="minorHAnsi" w:hAnsiTheme="minorHAnsi"/>
          <w:bCs/>
          <w:sz w:val="18"/>
          <w:szCs w:val="18"/>
          <w:lang w:eastAsia="en-US"/>
        </w:rPr>
        <w:t>Chubb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European Group </w:t>
      </w:r>
      <w:r w:rsidR="00606E94">
        <w:rPr>
          <w:rFonts w:asciiTheme="minorHAnsi" w:hAnsiTheme="minorHAnsi"/>
          <w:bCs/>
          <w:sz w:val="18"/>
          <w:szCs w:val="18"/>
          <w:lang w:eastAsia="en-US"/>
        </w:rPr>
        <w:t>SE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organiza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14:paraId="4AF039FC" w14:textId="77777777" w:rsidR="008B71AC" w:rsidRDefault="008B71AC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10C75980" w14:textId="77777777" w:rsidR="006A7642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4AC14A02" w14:textId="77777777" w:rsidR="006A7642" w:rsidRPr="00D063AF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06BCC7FB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13508E7A" w14:textId="1A3D5A7E" w:rsidR="0086252C" w:rsidRDefault="0086252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Jméno / funkce: Ing. </w:t>
      </w:r>
      <w:r w:rsidR="0079281D">
        <w:rPr>
          <w:rFonts w:asciiTheme="minorHAnsi" w:hAnsiTheme="minorHAnsi"/>
          <w:bCs/>
          <w:sz w:val="18"/>
          <w:szCs w:val="18"/>
          <w:lang w:eastAsia="en-US"/>
        </w:rPr>
        <w:t>Michaela Součková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>pověřen</w:t>
      </w:r>
      <w:r w:rsidR="0079281D">
        <w:rPr>
          <w:rFonts w:asciiTheme="minorHAnsi" w:hAnsiTheme="minorHAnsi"/>
          <w:bCs/>
          <w:sz w:val="18"/>
          <w:szCs w:val="18"/>
          <w:lang w:eastAsia="en-US"/>
        </w:rPr>
        <w:t>á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 xml:space="preserve"> uzavřením pojistné smlouvy</w:t>
      </w:r>
    </w:p>
    <w:p w14:paraId="72AF2A2F" w14:textId="77777777" w:rsidR="008B71AC" w:rsidRPr="00D063AF" w:rsidRDefault="008B71A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31C847C2" w14:textId="77777777" w:rsidR="00CD0EDE" w:rsidRPr="00D063AF" w:rsidRDefault="00CD0EDE" w:rsidP="00CD0EDE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V</w:t>
      </w:r>
      <w:r>
        <w:rPr>
          <w:rFonts w:asciiTheme="minorHAnsi" w:hAnsiTheme="minorHAnsi"/>
          <w:bCs/>
          <w:sz w:val="18"/>
          <w:szCs w:val="18"/>
          <w:lang w:eastAsia="en-US"/>
        </w:rPr>
        <w:t xml:space="preserve"> Praze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dne </w:t>
      </w:r>
    </w:p>
    <w:p w14:paraId="6B75A149" w14:textId="77777777" w:rsidR="00CD0EDE" w:rsidRDefault="00CD0EDE" w:rsidP="00CD0EDE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pojistník:  </w:t>
      </w:r>
      <w:r w:rsidRPr="00373B86">
        <w:rPr>
          <w:rFonts w:asciiTheme="minorHAnsi" w:hAnsiTheme="minorHAnsi"/>
          <w:bCs/>
          <w:sz w:val="18"/>
          <w:szCs w:val="18"/>
          <w:lang w:eastAsia="en-US"/>
        </w:rPr>
        <w:t>Astronomický ústav AV ČR, v.v.i.</w:t>
      </w:r>
    </w:p>
    <w:p w14:paraId="44F25345" w14:textId="77777777" w:rsidR="008B71AC" w:rsidRDefault="008B71A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744105A4" w14:textId="77777777" w:rsidR="006A7642" w:rsidRPr="00D063AF" w:rsidRDefault="006A7642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66D051BA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41B4F0A3" w14:textId="19F9D389" w:rsidR="000C1E28" w:rsidRPr="00F97FAD" w:rsidRDefault="0086252C" w:rsidP="0086252C">
      <w:pPr>
        <w:rPr>
          <w:lang w:val="cs-CZ"/>
        </w:rPr>
      </w:pPr>
      <w:r w:rsidRPr="00F97FAD">
        <w:rPr>
          <w:bCs/>
          <w:szCs w:val="18"/>
          <w:lang w:val="cs-CZ"/>
        </w:rPr>
        <w:t xml:space="preserve">Jméno / funkce: </w:t>
      </w:r>
    </w:p>
    <w:p w14:paraId="1F716432" w14:textId="77777777" w:rsidR="008B71AC" w:rsidRPr="00F97FAD" w:rsidRDefault="008B71AC" w:rsidP="0086252C">
      <w:pPr>
        <w:rPr>
          <w:lang w:val="cs-CZ"/>
        </w:rPr>
      </w:pPr>
    </w:p>
    <w:p w14:paraId="2D562D02" w14:textId="77777777" w:rsidR="0086252C" w:rsidRPr="00D063AF" w:rsidRDefault="0086252C" w:rsidP="00D70773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14:paraId="5E09632B" w14:textId="3F0B9384" w:rsidR="0086252C" w:rsidRPr="00D063AF" w:rsidRDefault="008B71A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B12ED9">
        <w:rPr>
          <w:bCs/>
          <w:lang w:val="cs-CZ"/>
        </w:rPr>
        <w:t>P</w:t>
      </w:r>
      <w:r>
        <w:rPr>
          <w:bCs/>
          <w:lang w:val="cs-CZ"/>
        </w:rPr>
        <w:t>ojistné p</w:t>
      </w:r>
      <w:r w:rsidRPr="00B12ED9">
        <w:rPr>
          <w:bCs/>
          <w:lang w:val="cs-CZ"/>
        </w:rPr>
        <w:t>odmínky</w:t>
      </w:r>
      <w:r w:rsidR="0086252C" w:rsidRPr="00D063AF">
        <w:rPr>
          <w:bCs/>
          <w:szCs w:val="18"/>
          <w:lang w:val="cs-CZ"/>
        </w:rPr>
        <w:t xml:space="preserve"> </w:t>
      </w:r>
    </w:p>
    <w:p w14:paraId="292E405D" w14:textId="77777777" w:rsidR="0086252C" w:rsidRDefault="0086252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F97FAD">
        <w:rPr>
          <w:bCs/>
          <w:szCs w:val="18"/>
          <w:lang w:val="cs-CZ"/>
        </w:rPr>
        <w:t>Výpis pojistníka z Obchodního rejst</w:t>
      </w:r>
      <w:r w:rsidRPr="00F97FAD">
        <w:rPr>
          <w:rFonts w:cs="Myriad Pro"/>
          <w:bCs/>
          <w:szCs w:val="18"/>
          <w:lang w:val="cs-CZ"/>
        </w:rPr>
        <w:t>ř</w:t>
      </w:r>
      <w:r w:rsidRPr="00F97FAD">
        <w:rPr>
          <w:bCs/>
          <w:szCs w:val="18"/>
          <w:lang w:val="cs-CZ"/>
        </w:rPr>
        <w:t xml:space="preserve">íku </w:t>
      </w:r>
    </w:p>
    <w:p w14:paraId="0BA2A885" w14:textId="349CF222" w:rsidR="009274FE" w:rsidRDefault="00377EB1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>
        <w:rPr>
          <w:bCs/>
          <w:szCs w:val="18"/>
          <w:lang w:val="cs-CZ"/>
        </w:rPr>
        <w:t>Vyplněný dotazník</w:t>
      </w:r>
    </w:p>
    <w:p w14:paraId="57D381A2" w14:textId="77777777" w:rsidR="009274FE" w:rsidRPr="009274FE" w:rsidRDefault="009274FE" w:rsidP="009274FE">
      <w:pPr>
        <w:rPr>
          <w:szCs w:val="18"/>
          <w:lang w:val="cs-CZ"/>
        </w:rPr>
      </w:pPr>
    </w:p>
    <w:p w14:paraId="583D981B" w14:textId="77777777" w:rsidR="009274FE" w:rsidRPr="009274FE" w:rsidRDefault="009274FE" w:rsidP="009274FE">
      <w:pPr>
        <w:rPr>
          <w:szCs w:val="18"/>
          <w:lang w:val="cs-CZ"/>
        </w:rPr>
      </w:pPr>
    </w:p>
    <w:p w14:paraId="1C1A7822" w14:textId="77777777" w:rsidR="009274FE" w:rsidRPr="009274FE" w:rsidRDefault="009274FE" w:rsidP="009274FE">
      <w:pPr>
        <w:rPr>
          <w:szCs w:val="18"/>
          <w:lang w:val="cs-CZ"/>
        </w:rPr>
      </w:pPr>
    </w:p>
    <w:p w14:paraId="3BBD644E" w14:textId="77777777" w:rsidR="009274FE" w:rsidRPr="009274FE" w:rsidRDefault="009274FE" w:rsidP="009274FE">
      <w:pPr>
        <w:rPr>
          <w:szCs w:val="18"/>
          <w:lang w:val="cs-CZ"/>
        </w:rPr>
      </w:pPr>
    </w:p>
    <w:p w14:paraId="6BC80FA0" w14:textId="77777777" w:rsidR="009274FE" w:rsidRPr="009274FE" w:rsidRDefault="009274FE" w:rsidP="009274FE">
      <w:pPr>
        <w:rPr>
          <w:szCs w:val="18"/>
          <w:lang w:val="cs-CZ"/>
        </w:rPr>
      </w:pPr>
    </w:p>
    <w:p w14:paraId="7486B267" w14:textId="77777777" w:rsidR="009274FE" w:rsidRPr="009274FE" w:rsidRDefault="009274FE" w:rsidP="009274FE">
      <w:pPr>
        <w:rPr>
          <w:szCs w:val="18"/>
          <w:lang w:val="cs-CZ"/>
        </w:rPr>
      </w:pPr>
    </w:p>
    <w:p w14:paraId="6A133B06" w14:textId="77777777" w:rsidR="009274FE" w:rsidRPr="009274FE" w:rsidRDefault="009274FE" w:rsidP="009274FE">
      <w:pPr>
        <w:rPr>
          <w:szCs w:val="18"/>
          <w:lang w:val="cs-CZ"/>
        </w:rPr>
      </w:pPr>
    </w:p>
    <w:p w14:paraId="7DA9FCA7" w14:textId="77777777" w:rsidR="009274FE" w:rsidRPr="009274FE" w:rsidRDefault="009274FE" w:rsidP="009274FE">
      <w:pPr>
        <w:rPr>
          <w:szCs w:val="18"/>
          <w:lang w:val="cs-CZ"/>
        </w:rPr>
      </w:pPr>
    </w:p>
    <w:p w14:paraId="49DB4CF7" w14:textId="77777777" w:rsidR="009274FE" w:rsidRPr="009274FE" w:rsidRDefault="009274FE" w:rsidP="009274FE">
      <w:pPr>
        <w:rPr>
          <w:szCs w:val="18"/>
          <w:lang w:val="cs-CZ"/>
        </w:rPr>
      </w:pPr>
    </w:p>
    <w:p w14:paraId="7D3B91FB" w14:textId="727DBEC8" w:rsidR="009274FE" w:rsidRPr="009274FE" w:rsidRDefault="00275E98" w:rsidP="00275E98">
      <w:pPr>
        <w:tabs>
          <w:tab w:val="left" w:pos="8100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p w14:paraId="7C4E0D54" w14:textId="77777777" w:rsidR="009274FE" w:rsidRPr="009274FE" w:rsidRDefault="009274FE" w:rsidP="009274FE">
      <w:pPr>
        <w:rPr>
          <w:szCs w:val="18"/>
          <w:lang w:val="cs-CZ"/>
        </w:rPr>
      </w:pPr>
    </w:p>
    <w:p w14:paraId="2CA18BB2" w14:textId="77777777" w:rsidR="009274FE" w:rsidRPr="009274FE" w:rsidRDefault="009274FE" w:rsidP="009274FE">
      <w:pPr>
        <w:rPr>
          <w:szCs w:val="18"/>
          <w:lang w:val="cs-CZ"/>
        </w:rPr>
      </w:pPr>
    </w:p>
    <w:p w14:paraId="55BBC6BD" w14:textId="77777777" w:rsidR="009274FE" w:rsidRPr="009274FE" w:rsidRDefault="009274FE" w:rsidP="009274FE">
      <w:pPr>
        <w:rPr>
          <w:szCs w:val="18"/>
          <w:lang w:val="cs-CZ"/>
        </w:rPr>
      </w:pPr>
    </w:p>
    <w:p w14:paraId="0401CC3C" w14:textId="1FC42212" w:rsidR="009274FE" w:rsidRDefault="009274FE" w:rsidP="009274FE">
      <w:pPr>
        <w:rPr>
          <w:szCs w:val="18"/>
          <w:lang w:val="cs-CZ"/>
        </w:rPr>
      </w:pPr>
    </w:p>
    <w:p w14:paraId="425BC51C" w14:textId="55A5A254" w:rsidR="00377EB1" w:rsidRPr="009274FE" w:rsidRDefault="009274FE" w:rsidP="009274FE">
      <w:pPr>
        <w:tabs>
          <w:tab w:val="left" w:pos="4185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sectPr w:rsidR="00377EB1" w:rsidRPr="009274FE" w:rsidSect="005A2DF5">
      <w:headerReference w:type="first" r:id="rId14"/>
      <w:footerReference w:type="first" r:id="rId15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2A05" w14:textId="77777777" w:rsidR="008A7BCF" w:rsidRDefault="008A7BCF" w:rsidP="0062027F">
      <w:r>
        <w:separator/>
      </w:r>
    </w:p>
  </w:endnote>
  <w:endnote w:type="continuationSeparator" w:id="0">
    <w:p w14:paraId="3FED1874" w14:textId="77777777" w:rsidR="008A7BCF" w:rsidRDefault="008A7BCF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35FEA" w:rsidRPr="007E6D03" w14:paraId="0415228E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9CCC6E3" w14:textId="77777777"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0FF6A498" w14:textId="77777777"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14:paraId="3CC69ACF" w14:textId="77777777" w:rsidTr="00FD1752">
      <w:tc>
        <w:tcPr>
          <w:tcW w:w="4623" w:type="pct"/>
          <w:shd w:val="clear" w:color="auto" w:fill="auto"/>
        </w:tcPr>
        <w:p w14:paraId="39DB5211" w14:textId="7A2C364E" w:rsidR="00F35FEA" w:rsidRPr="002A478D" w:rsidRDefault="00F35FEA" w:rsidP="003B2BEA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377" w:type="pct"/>
          <w:shd w:val="clear" w:color="auto" w:fill="auto"/>
        </w:tcPr>
        <w:p w14:paraId="2DE81DA9" w14:textId="4322D8C5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F97D92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3C7C8A00" w14:textId="77777777"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A63F6A" w:rsidRPr="002A478D" w14:paraId="3DFFA34D" w14:textId="77777777" w:rsidTr="00717AD9">
      <w:tc>
        <w:tcPr>
          <w:tcW w:w="4667" w:type="pct"/>
        </w:tcPr>
        <w:p w14:paraId="79F19BB8" w14:textId="77777777"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44EFC905" w14:textId="25BA5404"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F97D92">
            <w:rPr>
              <w:rFonts w:eastAsia="Times New Roman"/>
              <w:sz w:val="13"/>
              <w:szCs w:val="13"/>
            </w:rPr>
            <w:t>4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4E61E98" w14:textId="04F7541D" w:rsidR="00F35FEA" w:rsidRPr="003B2BEA" w:rsidRDefault="00F35FEA" w:rsidP="003B2BEA">
    <w:pPr>
      <w:pStyle w:val="Zpat"/>
      <w:rPr>
        <w:rFonts w:eastAsia="Times New Roman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F35FEA" w:rsidRPr="0062027F" w14:paraId="724F0430" w14:textId="77777777" w:rsidTr="00A14A08">
      <w:trPr>
        <w:trHeight w:val="283"/>
      </w:trPr>
      <w:tc>
        <w:tcPr>
          <w:tcW w:w="4667" w:type="pct"/>
        </w:tcPr>
        <w:p w14:paraId="7F8E8115" w14:textId="77777777"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18FB0DD9" w14:textId="77777777"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14:paraId="157F5CFC" w14:textId="77777777" w:rsidTr="006D4513">
      <w:tc>
        <w:tcPr>
          <w:tcW w:w="4667" w:type="pct"/>
        </w:tcPr>
        <w:p w14:paraId="5C6094C8" w14:textId="111E821C"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00389381" w14:textId="502F9F8B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F97D92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21EEDF6" w14:textId="77777777" w:rsidR="00F35FEA" w:rsidRPr="00266F95" w:rsidRDefault="00F35FEA" w:rsidP="0062027F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F35FEA" w:rsidRPr="0062027F" w14:paraId="08DF171C" w14:textId="77777777" w:rsidTr="006D4513">
      <w:trPr>
        <w:trHeight w:val="567"/>
      </w:trPr>
      <w:tc>
        <w:tcPr>
          <w:tcW w:w="5000" w:type="pct"/>
        </w:tcPr>
        <w:p w14:paraId="485891D3" w14:textId="77777777"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57216" behindDoc="0" locked="0" layoutInCell="1" allowOverlap="1" wp14:anchorId="6F88F5C3" wp14:editId="74491CF8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F35FEA" w:rsidRPr="00FE6AA1" w14:paraId="0EB26E83" w14:textId="77777777" w:rsidTr="006D4513">
      <w:tc>
        <w:tcPr>
          <w:tcW w:w="4862" w:type="pct"/>
          <w:shd w:val="clear" w:color="auto" w:fill="auto"/>
        </w:tcPr>
        <w:p w14:paraId="0541D56B" w14:textId="77777777" w:rsidR="00275E98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 w:rsidRPr="004E024A">
            <w:rPr>
              <w:rFonts w:eastAsia="Times New Roman"/>
              <w:sz w:val="13"/>
              <w:szCs w:val="13"/>
              <w:lang w:val="en-GB"/>
            </w:rPr>
            <w:t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49A51EB2" w14:textId="77777777" w:rsidR="00275E98" w:rsidRPr="00B641B9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</w:p>
        <w:p w14:paraId="5E976EAD" w14:textId="77777777" w:rsidR="00275E98" w:rsidRDefault="00275E98" w:rsidP="00275E98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  <w:r w:rsidRPr="00B641B9">
            <w:rPr>
              <w:rFonts w:eastAsia="Times New Roman"/>
              <w:sz w:val="13"/>
              <w:szCs w:val="13"/>
              <w:lang w:val="en-GB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2D714035" w14:textId="467D7060" w:rsidR="00F35FEA" w:rsidRPr="00FE6AA1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138" w:type="pct"/>
          <w:shd w:val="clear" w:color="auto" w:fill="auto"/>
          <w:vAlign w:val="bottom"/>
        </w:tcPr>
        <w:p w14:paraId="6CB8F596" w14:textId="7E49D86C"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F97D92">
            <w:rPr>
              <w:rFonts w:eastAsia="Times New Roman"/>
              <w:sz w:val="13"/>
              <w:szCs w:val="13"/>
              <w:lang w:eastAsia="ja-JP"/>
            </w:rPr>
            <w:t>5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E46442B" w14:textId="77777777" w:rsidR="00F35FEA" w:rsidRPr="00F97FAD" w:rsidRDefault="00F35FEA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C5F4" w14:textId="77777777" w:rsidR="008A7BCF" w:rsidRDefault="008A7BCF" w:rsidP="0062027F">
      <w:r>
        <w:separator/>
      </w:r>
    </w:p>
  </w:footnote>
  <w:footnote w:type="continuationSeparator" w:id="0">
    <w:p w14:paraId="5F49A41E" w14:textId="77777777" w:rsidR="008A7BCF" w:rsidRDefault="008A7BCF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69C2" w14:textId="4BD259D6" w:rsidR="00F35FEA" w:rsidRPr="00F97FAD" w:rsidRDefault="00F97FAD" w:rsidP="00F97FAD">
    <w:pPr>
      <w:pStyle w:val="Zhlav"/>
    </w:pPr>
    <w:r>
      <w:rPr>
        <w:lang w:val="cs-CZ" w:eastAsia="cs-CZ"/>
      </w:rPr>
      <w:drawing>
        <wp:anchor distT="0" distB="0" distL="114300" distR="114300" simplePos="0" relativeHeight="251678720" behindDoc="0" locked="1" layoutInCell="1" allowOverlap="1" wp14:anchorId="301E850E" wp14:editId="42D81A72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50A1" w14:textId="77777777" w:rsidR="00F35FEA" w:rsidRPr="007E6D03" w:rsidRDefault="00F35FEA" w:rsidP="006D45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1701" w14:textId="77777777" w:rsidR="00F35FEA" w:rsidRPr="005C67D4" w:rsidRDefault="00F35FEA" w:rsidP="00A14A08">
    <w:pPr>
      <w:pStyle w:val="Zhlav"/>
    </w:pPr>
    <w:r>
      <w:rPr>
        <w:lang w:val="cs-CZ" w:eastAsia="cs-CZ"/>
      </w:rPr>
      <w:drawing>
        <wp:anchor distT="0" distB="0" distL="114300" distR="114300" simplePos="0" relativeHeight="251677696" behindDoc="0" locked="1" layoutInCell="1" allowOverlap="1" wp14:anchorId="6BF684C1" wp14:editId="6B4FCD6E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CDD9" w14:textId="77777777" w:rsidR="00F35FEA" w:rsidRPr="005C67D4" w:rsidRDefault="00F35FEA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DC10888"/>
    <w:multiLevelType w:val="multilevel"/>
    <w:tmpl w:val="410CBDD0"/>
    <w:numStyleLink w:val="ChubbNumberList2"/>
  </w:abstractNum>
  <w:abstractNum w:abstractNumId="17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 w15:restartNumberingAfterBreak="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  <w:lvlOverride w:ilvl="3">
      <w:lvl w:ilvl="3">
        <w:start w:val="1"/>
        <w:numFmt w:val="lowerRoman"/>
        <w:pStyle w:val="NumberHeading4"/>
        <w:lvlText w:val="(%4)"/>
        <w:lvlJc w:val="left"/>
        <w:pPr>
          <w:tabs>
            <w:tab w:val="num" w:pos="0"/>
          </w:tabs>
          <w:ind w:left="426" w:hanging="426"/>
        </w:pPr>
        <w:rPr>
          <w:rFonts w:hint="default"/>
          <w:b w:val="0"/>
        </w:rPr>
      </w:lvl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10703"/>
    <w:rsid w:val="00023152"/>
    <w:rsid w:val="00052D78"/>
    <w:rsid w:val="0005314C"/>
    <w:rsid w:val="0006258A"/>
    <w:rsid w:val="00063717"/>
    <w:rsid w:val="000641A4"/>
    <w:rsid w:val="000808EF"/>
    <w:rsid w:val="00081475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B4C13"/>
    <w:rsid w:val="001D290A"/>
    <w:rsid w:val="001D2E33"/>
    <w:rsid w:val="001D4976"/>
    <w:rsid w:val="001E0663"/>
    <w:rsid w:val="001F31D5"/>
    <w:rsid w:val="001F613B"/>
    <w:rsid w:val="00211A5A"/>
    <w:rsid w:val="002145E8"/>
    <w:rsid w:val="00215414"/>
    <w:rsid w:val="00216CF6"/>
    <w:rsid w:val="00235D3E"/>
    <w:rsid w:val="00244120"/>
    <w:rsid w:val="00245263"/>
    <w:rsid w:val="002454B2"/>
    <w:rsid w:val="00251367"/>
    <w:rsid w:val="00261285"/>
    <w:rsid w:val="0026535E"/>
    <w:rsid w:val="00266F95"/>
    <w:rsid w:val="0027163C"/>
    <w:rsid w:val="00275E98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C6A53"/>
    <w:rsid w:val="002D0CAD"/>
    <w:rsid w:val="002F0203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77EB1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3DF1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C0B1E"/>
    <w:rsid w:val="005C67D4"/>
    <w:rsid w:val="005D0751"/>
    <w:rsid w:val="005D1BEB"/>
    <w:rsid w:val="005D2C48"/>
    <w:rsid w:val="005D66ED"/>
    <w:rsid w:val="005E446E"/>
    <w:rsid w:val="005E65CA"/>
    <w:rsid w:val="00602B64"/>
    <w:rsid w:val="00606E94"/>
    <w:rsid w:val="00610621"/>
    <w:rsid w:val="00613271"/>
    <w:rsid w:val="0062027F"/>
    <w:rsid w:val="006321FA"/>
    <w:rsid w:val="00640181"/>
    <w:rsid w:val="00640D0C"/>
    <w:rsid w:val="0064279F"/>
    <w:rsid w:val="0064515F"/>
    <w:rsid w:val="00650885"/>
    <w:rsid w:val="00653A1B"/>
    <w:rsid w:val="00662FD4"/>
    <w:rsid w:val="00667F8A"/>
    <w:rsid w:val="0067039E"/>
    <w:rsid w:val="006835A7"/>
    <w:rsid w:val="006845A1"/>
    <w:rsid w:val="00684D6E"/>
    <w:rsid w:val="00692A8D"/>
    <w:rsid w:val="00695718"/>
    <w:rsid w:val="006A2CF1"/>
    <w:rsid w:val="006A7642"/>
    <w:rsid w:val="006B6D66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A7CC4"/>
    <w:rsid w:val="007B0699"/>
    <w:rsid w:val="007C25AB"/>
    <w:rsid w:val="007C30E6"/>
    <w:rsid w:val="007D34F9"/>
    <w:rsid w:val="007E2F20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216A"/>
    <w:rsid w:val="008532C0"/>
    <w:rsid w:val="0086252C"/>
    <w:rsid w:val="00872911"/>
    <w:rsid w:val="008837F6"/>
    <w:rsid w:val="0088418E"/>
    <w:rsid w:val="00886630"/>
    <w:rsid w:val="00893058"/>
    <w:rsid w:val="008A1845"/>
    <w:rsid w:val="008A7BCF"/>
    <w:rsid w:val="008B71AC"/>
    <w:rsid w:val="008B744D"/>
    <w:rsid w:val="008C25A0"/>
    <w:rsid w:val="008C38F2"/>
    <w:rsid w:val="008C4546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52A2"/>
    <w:rsid w:val="009A7CD3"/>
    <w:rsid w:val="009C0C77"/>
    <w:rsid w:val="009C1A45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66A9"/>
    <w:rsid w:val="00B075D3"/>
    <w:rsid w:val="00B102EB"/>
    <w:rsid w:val="00B135C8"/>
    <w:rsid w:val="00B225D3"/>
    <w:rsid w:val="00B34CEE"/>
    <w:rsid w:val="00B35881"/>
    <w:rsid w:val="00B37622"/>
    <w:rsid w:val="00B4233D"/>
    <w:rsid w:val="00B45F96"/>
    <w:rsid w:val="00B472B7"/>
    <w:rsid w:val="00B52B34"/>
    <w:rsid w:val="00B552DC"/>
    <w:rsid w:val="00B55331"/>
    <w:rsid w:val="00B60752"/>
    <w:rsid w:val="00B641B9"/>
    <w:rsid w:val="00B64A59"/>
    <w:rsid w:val="00B67F79"/>
    <w:rsid w:val="00B73D27"/>
    <w:rsid w:val="00B77F9D"/>
    <w:rsid w:val="00B80FA1"/>
    <w:rsid w:val="00B81DD3"/>
    <w:rsid w:val="00B91202"/>
    <w:rsid w:val="00BA1BC5"/>
    <w:rsid w:val="00BB4B4D"/>
    <w:rsid w:val="00BB7099"/>
    <w:rsid w:val="00BB7216"/>
    <w:rsid w:val="00BC0D63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5FE3"/>
    <w:rsid w:val="00C172FA"/>
    <w:rsid w:val="00C25430"/>
    <w:rsid w:val="00C269FB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A66F1"/>
    <w:rsid w:val="00CC5090"/>
    <w:rsid w:val="00CC51B9"/>
    <w:rsid w:val="00CC7BF6"/>
    <w:rsid w:val="00CD0EDE"/>
    <w:rsid w:val="00CD7297"/>
    <w:rsid w:val="00CE1874"/>
    <w:rsid w:val="00CF08EA"/>
    <w:rsid w:val="00D0533E"/>
    <w:rsid w:val="00D063AF"/>
    <w:rsid w:val="00D155C4"/>
    <w:rsid w:val="00D235C5"/>
    <w:rsid w:val="00D33052"/>
    <w:rsid w:val="00D43031"/>
    <w:rsid w:val="00D505C0"/>
    <w:rsid w:val="00D51697"/>
    <w:rsid w:val="00D627B5"/>
    <w:rsid w:val="00D62B6D"/>
    <w:rsid w:val="00D63C26"/>
    <w:rsid w:val="00D7054C"/>
    <w:rsid w:val="00D70773"/>
    <w:rsid w:val="00D74CD6"/>
    <w:rsid w:val="00D74F4C"/>
    <w:rsid w:val="00D8221E"/>
    <w:rsid w:val="00D82F51"/>
    <w:rsid w:val="00D86C8B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5AED"/>
    <w:rsid w:val="00E706C9"/>
    <w:rsid w:val="00E73E41"/>
    <w:rsid w:val="00E7588D"/>
    <w:rsid w:val="00E8319C"/>
    <w:rsid w:val="00E94B03"/>
    <w:rsid w:val="00EA4026"/>
    <w:rsid w:val="00ED40E2"/>
    <w:rsid w:val="00EF3F93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D92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C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5708-4778-48D7-9F91-425DB019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5</Pages>
  <Words>1176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2019-04-23T07:12:00Z</dcterms:created>
  <dcterms:modified xsi:type="dcterms:W3CDTF">2019-04-23T07:12:00Z</dcterms:modified>
</cp:coreProperties>
</file>