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9273F" w14:textId="77777777" w:rsidR="00F0677E" w:rsidRPr="00F0677E" w:rsidRDefault="00F0677E" w:rsidP="00F0677E">
      <w:pPr>
        <w:pBdr>
          <w:top w:val="single" w:sz="4" w:space="1" w:color="auto"/>
          <w:left w:val="single" w:sz="4" w:space="4" w:color="auto"/>
          <w:bottom w:val="single" w:sz="4" w:space="1" w:color="auto"/>
          <w:right w:val="single" w:sz="4" w:space="4" w:color="auto"/>
        </w:pBdr>
        <w:jc w:val="center"/>
        <w:rPr>
          <w:b/>
          <w:caps/>
          <w:sz w:val="36"/>
        </w:rPr>
      </w:pPr>
      <w:r w:rsidRPr="00F0677E">
        <w:rPr>
          <w:b/>
          <w:caps/>
          <w:sz w:val="36"/>
        </w:rPr>
        <w:t>Smlouva o účasti na řešení projektu</w:t>
      </w:r>
      <w:r w:rsidRPr="00F0677E">
        <w:rPr>
          <w:b/>
          <w:caps/>
          <w:sz w:val="36"/>
        </w:rPr>
        <w:br/>
        <w:t>a o využití výsledků</w:t>
      </w:r>
    </w:p>
    <w:p w14:paraId="66935BA6" w14:textId="3ECB8DD0" w:rsidR="006B1C9F" w:rsidRPr="00CC485F" w:rsidRDefault="00342A93" w:rsidP="006522BB">
      <w:pPr>
        <w:pBdr>
          <w:top w:val="single" w:sz="4" w:space="1" w:color="auto"/>
          <w:left w:val="single" w:sz="4" w:space="4" w:color="auto"/>
          <w:bottom w:val="single" w:sz="4" w:space="1" w:color="auto"/>
          <w:right w:val="single" w:sz="4" w:space="4" w:color="auto"/>
        </w:pBdr>
        <w:jc w:val="center"/>
      </w:pPr>
      <w:r w:rsidRPr="00CC485F">
        <w:t xml:space="preserve">Číslo </w:t>
      </w:r>
      <w:r w:rsidR="00605E46" w:rsidRPr="00CC485F">
        <w:t>smlouvy</w:t>
      </w:r>
      <w:r w:rsidR="0080659E">
        <w:t xml:space="preserve"> dalšího účastníka</w:t>
      </w:r>
      <w:r w:rsidRPr="00CC485F">
        <w:t xml:space="preserve">: </w:t>
      </w:r>
      <w:r w:rsidR="001A25DF" w:rsidRPr="001A25DF">
        <w:t>02000266</w:t>
      </w:r>
      <w:r w:rsidR="001A25DF">
        <w:t>/2019</w:t>
      </w:r>
      <w:r w:rsidR="009C5836">
        <w:t>/00</w:t>
      </w:r>
    </w:p>
    <w:p w14:paraId="3E2FDF3F" w14:textId="77777777" w:rsidR="007663C2" w:rsidRDefault="007663C2" w:rsidP="007663C2">
      <w:pPr>
        <w:jc w:val="center"/>
        <w:rPr>
          <w:sz w:val="16"/>
          <w:szCs w:val="18"/>
        </w:rPr>
      </w:pPr>
      <w:r>
        <w:rPr>
          <w:sz w:val="16"/>
          <w:szCs w:val="18"/>
        </w:rPr>
        <w:t xml:space="preserve">uzavřená dle ustanovení § 1746 odst. 2 zák. č. 89/2012 Sb., občanského zákoníku, </w:t>
      </w:r>
      <w:r w:rsidRPr="007663C2">
        <w:rPr>
          <w:sz w:val="16"/>
          <w:szCs w:val="18"/>
        </w:rPr>
        <w:t>ve znění pozdějších předpisů, a v souladu s příslušnými ustanoveními zákona č. 130/2002 Sb., o podpoře výzkumu, experimentálního vývoje a inovací z veřejných prostředků a o změně některých souvisejících zákonů (zákon o podpoře výzkumu a vývoje), ve znění p</w:t>
      </w:r>
      <w:r>
        <w:rPr>
          <w:sz w:val="16"/>
          <w:szCs w:val="18"/>
        </w:rPr>
        <w:t>ozdějších předpisů</w:t>
      </w:r>
    </w:p>
    <w:p w14:paraId="4D945BF6" w14:textId="77777777" w:rsidR="007663C2" w:rsidRDefault="007663C2" w:rsidP="007663C2">
      <w:pPr>
        <w:jc w:val="center"/>
        <w:rPr>
          <w:sz w:val="16"/>
          <w:szCs w:val="18"/>
        </w:rPr>
      </w:pPr>
    </w:p>
    <w:p w14:paraId="4F98D1AB" w14:textId="77777777" w:rsidR="00F4187F" w:rsidRPr="006522BB" w:rsidRDefault="009C5836" w:rsidP="00F4187F">
      <w:pPr>
        <w:rPr>
          <w:b/>
        </w:rPr>
      </w:pPr>
      <w:r>
        <w:rPr>
          <w:b/>
        </w:rPr>
        <w:t>VIA ALTA a.s.</w:t>
      </w:r>
    </w:p>
    <w:p w14:paraId="34B07D24" w14:textId="77777777" w:rsidR="005C76EC" w:rsidRDefault="00F4187F" w:rsidP="005C76EC">
      <w:pPr>
        <w:tabs>
          <w:tab w:val="left" w:pos="1701"/>
        </w:tabs>
        <w:spacing w:after="0"/>
        <w:jc w:val="left"/>
      </w:pPr>
      <w:r w:rsidRPr="00CC485F">
        <w:t xml:space="preserve">Sídlem: </w:t>
      </w:r>
      <w:r w:rsidRPr="00CC485F">
        <w:tab/>
      </w:r>
      <w:r w:rsidR="009C5836">
        <w:t>Okružní 963/5, Borovina, 674 01 Třebíč</w:t>
      </w:r>
      <w:r w:rsidRPr="00CC485F">
        <w:br/>
        <w:t xml:space="preserve">IČ: </w:t>
      </w:r>
      <w:r w:rsidRPr="00CC485F">
        <w:tab/>
      </w:r>
      <w:r w:rsidR="009C5836">
        <w:t>26906741</w:t>
      </w:r>
      <w:r w:rsidRPr="00CC485F">
        <w:br/>
        <w:t xml:space="preserve">DIČ: </w:t>
      </w:r>
      <w:r w:rsidRPr="00CC485F">
        <w:tab/>
      </w:r>
      <w:r w:rsidR="009C5836">
        <w:t>CZ26906741</w:t>
      </w:r>
      <w:r w:rsidRPr="00CC485F">
        <w:br/>
        <w:t xml:space="preserve">Bankovní spojení: </w:t>
      </w:r>
      <w:r w:rsidRPr="00CC485F">
        <w:tab/>
      </w:r>
      <w:r w:rsidR="00A45BA5">
        <w:t>2170323389/0800</w:t>
      </w:r>
      <w:r>
        <w:t xml:space="preserve">, </w:t>
      </w:r>
      <w:r w:rsidRPr="00CC485F">
        <w:t xml:space="preserve">vedený u </w:t>
      </w:r>
      <w:r w:rsidR="00A45BA5">
        <w:t>České spořitelny</w:t>
      </w:r>
      <w:r>
        <w:br/>
        <w:t xml:space="preserve">Zapsána v obchodním rejstříku vedeném u </w:t>
      </w:r>
      <w:r w:rsidR="009C5836">
        <w:t>Krajského</w:t>
      </w:r>
      <w:r>
        <w:t xml:space="preserve"> soudu v </w:t>
      </w:r>
      <w:r w:rsidR="009C5836">
        <w:t>Brně</w:t>
      </w:r>
      <w:r>
        <w:t xml:space="preserve">, oddíl </w:t>
      </w:r>
      <w:r w:rsidR="009C5836">
        <w:t>B</w:t>
      </w:r>
      <w:r>
        <w:t xml:space="preserve">, vložka </w:t>
      </w:r>
      <w:r w:rsidR="009C5836">
        <w:t>6068</w:t>
      </w:r>
      <w:r w:rsidRPr="00CC485F">
        <w:br/>
      </w:r>
      <w:r w:rsidR="005C76EC">
        <w:t>Zastoupena:</w:t>
      </w:r>
      <w:r w:rsidR="005C76EC">
        <w:tab/>
      </w:r>
      <w:r w:rsidR="00A45BA5">
        <w:t>Ing. Jakubem Johnem, předsedou představenstva</w:t>
      </w:r>
    </w:p>
    <w:p w14:paraId="71BD96C2" w14:textId="4CBD709E" w:rsidR="00F4187F" w:rsidRDefault="00F4187F" w:rsidP="00F4187F">
      <w:pPr>
        <w:tabs>
          <w:tab w:val="left" w:pos="1701"/>
        </w:tabs>
        <w:jc w:val="left"/>
      </w:pPr>
      <w:r>
        <w:t>O</w:t>
      </w:r>
      <w:r w:rsidRPr="00577961">
        <w:t>dpovědn</w:t>
      </w:r>
      <w:r>
        <w:t>ý</w:t>
      </w:r>
      <w:r w:rsidRPr="00577961">
        <w:t xml:space="preserve"> </w:t>
      </w:r>
      <w:r>
        <w:t xml:space="preserve">zaměstnanec </w:t>
      </w:r>
      <w:r w:rsidRPr="00577961">
        <w:t xml:space="preserve">za </w:t>
      </w:r>
      <w:r w:rsidR="009818BF">
        <w:t>příjemce</w:t>
      </w:r>
      <w:r w:rsidR="00D25972">
        <w:t xml:space="preserve"> </w:t>
      </w:r>
      <w:r w:rsidR="00D25972" w:rsidRPr="001565D4">
        <w:t>(řešitel)</w:t>
      </w:r>
      <w:r w:rsidRPr="00577961">
        <w:t xml:space="preserve">: </w:t>
      </w:r>
      <w:r w:rsidR="00A45BA5">
        <w:t xml:space="preserve">Ing. </w:t>
      </w:r>
      <w:r w:rsidR="00A756E0">
        <w:t>Petra Foltýnová</w:t>
      </w:r>
    </w:p>
    <w:p w14:paraId="114D71A9" w14:textId="77777777" w:rsidR="00B35878" w:rsidRPr="00CC485F" w:rsidRDefault="00B35878" w:rsidP="00B45FB2">
      <w:pPr>
        <w:tabs>
          <w:tab w:val="left" w:pos="1701"/>
        </w:tabs>
        <w:jc w:val="left"/>
      </w:pPr>
      <w:r w:rsidRPr="00CC485F">
        <w:rPr>
          <w:b/>
        </w:rPr>
        <w:t>dále v textu též jako „</w:t>
      </w:r>
      <w:r w:rsidR="00A41D1D">
        <w:rPr>
          <w:b/>
        </w:rPr>
        <w:t>p</w:t>
      </w:r>
      <w:r w:rsidR="00CB7607">
        <w:rPr>
          <w:b/>
        </w:rPr>
        <w:t>říjemce</w:t>
      </w:r>
      <w:r w:rsidRPr="00CC485F">
        <w:rPr>
          <w:b/>
        </w:rPr>
        <w:t>“</w:t>
      </w:r>
    </w:p>
    <w:p w14:paraId="4DEF5231" w14:textId="77777777" w:rsidR="00A45BA5" w:rsidRPr="00A45BA5" w:rsidRDefault="00A45BA5" w:rsidP="00004C4F">
      <w:pPr>
        <w:tabs>
          <w:tab w:val="left" w:pos="1701"/>
        </w:tabs>
        <w:jc w:val="left"/>
      </w:pPr>
      <w:r w:rsidRPr="00A45BA5">
        <w:t>a</w:t>
      </w:r>
    </w:p>
    <w:p w14:paraId="71310C45" w14:textId="2A1B50BD" w:rsidR="00A45BA5" w:rsidRPr="006522BB" w:rsidRDefault="00A45BA5" w:rsidP="00A45BA5">
      <w:pPr>
        <w:rPr>
          <w:b/>
        </w:rPr>
      </w:pPr>
      <w:r>
        <w:rPr>
          <w:b/>
        </w:rPr>
        <w:t>České vysoké učení technické v</w:t>
      </w:r>
      <w:r w:rsidR="002F562D">
        <w:rPr>
          <w:b/>
        </w:rPr>
        <w:t> </w:t>
      </w:r>
      <w:r>
        <w:rPr>
          <w:b/>
        </w:rPr>
        <w:t>Praze</w:t>
      </w:r>
      <w:r w:rsidR="002F562D">
        <w:rPr>
          <w:b/>
        </w:rPr>
        <w:t xml:space="preserve"> – Fakulta jaderná a fyzikálně inženýrská</w:t>
      </w:r>
      <w:r w:rsidR="00A64774">
        <w:rPr>
          <w:b/>
        </w:rPr>
        <w:t xml:space="preserve"> (</w:t>
      </w:r>
      <w:r w:rsidR="002F562D">
        <w:rPr>
          <w:b/>
        </w:rPr>
        <w:t xml:space="preserve">FJFI </w:t>
      </w:r>
      <w:r w:rsidR="00A64774">
        <w:rPr>
          <w:b/>
        </w:rPr>
        <w:t>ČVUT)</w:t>
      </w:r>
    </w:p>
    <w:p w14:paraId="01B0B78B" w14:textId="73691DA0" w:rsidR="00A45BA5" w:rsidRDefault="002F562D" w:rsidP="00A45BA5">
      <w:pPr>
        <w:tabs>
          <w:tab w:val="left" w:pos="1701"/>
        </w:tabs>
        <w:jc w:val="left"/>
      </w:pPr>
      <w:r>
        <w:t>Adresa</w:t>
      </w:r>
      <w:r w:rsidR="00A45BA5">
        <w:t xml:space="preserve">: </w:t>
      </w:r>
      <w:r w:rsidR="00A45BA5">
        <w:tab/>
      </w:r>
      <w:r>
        <w:t>Břehová 78/7, 115 19 Praha</w:t>
      </w:r>
      <w:r w:rsidR="007E2570">
        <w:t xml:space="preserve"> 1</w:t>
      </w:r>
      <w:r w:rsidR="00A45BA5" w:rsidRPr="00CC485F">
        <w:br/>
        <w:t xml:space="preserve">IČ: </w:t>
      </w:r>
      <w:r w:rsidR="00A45BA5" w:rsidRPr="00CC485F">
        <w:tab/>
      </w:r>
      <w:r w:rsidR="00A45BA5">
        <w:t>68407700</w:t>
      </w:r>
      <w:r w:rsidR="00A45BA5" w:rsidRPr="00CC485F">
        <w:t xml:space="preserve"> (veřejná vysoká škola, nezapisuje se do OR)</w:t>
      </w:r>
      <w:r w:rsidR="00A45BA5" w:rsidRPr="00CC485F">
        <w:br/>
        <w:t xml:space="preserve">DIČ: </w:t>
      </w:r>
      <w:r w:rsidR="00A45BA5" w:rsidRPr="00CC485F">
        <w:tab/>
        <w:t>CZ</w:t>
      </w:r>
      <w:r w:rsidR="00A45BA5">
        <w:t>68407700</w:t>
      </w:r>
      <w:r w:rsidR="00A45BA5" w:rsidRPr="00CC485F">
        <w:br/>
      </w:r>
      <w:r w:rsidR="00A45BA5" w:rsidRPr="00AC23C6">
        <w:t xml:space="preserve">Bankovní spojení: </w:t>
      </w:r>
      <w:r w:rsidR="00A45BA5" w:rsidRPr="00AC23C6">
        <w:tab/>
      </w:r>
      <w:r>
        <w:t>19-5373</w:t>
      </w:r>
      <w:r w:rsidR="00E35DDA">
        <w:t>1</w:t>
      </w:r>
      <w:r>
        <w:t>0</w:t>
      </w:r>
      <w:r w:rsidR="00E35DDA">
        <w:t>0</w:t>
      </w:r>
      <w:r>
        <w:t>277/0100 vedený u K</w:t>
      </w:r>
      <w:r w:rsidR="00E35DDA">
        <w:t>omerční banky</w:t>
      </w:r>
      <w:r>
        <w:t xml:space="preserve"> a.s.</w:t>
      </w:r>
      <w:r w:rsidR="00A45BA5" w:rsidRPr="00AC23C6">
        <w:br/>
      </w:r>
      <w:r>
        <w:t>Zastoupena</w:t>
      </w:r>
      <w:r w:rsidR="00A45BA5" w:rsidRPr="00CB7607">
        <w:t xml:space="preserve">: </w:t>
      </w:r>
      <w:r w:rsidR="00A45BA5" w:rsidRPr="00CB7607">
        <w:tab/>
      </w:r>
      <w:r>
        <w:t>prof. Ing</w:t>
      </w:r>
      <w:r w:rsidR="00E35DDA">
        <w:t xml:space="preserve">. </w:t>
      </w:r>
      <w:r>
        <w:t xml:space="preserve">Igorem </w:t>
      </w:r>
      <w:proofErr w:type="spellStart"/>
      <w:r>
        <w:t>Jexem</w:t>
      </w:r>
      <w:proofErr w:type="spellEnd"/>
      <w:r w:rsidR="00E35DDA">
        <w:t xml:space="preserve">, </w:t>
      </w:r>
      <w:r>
        <w:t>Dr</w:t>
      </w:r>
      <w:r w:rsidR="00E35DDA">
        <w:t>Sc</w:t>
      </w:r>
      <w:r>
        <w:t>., děkanem FJFI ČVUT</w:t>
      </w:r>
      <w:r w:rsidR="00A45BA5">
        <w:br/>
        <w:t>O</w:t>
      </w:r>
      <w:r w:rsidR="00A45BA5" w:rsidRPr="00577961">
        <w:t>dpovědn</w:t>
      </w:r>
      <w:r w:rsidR="00A45BA5">
        <w:t>ý</w:t>
      </w:r>
      <w:r w:rsidR="00A45BA5" w:rsidRPr="00577961">
        <w:t xml:space="preserve"> </w:t>
      </w:r>
      <w:r w:rsidR="00A45BA5">
        <w:t xml:space="preserve">zaměstnanec </w:t>
      </w:r>
      <w:r w:rsidR="00A45BA5" w:rsidRPr="00577961">
        <w:t xml:space="preserve">za </w:t>
      </w:r>
      <w:r w:rsidR="00A45BA5">
        <w:t>dalšího účastníka (další řešitel)</w:t>
      </w:r>
      <w:r w:rsidR="00A45BA5" w:rsidRPr="00577961">
        <w:t xml:space="preserve">: </w:t>
      </w:r>
      <w:r w:rsidR="00A756E0">
        <w:t>Ing. Tomáš Urban, Ph.D.</w:t>
      </w:r>
    </w:p>
    <w:p w14:paraId="73F07278" w14:textId="77777777" w:rsidR="00A756E0" w:rsidRDefault="00A756E0" w:rsidP="00A45BA5">
      <w:pPr>
        <w:tabs>
          <w:tab w:val="left" w:pos="1701"/>
        </w:tabs>
        <w:jc w:val="left"/>
      </w:pPr>
    </w:p>
    <w:p w14:paraId="737E085D" w14:textId="5C30EEF7" w:rsidR="00A45BA5" w:rsidRDefault="00A45BA5" w:rsidP="00A45BA5">
      <w:pPr>
        <w:tabs>
          <w:tab w:val="left" w:pos="1701"/>
        </w:tabs>
        <w:jc w:val="left"/>
        <w:rPr>
          <w:b/>
        </w:rPr>
      </w:pPr>
      <w:r w:rsidRPr="00CC485F">
        <w:rPr>
          <w:b/>
        </w:rPr>
        <w:t>dále v textu též jako „</w:t>
      </w:r>
      <w:r>
        <w:rPr>
          <w:b/>
        </w:rPr>
        <w:t>další účastník</w:t>
      </w:r>
      <w:r w:rsidRPr="00CC485F">
        <w:rPr>
          <w:b/>
        </w:rPr>
        <w:t>“</w:t>
      </w:r>
    </w:p>
    <w:p w14:paraId="6A646C03" w14:textId="77777777" w:rsidR="00A756E0" w:rsidRDefault="00A756E0" w:rsidP="006522BB">
      <w:pPr>
        <w:rPr>
          <w:b/>
        </w:rPr>
      </w:pPr>
    </w:p>
    <w:p w14:paraId="213CC4CA" w14:textId="77777777" w:rsidR="00A756E0" w:rsidRDefault="00A756E0" w:rsidP="006522BB">
      <w:pPr>
        <w:rPr>
          <w:b/>
        </w:rPr>
      </w:pPr>
    </w:p>
    <w:p w14:paraId="33564057" w14:textId="77777777" w:rsidR="00A756E0" w:rsidRDefault="00A756E0" w:rsidP="006522BB">
      <w:pPr>
        <w:rPr>
          <w:b/>
        </w:rPr>
      </w:pPr>
    </w:p>
    <w:p w14:paraId="2990AA33" w14:textId="77777777" w:rsidR="00A756E0" w:rsidRDefault="00A756E0" w:rsidP="006522BB">
      <w:pPr>
        <w:rPr>
          <w:b/>
        </w:rPr>
      </w:pPr>
    </w:p>
    <w:p w14:paraId="2DDE2AB7" w14:textId="77777777" w:rsidR="00A756E0" w:rsidRDefault="00A756E0" w:rsidP="006522BB">
      <w:pPr>
        <w:rPr>
          <w:b/>
        </w:rPr>
      </w:pPr>
    </w:p>
    <w:p w14:paraId="3F196D32" w14:textId="77777777" w:rsidR="00A756E0" w:rsidRDefault="00A756E0" w:rsidP="006522BB">
      <w:pPr>
        <w:rPr>
          <w:b/>
        </w:rPr>
      </w:pPr>
    </w:p>
    <w:p w14:paraId="4D7EF247" w14:textId="77777777" w:rsidR="00A756E0" w:rsidRDefault="00A756E0" w:rsidP="006522BB">
      <w:pPr>
        <w:rPr>
          <w:b/>
        </w:rPr>
      </w:pPr>
    </w:p>
    <w:p w14:paraId="1A2162D7" w14:textId="77777777" w:rsidR="00A756E0" w:rsidRDefault="00A756E0" w:rsidP="006522BB">
      <w:pPr>
        <w:rPr>
          <w:b/>
        </w:rPr>
      </w:pPr>
    </w:p>
    <w:p w14:paraId="0DD98BCE" w14:textId="77777777" w:rsidR="00A756E0" w:rsidRDefault="00A756E0" w:rsidP="006522BB">
      <w:pPr>
        <w:rPr>
          <w:b/>
        </w:rPr>
      </w:pPr>
    </w:p>
    <w:p w14:paraId="6DD50C10" w14:textId="77777777" w:rsidR="00A756E0" w:rsidRPr="00402EA7" w:rsidRDefault="00A756E0" w:rsidP="006522BB">
      <w:pPr>
        <w:rPr>
          <w:b/>
        </w:rPr>
      </w:pPr>
    </w:p>
    <w:p w14:paraId="1A1CB93C" w14:textId="77777777" w:rsidR="00006DD4" w:rsidRDefault="00006DD4" w:rsidP="006522BB">
      <w:pPr>
        <w:pStyle w:val="Nadpis2"/>
      </w:pPr>
    </w:p>
    <w:p w14:paraId="5AFAE3E0" w14:textId="77777777" w:rsidR="006B1C9F" w:rsidRPr="006522BB" w:rsidRDefault="00A056DE" w:rsidP="006522BB">
      <w:pPr>
        <w:pStyle w:val="Nadpis2"/>
      </w:pPr>
      <w:r w:rsidRPr="006522BB">
        <w:t>I.</w:t>
      </w:r>
      <w:r w:rsidR="007663C2">
        <w:br/>
        <w:t>Předmět smlouvy</w:t>
      </w:r>
    </w:p>
    <w:p w14:paraId="6604E13D" w14:textId="4B5012B7" w:rsidR="004B7A2E" w:rsidRDefault="00E175E2" w:rsidP="006522BB">
      <w:r w:rsidRPr="00E175E2">
        <w:t>1</w:t>
      </w:r>
      <w:r>
        <w:t>.</w:t>
      </w:r>
      <w:r w:rsidRPr="00E175E2">
        <w:tab/>
        <w:t>Předmětem této smlouvy je stanovení podmínek spolupráce smluvních stran na řešení projektu z oblasti výzkumu a vývoje</w:t>
      </w:r>
      <w:r w:rsidR="004B7A2E">
        <w:t xml:space="preserve"> </w:t>
      </w:r>
      <w:r w:rsidR="004B7A2E" w:rsidRPr="004B7A2E">
        <w:rPr>
          <w:bCs/>
        </w:rPr>
        <w:t>předkládaného v</w:t>
      </w:r>
      <w:r w:rsidR="00537795">
        <w:rPr>
          <w:bCs/>
        </w:rPr>
        <w:t xml:space="preserve"> </w:t>
      </w:r>
      <w:r w:rsidR="00537795" w:rsidRPr="00537795">
        <w:rPr>
          <w:bCs/>
        </w:rPr>
        <w:t>Programu na podporu aplikovaného výzkumu a</w:t>
      </w:r>
      <w:r w:rsidR="00303875">
        <w:rPr>
          <w:bCs/>
        </w:rPr>
        <w:t xml:space="preserve"> experimentálního vývoje ZÉTA</w:t>
      </w:r>
      <w:r w:rsidR="00537795">
        <w:rPr>
          <w:bCs/>
        </w:rPr>
        <w:t>, realizovaného Technologickou agenturou ČR</w:t>
      </w:r>
      <w:r w:rsidR="00E61C07">
        <w:t>.</w:t>
      </w:r>
    </w:p>
    <w:p w14:paraId="6441CB55" w14:textId="77777777" w:rsidR="00FE456A" w:rsidRDefault="00FE456A" w:rsidP="006522BB">
      <w:r>
        <w:t>2.</w:t>
      </w:r>
      <w:r>
        <w:tab/>
        <w:t>Identifikace projektu:</w:t>
      </w:r>
    </w:p>
    <w:p w14:paraId="4B22647A" w14:textId="739916B0" w:rsidR="00FE456A" w:rsidRPr="00663C1C" w:rsidRDefault="00FE456A" w:rsidP="00FE456A">
      <w:pPr>
        <w:rPr>
          <w:b/>
        </w:rPr>
      </w:pPr>
      <w:r w:rsidRPr="00663C1C">
        <w:rPr>
          <w:b/>
        </w:rPr>
        <w:t>N</w:t>
      </w:r>
      <w:r w:rsidR="00E175E2" w:rsidRPr="00663C1C">
        <w:rPr>
          <w:b/>
        </w:rPr>
        <w:t>áz</w:t>
      </w:r>
      <w:r w:rsidRPr="00663C1C">
        <w:rPr>
          <w:b/>
        </w:rPr>
        <w:t>e</w:t>
      </w:r>
      <w:r w:rsidR="00E175E2" w:rsidRPr="00663C1C">
        <w:rPr>
          <w:b/>
        </w:rPr>
        <w:t>v</w:t>
      </w:r>
      <w:r w:rsidR="00303875">
        <w:rPr>
          <w:b/>
        </w:rPr>
        <w:t xml:space="preserve">: </w:t>
      </w:r>
      <w:r w:rsidR="00303875" w:rsidRPr="00303875">
        <w:rPr>
          <w:b/>
        </w:rPr>
        <w:t>Materiálové využití odpadních termoplastů při výrobě stavebních hmot pro účely stínění ionizujícího záření</w:t>
      </w:r>
    </w:p>
    <w:p w14:paraId="01758C0B" w14:textId="4C3E5D1E" w:rsidR="00A056DE" w:rsidRPr="00663C1C" w:rsidRDefault="00FE456A" w:rsidP="00FE456A">
      <w:pPr>
        <w:rPr>
          <w:b/>
        </w:rPr>
      </w:pPr>
      <w:proofErr w:type="spellStart"/>
      <w:r w:rsidRPr="00663C1C">
        <w:rPr>
          <w:b/>
        </w:rPr>
        <w:t>Reg</w:t>
      </w:r>
      <w:proofErr w:type="spellEnd"/>
      <w:r w:rsidRPr="00663C1C">
        <w:rPr>
          <w:b/>
        </w:rPr>
        <w:t>.</w:t>
      </w:r>
      <w:r w:rsidR="009C5836">
        <w:rPr>
          <w:b/>
        </w:rPr>
        <w:t xml:space="preserve"> </w:t>
      </w:r>
      <w:proofErr w:type="gramStart"/>
      <w:r w:rsidRPr="00663C1C">
        <w:rPr>
          <w:b/>
        </w:rPr>
        <w:t>č.</w:t>
      </w:r>
      <w:proofErr w:type="gramEnd"/>
      <w:r w:rsidRPr="00663C1C">
        <w:rPr>
          <w:b/>
        </w:rPr>
        <w:t xml:space="preserve">: </w:t>
      </w:r>
      <w:r w:rsidR="00303875" w:rsidRPr="00303875">
        <w:rPr>
          <w:b/>
        </w:rPr>
        <w:t>TJ02000266</w:t>
      </w:r>
    </w:p>
    <w:p w14:paraId="158A2ECE" w14:textId="77777777" w:rsidR="007663C2" w:rsidRDefault="007663C2" w:rsidP="006522BB"/>
    <w:p w14:paraId="71326023" w14:textId="77777777" w:rsidR="007663C2" w:rsidRDefault="007663C2" w:rsidP="007663C2">
      <w:pPr>
        <w:pStyle w:val="Nadpis2"/>
      </w:pPr>
      <w:r>
        <w:t>II.</w:t>
      </w:r>
      <w:r>
        <w:br/>
        <w:t>Řešení projektu</w:t>
      </w:r>
    </w:p>
    <w:p w14:paraId="349F191C" w14:textId="652E35C4" w:rsidR="00475DD6" w:rsidRDefault="00E175E2" w:rsidP="00475DD6">
      <w:r>
        <w:t>1.</w:t>
      </w:r>
      <w:r>
        <w:tab/>
        <w:t xml:space="preserve">Řešení projektu je rozloženo do </w:t>
      </w:r>
      <w:r w:rsidR="00475DD6">
        <w:t>období</w:t>
      </w:r>
      <w:r>
        <w:t xml:space="preserve"> </w:t>
      </w:r>
      <w:r w:rsidR="00475DD6">
        <w:t xml:space="preserve">od </w:t>
      </w:r>
      <w:r w:rsidR="006F3A53">
        <w:t>03/</w:t>
      </w:r>
      <w:r w:rsidR="00303875">
        <w:t>2019</w:t>
      </w:r>
      <w:r w:rsidR="00475DD6">
        <w:t xml:space="preserve"> do </w:t>
      </w:r>
      <w:r w:rsidR="006F3A53">
        <w:t>02/</w:t>
      </w:r>
      <w:r w:rsidR="00303875">
        <w:t>2021</w:t>
      </w:r>
      <w:r w:rsidR="00D80128">
        <w:t>.</w:t>
      </w:r>
    </w:p>
    <w:p w14:paraId="5693291A" w14:textId="33CAA0C1" w:rsidR="00E175E2" w:rsidRDefault="00E175E2" w:rsidP="00E175E2">
      <w:r>
        <w:t>2.</w:t>
      </w:r>
      <w:r>
        <w:tab/>
        <w:t xml:space="preserve">Předmětem řešení projektu je </w:t>
      </w:r>
      <w:r w:rsidR="00303875">
        <w:t>materiálové využití odpadních termoplastů při výrobě stavebních hmot pro účely stínění ionizujícího záření</w:t>
      </w:r>
      <w:r w:rsidR="00A36A71">
        <w:t xml:space="preserve">, dále specifikováno v cílech projektu. </w:t>
      </w:r>
    </w:p>
    <w:p w14:paraId="669CB3CB" w14:textId="56C23ED1" w:rsidR="00E175E2" w:rsidRDefault="00E175E2" w:rsidP="00E175E2">
      <w:r>
        <w:t>3.</w:t>
      </w:r>
      <w:r>
        <w:tab/>
        <w:t>Cíle projektu:</w:t>
      </w:r>
      <w:r w:rsidR="008D1050" w:rsidRPr="008D1050">
        <w:t xml:space="preserve"> </w:t>
      </w:r>
      <w:r w:rsidR="00303875" w:rsidRPr="00A075E3">
        <w:t>Cílem projektu je vytvoření unikátní kompozitní směsi založené na odpadních termoplastech jako pojivu a inertním materiálu jako plnivu s důrazem na stínící schopnosti vůči ionizujícímu záření a zároveň s fyzikálními a chemickými vla</w:t>
      </w:r>
      <w:r w:rsidR="00B11742">
        <w:t>stnostmi odpovídající podmínkám pro </w:t>
      </w:r>
      <w:r w:rsidR="00303875" w:rsidRPr="00A075E3">
        <w:t xml:space="preserve">použití ve stavebnictví. Záměrem je vytvoření směsi, která bude v praxi použita pro výrobu stavebních bloků přímo využitelných ke stavbě budov </w:t>
      </w:r>
      <w:r w:rsidR="00B11742">
        <w:t>(popř.</w:t>
      </w:r>
      <w:r w:rsidR="00303875" w:rsidRPr="00A075E3">
        <w:t xml:space="preserve"> částí budov</w:t>
      </w:r>
      <w:r w:rsidR="00B11742">
        <w:t>)</w:t>
      </w:r>
      <w:r w:rsidR="00303875" w:rsidRPr="00A075E3">
        <w:t xml:space="preserve"> vystavených zdrojům ionizujícímu záření. Po úspěšném návrhu směsi a provedení všech potřebných materiálových zkoušek bude materiál uveden na trh spolu s již existující technologií schop</w:t>
      </w:r>
      <w:r w:rsidR="00B11742">
        <w:t>nou tento materiál zpracovat do </w:t>
      </w:r>
      <w:r w:rsidR="00303875" w:rsidRPr="00A075E3">
        <w:t>požadovaného výrobku.</w:t>
      </w:r>
    </w:p>
    <w:p w14:paraId="24AA5B6C" w14:textId="06503872" w:rsidR="00E175E2" w:rsidRDefault="00E175E2" w:rsidP="00E175E2">
      <w:r>
        <w:t>4.</w:t>
      </w:r>
      <w:r>
        <w:tab/>
        <w:t xml:space="preserve">Předpokládané výsledky: </w:t>
      </w:r>
      <w:proofErr w:type="spellStart"/>
      <w:r w:rsidR="00A075E3">
        <w:t>Gfunk</w:t>
      </w:r>
      <w:proofErr w:type="spellEnd"/>
      <w:r w:rsidR="00A36A71">
        <w:t xml:space="preserve"> – </w:t>
      </w:r>
      <w:r w:rsidR="00A075E3">
        <w:t>funkční vzorek – receptura směsi aplikovaná na zkušebním vzorku</w:t>
      </w:r>
      <w:r w:rsidR="00A36A71">
        <w:t xml:space="preserve">, </w:t>
      </w:r>
      <w:proofErr w:type="spellStart"/>
      <w:r w:rsidR="00A075E3">
        <w:t>Vsouhrn</w:t>
      </w:r>
      <w:proofErr w:type="spellEnd"/>
      <w:r w:rsidR="00A36A71">
        <w:t xml:space="preserve"> – </w:t>
      </w:r>
      <w:r w:rsidR="00A075E3">
        <w:t>souhrnná výzkumná zpráva</w:t>
      </w:r>
      <w:r w:rsidR="00A36A71">
        <w:t xml:space="preserve">, </w:t>
      </w:r>
      <w:r w:rsidR="00A075E3">
        <w:t xml:space="preserve">O </w:t>
      </w:r>
      <w:r w:rsidR="00A36A71">
        <w:t>–</w:t>
      </w:r>
      <w:r w:rsidR="00A075E3">
        <w:t xml:space="preserve"> ostatní výsledky – publikace v odborném časopisu, </w:t>
      </w:r>
      <w:proofErr w:type="spellStart"/>
      <w:r w:rsidR="00A075E3">
        <w:t>Fuzit</w:t>
      </w:r>
      <w:proofErr w:type="spellEnd"/>
      <w:r w:rsidR="00A075E3">
        <w:t xml:space="preserve"> -</w:t>
      </w:r>
      <w:r w:rsidR="00A36A71">
        <w:t xml:space="preserve"> Užitný vzor</w:t>
      </w:r>
      <w:r w:rsidR="00A075E3">
        <w:t xml:space="preserve"> – optimalizovaná receptura chráněná užitným vzorem</w:t>
      </w:r>
      <w:r w:rsidR="00A36A71">
        <w:t>.</w:t>
      </w:r>
    </w:p>
    <w:p w14:paraId="36820E8F" w14:textId="77777777" w:rsidR="00E175E2" w:rsidRDefault="00E175E2" w:rsidP="00E175E2">
      <w:r>
        <w:t>5.</w:t>
      </w:r>
      <w:r>
        <w:tab/>
        <w:t xml:space="preserve">Za řízení </w:t>
      </w:r>
      <w:r w:rsidR="00663C1C">
        <w:t>projektu je odpovědný příjemce.</w:t>
      </w:r>
    </w:p>
    <w:p w14:paraId="36755300" w14:textId="77777777" w:rsidR="007663C2" w:rsidRDefault="007663C2" w:rsidP="007663C2"/>
    <w:p w14:paraId="4DFDF2AD" w14:textId="77777777" w:rsidR="007663C2" w:rsidRDefault="007663C2" w:rsidP="007663C2">
      <w:pPr>
        <w:pStyle w:val="Nadpis2"/>
      </w:pPr>
      <w:r>
        <w:t>I</w:t>
      </w:r>
      <w:r w:rsidR="0083671E">
        <w:t>II</w:t>
      </w:r>
      <w:r>
        <w:t>.</w:t>
      </w:r>
      <w:r>
        <w:br/>
        <w:t>Věcná náplň spolupráce příjemce a dalšího účastníka</w:t>
      </w:r>
    </w:p>
    <w:p w14:paraId="2253C239" w14:textId="7E0E4661" w:rsidR="00775E83" w:rsidRDefault="00775E83" w:rsidP="00775E83">
      <w:r>
        <w:t>1.</w:t>
      </w:r>
      <w:r>
        <w:tab/>
        <w:t>Smluvní strany se za účelem naplnění předmětu smlouvy vymezeného výše zavazují spolupracovat tak, že zajistí spolupráci řešitele a dalšího řešitele (p</w:t>
      </w:r>
      <w:r w:rsidR="00B11742">
        <w:t>říp. dalších pověřených osob) na </w:t>
      </w:r>
      <w:r>
        <w:t>řešení úkolů v rámci projektu v termínech a rozsahu uvedených ve schváleném návrhu projektu.</w:t>
      </w:r>
    </w:p>
    <w:p w14:paraId="024EC35A" w14:textId="77777777" w:rsidR="00775E83" w:rsidRDefault="00775E83" w:rsidP="00775E83">
      <w:r>
        <w:t>2.</w:t>
      </w:r>
      <w:r>
        <w:tab/>
        <w:t>Každá ze smluvních stran odpovídá za tu část projektu, kterou fakticky provádí a vykonává, a to v souladu se schváleným návrhem projektu. Rozdělení činností v rámci řešení projektu je dáno v návrhu projektu a je pro smluvní strany závazné.</w:t>
      </w:r>
    </w:p>
    <w:p w14:paraId="22A9017B" w14:textId="77777777" w:rsidR="00E175E2" w:rsidRDefault="00E175E2" w:rsidP="007663C2"/>
    <w:p w14:paraId="48AA7E7D" w14:textId="77777777" w:rsidR="007663C2" w:rsidRPr="007663C2" w:rsidRDefault="0083671E" w:rsidP="007663C2">
      <w:pPr>
        <w:pStyle w:val="Nadpis2"/>
      </w:pPr>
      <w:r>
        <w:t>I</w:t>
      </w:r>
      <w:r w:rsidR="007663C2">
        <w:t>V.</w:t>
      </w:r>
      <w:r w:rsidR="007663C2">
        <w:br/>
        <w:t>Finanční zajištění projektu</w:t>
      </w:r>
    </w:p>
    <w:p w14:paraId="4FC351BC" w14:textId="4563524D" w:rsidR="00E175E2" w:rsidRDefault="00E175E2" w:rsidP="00E175E2">
      <w:r>
        <w:t>1.</w:t>
      </w:r>
      <w:r>
        <w:tab/>
        <w:t>Příjemce se na základě této smlouvy zavazuje dalšímu účastníku převést na řešení výše uvedené věcné náplně projektu neinvestiční účelové</w:t>
      </w:r>
      <w:r w:rsidR="00AF3A0E">
        <w:t xml:space="preserve"> finanční prostředky </w:t>
      </w:r>
      <w:r w:rsidR="008D1050" w:rsidRPr="008D1050">
        <w:t>ve výši</w:t>
      </w:r>
      <w:r w:rsidR="008D1050" w:rsidRPr="008D1050">
        <w:rPr>
          <w:b/>
        </w:rPr>
        <w:t xml:space="preserve"> </w:t>
      </w:r>
      <w:r w:rsidR="009447D2">
        <w:rPr>
          <w:b/>
        </w:rPr>
        <w:t>1 626 000</w:t>
      </w:r>
      <w:r w:rsidR="00B11742">
        <w:rPr>
          <w:b/>
        </w:rPr>
        <w:t xml:space="preserve"> Kč,</w:t>
      </w:r>
      <w:r w:rsidR="008D1050" w:rsidRPr="008D1050">
        <w:rPr>
          <w:b/>
        </w:rPr>
        <w:t xml:space="preserve"> </w:t>
      </w:r>
    </w:p>
    <w:p w14:paraId="13236859" w14:textId="5C3A5081" w:rsidR="00E175E2" w:rsidRPr="008D1050" w:rsidRDefault="00E175E2" w:rsidP="0080659E">
      <w:pPr>
        <w:spacing w:after="0"/>
      </w:pPr>
      <w:r w:rsidRPr="008D1050">
        <w:t>a to v roce 20</w:t>
      </w:r>
      <w:r w:rsidR="008D1050" w:rsidRPr="008D1050">
        <w:t>1</w:t>
      </w:r>
      <w:r w:rsidR="009447D2">
        <w:t>9</w:t>
      </w:r>
      <w:r w:rsidR="008D1050" w:rsidRPr="008D1050">
        <w:t xml:space="preserve"> </w:t>
      </w:r>
      <w:r w:rsidRPr="008D1050">
        <w:t>ve výši</w:t>
      </w:r>
      <w:r w:rsidR="008D1050" w:rsidRPr="008D1050">
        <w:t xml:space="preserve"> </w:t>
      </w:r>
      <w:r w:rsidR="009447D2">
        <w:rPr>
          <w:b/>
        </w:rPr>
        <w:t xml:space="preserve">720 000 </w:t>
      </w:r>
      <w:r w:rsidR="006F3A53">
        <w:rPr>
          <w:b/>
        </w:rPr>
        <w:t xml:space="preserve">Kč </w:t>
      </w:r>
    </w:p>
    <w:p w14:paraId="5066EA02" w14:textId="6670AF70" w:rsidR="0080659E" w:rsidRPr="008D1050" w:rsidRDefault="0080659E" w:rsidP="0080659E">
      <w:pPr>
        <w:spacing w:after="0"/>
      </w:pPr>
      <w:r w:rsidRPr="008D1050">
        <w:lastRenderedPageBreak/>
        <w:t>v roce 20</w:t>
      </w:r>
      <w:r w:rsidR="009447D2">
        <w:t>20</w:t>
      </w:r>
      <w:r w:rsidR="008D1050" w:rsidRPr="008D1050">
        <w:t xml:space="preserve"> ve výši </w:t>
      </w:r>
      <w:r w:rsidR="009447D2">
        <w:rPr>
          <w:b/>
        </w:rPr>
        <w:t xml:space="preserve">840 000 </w:t>
      </w:r>
      <w:r w:rsidR="006F3A53">
        <w:rPr>
          <w:b/>
        </w:rPr>
        <w:t xml:space="preserve">Kč </w:t>
      </w:r>
    </w:p>
    <w:p w14:paraId="172C3A1A" w14:textId="0BF389D7" w:rsidR="0080659E" w:rsidRPr="008D1050" w:rsidRDefault="0080659E" w:rsidP="00E175E2">
      <w:r w:rsidRPr="008D1050">
        <w:t>v roce 20</w:t>
      </w:r>
      <w:r w:rsidR="009447D2">
        <w:t>21</w:t>
      </w:r>
      <w:r w:rsidR="008D1050" w:rsidRPr="008D1050">
        <w:t xml:space="preserve"> ve výši </w:t>
      </w:r>
      <w:r w:rsidR="009447D2">
        <w:rPr>
          <w:b/>
        </w:rPr>
        <w:t>66 000</w:t>
      </w:r>
      <w:r w:rsidR="006F3A53">
        <w:rPr>
          <w:b/>
        </w:rPr>
        <w:t xml:space="preserve"> Kč.</w:t>
      </w:r>
    </w:p>
    <w:p w14:paraId="16BDB617" w14:textId="77777777" w:rsidR="00E175E2" w:rsidRDefault="00E175E2" w:rsidP="00E175E2">
      <w:r>
        <w:t>2.</w:t>
      </w:r>
      <w:r>
        <w:tab/>
        <w:t>Účelové finanční prostředky je příjemce povinen dalšímu účastníku uhradit vždy bezhotovostním převodem na jeho bankovní účet uvedený v</w:t>
      </w:r>
      <w:r w:rsidR="00123548">
        <w:t> záhlaví této smlouvy</w:t>
      </w:r>
      <w:r>
        <w:t xml:space="preserve"> nejpozději do </w:t>
      </w:r>
      <w:proofErr w:type="gramStart"/>
      <w:r w:rsidR="00586C09">
        <w:t>3</w:t>
      </w:r>
      <w:r>
        <w:t>0-ti</w:t>
      </w:r>
      <w:proofErr w:type="gramEnd"/>
      <w:r>
        <w:t xml:space="preserve"> dnů od obdržení účelových prostředků od poskytovatele.</w:t>
      </w:r>
    </w:p>
    <w:p w14:paraId="06FF3E24" w14:textId="77777777" w:rsidR="00E175E2" w:rsidRDefault="00E175E2" w:rsidP="00E175E2">
      <w:r>
        <w:t>3.</w:t>
      </w:r>
      <w:r>
        <w:tab/>
        <w:t>V případě, že poskytovatel rozhodne o poskytnutí odlišné částky na řešení projektu než je uvedena v návrhu projektu, zavazují se smluvní strany upravit poměrně výši účelových prostředků dodatkem k této smlouvě.</w:t>
      </w:r>
    </w:p>
    <w:p w14:paraId="08FF9DE2" w14:textId="77777777" w:rsidR="00E175E2" w:rsidRDefault="00E175E2" w:rsidP="00E175E2">
      <w:r>
        <w:t>4.</w:t>
      </w:r>
      <w:r>
        <w:tab/>
        <w:t>Převáděné účelové finanční prostředky nejsou předmětem DPH.</w:t>
      </w:r>
    </w:p>
    <w:p w14:paraId="5158A06C" w14:textId="77777777" w:rsidR="00E175E2" w:rsidRDefault="00E175E2" w:rsidP="00E175E2">
      <w:r>
        <w:t>5.</w:t>
      </w:r>
      <w:r>
        <w:tab/>
        <w:t>Účelové finanční prostředky dle této smlouvy jsou příjemcem dalšímu účastníku projektu poskytovány na úhradu skutečně vynaložených provozních nákladů účelově vymezených touto smlouvou.</w:t>
      </w:r>
    </w:p>
    <w:p w14:paraId="500F2759" w14:textId="77777777" w:rsidR="00E175E2" w:rsidRDefault="00E175E2" w:rsidP="00E175E2">
      <w:r>
        <w:t>6.</w:t>
      </w:r>
      <w:r>
        <w:tab/>
        <w:t xml:space="preserve">Smluvní strany ujednávají, že jejich </w:t>
      </w:r>
      <w:r w:rsidR="00D31E3D">
        <w:t xml:space="preserve">finanční </w:t>
      </w:r>
      <w:r>
        <w:t>vklad do spolupráce na řešení projektu je:</w:t>
      </w:r>
    </w:p>
    <w:p w14:paraId="7065728C" w14:textId="3E627E40" w:rsidR="00E175E2" w:rsidRPr="008D1050" w:rsidRDefault="00E175E2" w:rsidP="00D46A92">
      <w:pPr>
        <w:pStyle w:val="Odstavecseseznamem"/>
        <w:numPr>
          <w:ilvl w:val="0"/>
          <w:numId w:val="11"/>
        </w:numPr>
      </w:pPr>
      <w:r w:rsidRPr="008D1050">
        <w:t>ze strany p</w:t>
      </w:r>
      <w:r w:rsidR="008D1050" w:rsidRPr="008D1050">
        <w:t xml:space="preserve">říjemce: </w:t>
      </w:r>
      <w:r w:rsidR="006F3A53">
        <w:t>1 723 000</w:t>
      </w:r>
      <w:r w:rsidR="00512FAD" w:rsidRPr="008D1050">
        <w:t xml:space="preserve"> </w:t>
      </w:r>
      <w:r w:rsidR="0080659E" w:rsidRPr="008D1050">
        <w:t xml:space="preserve">Kč z účelové podpory; </w:t>
      </w:r>
      <w:r w:rsidR="006F3A53">
        <w:t>619 600</w:t>
      </w:r>
      <w:r w:rsidR="00512FAD">
        <w:t xml:space="preserve"> </w:t>
      </w:r>
      <w:r w:rsidR="0080659E" w:rsidRPr="008D1050">
        <w:t>Kč z neveřejných zdrojů</w:t>
      </w:r>
    </w:p>
    <w:p w14:paraId="315DAC75" w14:textId="35F0E9D3" w:rsidR="00D80128" w:rsidRPr="008D1050" w:rsidRDefault="00D80128" w:rsidP="00D46A92">
      <w:pPr>
        <w:pStyle w:val="Odstavecseseznamem"/>
        <w:numPr>
          <w:ilvl w:val="0"/>
          <w:numId w:val="11"/>
        </w:numPr>
      </w:pPr>
      <w:r>
        <w:t>ze stra</w:t>
      </w:r>
      <w:r w:rsidR="00512FAD">
        <w:t>ny dalšího účastníka ČVUT: 1 626 000</w:t>
      </w:r>
      <w:r>
        <w:t xml:space="preserve"> Kč z účelové podpory</w:t>
      </w:r>
      <w:r w:rsidR="00402EA7">
        <w:t>; 0</w:t>
      </w:r>
      <w:r>
        <w:t xml:space="preserve"> Kč z neveřejných zdrojů</w:t>
      </w:r>
    </w:p>
    <w:p w14:paraId="71ADE289" w14:textId="77777777" w:rsidR="007663C2" w:rsidRDefault="007663C2" w:rsidP="006522BB"/>
    <w:p w14:paraId="36D8A066" w14:textId="77777777" w:rsidR="007663C2" w:rsidRDefault="0083671E" w:rsidP="007663C2">
      <w:pPr>
        <w:pStyle w:val="Nadpis2"/>
      </w:pPr>
      <w:r>
        <w:t>V</w:t>
      </w:r>
      <w:r w:rsidR="007663C2">
        <w:t>.</w:t>
      </w:r>
      <w:r w:rsidR="007663C2">
        <w:br/>
        <w:t>Podmínky použití poskytnutých účelových finančních prostředků</w:t>
      </w:r>
    </w:p>
    <w:p w14:paraId="2F8E41FF" w14:textId="77777777" w:rsidR="00E175E2" w:rsidRDefault="00E175E2" w:rsidP="00E175E2">
      <w:r>
        <w:t>1.</w:t>
      </w:r>
      <w:r>
        <w:tab/>
        <w:t xml:space="preserve">Další účastník projektu je povinen: </w:t>
      </w:r>
    </w:p>
    <w:p w14:paraId="7F869E69" w14:textId="77777777" w:rsidR="00E175E2" w:rsidRDefault="00E175E2" w:rsidP="00B361B7">
      <w:pPr>
        <w:pStyle w:val="Odstavecseseznamem"/>
        <w:numPr>
          <w:ilvl w:val="0"/>
          <w:numId w:val="5"/>
        </w:numPr>
      </w:pPr>
      <w:r>
        <w:t>Použít účelové finanční prostředky výhradně k úhradě prokazatelných, nezbytně nutných nákladů přímo souvisejících s plněním cílů a parametrů řešené části projektu, a to v souladu s podmínkami stanovenými obecně závaznými právními předpisy.</w:t>
      </w:r>
    </w:p>
    <w:p w14:paraId="6A782CFC" w14:textId="76E4A39C" w:rsidR="00E175E2" w:rsidRDefault="00E175E2" w:rsidP="00B361B7">
      <w:pPr>
        <w:pStyle w:val="Odstavecseseznamem"/>
        <w:numPr>
          <w:ilvl w:val="0"/>
          <w:numId w:val="5"/>
        </w:numPr>
      </w:pPr>
      <w:r>
        <w:t>Vést o čerpání a užití účelových finančních prostředků poskytnutých na řešení projektu samostatnou účetní evidenci tak, aby tyto prostředky a na</w:t>
      </w:r>
      <w:r w:rsidR="0069666E">
        <w:t>kládání s nimi bylo odděleno od </w:t>
      </w:r>
      <w:r>
        <w:t xml:space="preserve">ostatního majetku dalšího účastníka projektu. Tuto evidenci uchovávat po dobu </w:t>
      </w:r>
      <w:proofErr w:type="gramStart"/>
      <w:r>
        <w:t>10-ti</w:t>
      </w:r>
      <w:proofErr w:type="gramEnd"/>
      <w:r>
        <w:t xml:space="preserve"> let od poskytnutí účelových finančních prostředků na řešení části projektu. Při vedení této účetní evidence je další účastník projektu povinen dodržovat obecně závazné právní předpisy, běžné účetní zvyklosti a příslušné závazné podmínky uvedené v zásadách, pokynech, směrnicích nebo v jiných předpisech uveřejněných ve Finančním zpravodaji Ministerstva financí, nebo jiným obdobným závazným způsobem.</w:t>
      </w:r>
    </w:p>
    <w:p w14:paraId="1F62AFB8" w14:textId="77777777" w:rsidR="00E175E2" w:rsidRDefault="00E175E2" w:rsidP="00B361B7">
      <w:pPr>
        <w:pStyle w:val="Odstavecseseznamem"/>
        <w:numPr>
          <w:ilvl w:val="0"/>
          <w:numId w:val="5"/>
        </w:numPr>
      </w:pPr>
      <w:r>
        <w:t>Provádět pravidelnou kontrolu dalšího řešitele a dalších osob ve věci čerpání, užití a evidence účelových finančních prostředků poskytnutých mu příjemcem v souvislosti s řešením části projektu.</w:t>
      </w:r>
    </w:p>
    <w:p w14:paraId="27FBD619" w14:textId="77777777" w:rsidR="00E175E2" w:rsidRDefault="00E175E2" w:rsidP="00B361B7">
      <w:pPr>
        <w:pStyle w:val="Odstavecseseznamem"/>
        <w:numPr>
          <w:ilvl w:val="0"/>
          <w:numId w:val="5"/>
        </w:numPr>
      </w:pPr>
      <w:r>
        <w:t>Dosáhnout stanovených cílů a parametrů části projektu.</w:t>
      </w:r>
    </w:p>
    <w:p w14:paraId="03515607" w14:textId="77777777" w:rsidR="00E175E2" w:rsidRDefault="00E175E2" w:rsidP="00B361B7">
      <w:pPr>
        <w:pStyle w:val="Odstavecseseznamem"/>
        <w:numPr>
          <w:ilvl w:val="0"/>
          <w:numId w:val="5"/>
        </w:numPr>
      </w:pPr>
      <w:r>
        <w:t>Dodržet v rámci celkových nákladů skutečně vynaložených na řešení části projektu stanovený poměr mezi náklady hrazenými z účelových finančních prostředků poskytnutých ze státního rozpočtu a ostatními stanovenými formami financování části projektu.</w:t>
      </w:r>
    </w:p>
    <w:p w14:paraId="625DEEF5" w14:textId="2E86EE06" w:rsidR="00E175E2" w:rsidRDefault="00E175E2" w:rsidP="00B361B7">
      <w:pPr>
        <w:pStyle w:val="Odstavecseseznamem"/>
        <w:numPr>
          <w:ilvl w:val="0"/>
          <w:numId w:val="5"/>
        </w:numPr>
      </w:pPr>
      <w:r>
        <w:t xml:space="preserve">Předložit příjemci nejpozději do dne </w:t>
      </w:r>
      <w:r w:rsidRPr="005B593E">
        <w:rPr>
          <w:b/>
        </w:rPr>
        <w:t>31. 12</w:t>
      </w:r>
      <w:r w:rsidRPr="00D706FE">
        <w:rPr>
          <w:b/>
        </w:rPr>
        <w:t>.</w:t>
      </w:r>
      <w:r>
        <w:t xml:space="preserve"> kalendářního roku</w:t>
      </w:r>
      <w:r w:rsidR="000C6962">
        <w:t xml:space="preserve"> 2019 a 2020</w:t>
      </w:r>
      <w:r>
        <w:t xml:space="preserve">, písemnou roční zprávu o realizaci části projektu v průběhu daného roku. Do </w:t>
      </w:r>
      <w:r w:rsidR="00D706FE">
        <w:rPr>
          <w:b/>
        </w:rPr>
        <w:t>20</w:t>
      </w:r>
      <w:r w:rsidRPr="005B593E">
        <w:rPr>
          <w:b/>
        </w:rPr>
        <w:t>. 1</w:t>
      </w:r>
      <w:r w:rsidRPr="00D706FE">
        <w:rPr>
          <w:b/>
        </w:rPr>
        <w:t>.</w:t>
      </w:r>
      <w:r>
        <w:t xml:space="preserve"> následujícího roku musí příjemci předložit podrobné vyúčtování hospodaření s poskytnutými účelovými finančními prostředky</w:t>
      </w:r>
      <w:r w:rsidR="000C6962">
        <w:t xml:space="preserve"> v daném kalendářním roce</w:t>
      </w:r>
      <w:r>
        <w:t xml:space="preserve">. Návazně je další účastník projektu povinen vrátit příjemci do dne </w:t>
      </w:r>
      <w:r w:rsidRPr="005B593E">
        <w:rPr>
          <w:b/>
        </w:rPr>
        <w:t>31. 1.</w:t>
      </w:r>
      <w:r>
        <w:t xml:space="preserve"> následujícího kalendářního roku účelové finanční prostředky, které nebyly dalším účastníkem projektu dočerpány do konce kalendářního roku s tím, že vrácené účelové finanční prostředky budou příjemci avizovány předem a ten je povinen je následně do </w:t>
      </w:r>
      <w:r w:rsidRPr="005B593E">
        <w:rPr>
          <w:b/>
        </w:rPr>
        <w:t>15. 2</w:t>
      </w:r>
      <w:r>
        <w:t>. vrátit do státního rozpočtu.</w:t>
      </w:r>
      <w:bookmarkStart w:id="0" w:name="_GoBack"/>
      <w:bookmarkEnd w:id="0"/>
    </w:p>
    <w:p w14:paraId="1FFA6DF2" w14:textId="61646CD5" w:rsidR="004846FE" w:rsidRDefault="004846FE" w:rsidP="004846FE">
      <w:pPr>
        <w:pStyle w:val="Odstavecseseznamem"/>
        <w:numPr>
          <w:ilvl w:val="0"/>
          <w:numId w:val="5"/>
        </w:numPr>
      </w:pPr>
      <w:r w:rsidRPr="004846FE">
        <w:t xml:space="preserve">Předložit příjemci nejpozději do </w:t>
      </w:r>
      <w:r w:rsidRPr="004846FE">
        <w:rPr>
          <w:b/>
        </w:rPr>
        <w:t xml:space="preserve">15. 3. </w:t>
      </w:r>
      <w:r w:rsidRPr="004846FE">
        <w:t xml:space="preserve">2021 písemnou zprávu o realizaci projektu za celou dobu řešení projektu. Do </w:t>
      </w:r>
      <w:r w:rsidRPr="004846FE">
        <w:rPr>
          <w:b/>
        </w:rPr>
        <w:t xml:space="preserve">20. 3. </w:t>
      </w:r>
      <w:r w:rsidRPr="004846FE">
        <w:t xml:space="preserve">2021 musí příjemci předložit podrobné vyúčtování hospodaření s </w:t>
      </w:r>
      <w:r w:rsidRPr="004846FE">
        <w:lastRenderedPageBreak/>
        <w:t xml:space="preserve">poskytnutými prostředky v kalendářním roce 2021. Návazně je další účastník projektu povinen vrátit příjemci do dne </w:t>
      </w:r>
      <w:r w:rsidRPr="004846FE">
        <w:rPr>
          <w:b/>
        </w:rPr>
        <w:t>25. 3.</w:t>
      </w:r>
      <w:r w:rsidRPr="004846FE">
        <w:t xml:space="preserve"> 2021 roku účelové finanční prostředky, které nebyly dalším účastníkem projektu v roce 2021 dočerpány, a to s tím, že vrácené účelové finanční prostředky budou příjemci avizovány předem a ten je povinen je následně do </w:t>
      </w:r>
      <w:r w:rsidRPr="004846FE">
        <w:rPr>
          <w:b/>
        </w:rPr>
        <w:t>2. 4.</w:t>
      </w:r>
      <w:r w:rsidRPr="004846FE">
        <w:t xml:space="preserve"> 2021 vrátit do státního rozpočtu.</w:t>
      </w:r>
    </w:p>
    <w:p w14:paraId="48A5117C" w14:textId="77777777" w:rsidR="00E175E2" w:rsidRDefault="00E175E2" w:rsidP="00B361B7">
      <w:pPr>
        <w:pStyle w:val="Odstavecseseznamem"/>
        <w:numPr>
          <w:ilvl w:val="0"/>
          <w:numId w:val="5"/>
        </w:numPr>
      </w:pPr>
      <w:r>
        <w:t>V případě, že vznikne povinnost vrácení účelových finančních prostředků z jiných důvodů, než na podkladě finančního vypořádání, je další účastník projektu povinen neprodleně písemně požádat příjemce o sdělení podmínek a způsobu vypořádání těchto prostředků.</w:t>
      </w:r>
    </w:p>
    <w:p w14:paraId="7F9CA2C7" w14:textId="77777777" w:rsidR="00E175E2" w:rsidRDefault="00E175E2" w:rsidP="00B361B7">
      <w:pPr>
        <w:pStyle w:val="Odstavecseseznamem"/>
        <w:numPr>
          <w:ilvl w:val="0"/>
          <w:numId w:val="5"/>
        </w:numPr>
      </w:pPr>
      <w:r>
        <w:t>Umožnit poskytovateli a příjemci či jimi pověřeným osobám provádět komplexní kontrolu jak výsledků řešení projektu, tak i účetní evidence a použití účelových finančních prostředků, které byly na řešení části projektu poskytnuty ze státního rozpočtu, a to kdykoli v průběhu řešení projektu nebo d</w:t>
      </w:r>
      <w:r w:rsidRPr="002E1BFC">
        <w:t xml:space="preserve">o </w:t>
      </w:r>
      <w:proofErr w:type="gramStart"/>
      <w:r w:rsidRPr="002E1BFC">
        <w:t>10-ti</w:t>
      </w:r>
      <w:proofErr w:type="gramEnd"/>
      <w:r w:rsidRPr="002E1BFC">
        <w:t xml:space="preserve"> let o</w:t>
      </w:r>
      <w:r>
        <w:t>d ukončení poskytování finančních prostředků ze státního rozpočtu na část projektu. Tímto ujednáním nejsou dotčena ani omezena práva kontrolních a finančních orgánů státní správy České republiky.</w:t>
      </w:r>
    </w:p>
    <w:p w14:paraId="371D993D" w14:textId="77777777" w:rsidR="00E175E2" w:rsidRDefault="00E175E2" w:rsidP="00B361B7">
      <w:pPr>
        <w:pStyle w:val="Odstavecseseznamem"/>
        <w:numPr>
          <w:ilvl w:val="0"/>
          <w:numId w:val="5"/>
        </w:numPr>
      </w:pPr>
      <w:r>
        <w:t>Postupovat při nakládání s účelovými finančními prostředky získanými na základě rozhodnutí poskytovatele a této smlouvy a s majetkem a právy za ně pořízenými v souladu s obecně závaznými právními předpisy týkajícími se hospodaření se státním majetkem (např. zák. č. 13</w:t>
      </w:r>
      <w:r w:rsidR="006730A0">
        <w:t>4</w:t>
      </w:r>
      <w:r>
        <w:t>/20</w:t>
      </w:r>
      <w:r w:rsidR="006730A0">
        <w:t>1</w:t>
      </w:r>
      <w:r>
        <w:t xml:space="preserve">6 Sb., o </w:t>
      </w:r>
      <w:r w:rsidR="00582666">
        <w:t xml:space="preserve">zadávání </w:t>
      </w:r>
      <w:r>
        <w:t>veřejných zakáz</w:t>
      </w:r>
      <w:r w:rsidR="00582666">
        <w:t>ek</w:t>
      </w:r>
      <w:r>
        <w:t>, ve znění pozdějších předpisů; zák. č. 218/2000 Sb., o rozpočtových pravidlech a o změně některých souvisejících zákonů, ve znění pozdějších předpisů).</w:t>
      </w:r>
    </w:p>
    <w:p w14:paraId="058C9733" w14:textId="77777777" w:rsidR="00E175E2" w:rsidRDefault="00E175E2" w:rsidP="00B361B7">
      <w:pPr>
        <w:pStyle w:val="Odstavecseseznamem"/>
        <w:numPr>
          <w:ilvl w:val="0"/>
          <w:numId w:val="5"/>
        </w:numPr>
      </w:pPr>
      <w:r>
        <w:t>Informovat příjemce o případné své neschopnosti plnit řádně a včas povinnosti vyplývající pro něj z této smlouvy a o všech významných změnách svého majetkoprávního postavení, jakými jsou zejména vznik, spojení či rozdělení společnosti, změna právní formy, snížení základního kapitálu, vstup do likvidace, zahájení insolventního řízení, zánik příslušného oprávnění k činnosti apod., a to bezprostředně poté, co tyto změny nabydou právní platnost.</w:t>
      </w:r>
    </w:p>
    <w:p w14:paraId="7D91316D" w14:textId="77777777" w:rsidR="00E175E2" w:rsidRPr="003F39BC" w:rsidRDefault="00E175E2" w:rsidP="00B361B7">
      <w:pPr>
        <w:pStyle w:val="Odstavecseseznamem"/>
        <w:numPr>
          <w:ilvl w:val="0"/>
          <w:numId w:val="5"/>
        </w:numPr>
      </w:pPr>
      <w:r>
        <w:t xml:space="preserve">Vrátit příjemci veškeré poskytnuté účelové finanční prostředky včetně majetkového prospěchu získaného v souvislosti s jejich použitím a to do </w:t>
      </w:r>
      <w:proofErr w:type="gramStart"/>
      <w:r>
        <w:t>30-ti</w:t>
      </w:r>
      <w:proofErr w:type="gramEnd"/>
      <w:r>
        <w:t xml:space="preserve"> dnů ode dne, kdy oznámí, nebo kdy měl oznámit příjemci ve smyslu předchozího odstavce, že nastaly skutečnosti, na jejichž základě další účastník projektu nebude moci nadále plnit své povinnosti vyplývající pro něj z </w:t>
      </w:r>
      <w:r w:rsidRPr="003F39BC">
        <w:t>této smlouvy.</w:t>
      </w:r>
    </w:p>
    <w:p w14:paraId="462221C0" w14:textId="77777777" w:rsidR="007663C2" w:rsidRPr="00586C09" w:rsidRDefault="00E175E2" w:rsidP="00E175E2">
      <w:pPr>
        <w:rPr>
          <w:i/>
          <w:color w:val="FF0000"/>
        </w:rPr>
      </w:pPr>
      <w:r w:rsidRPr="003F39BC">
        <w:t>2</w:t>
      </w:r>
      <w:r w:rsidR="00B361B7" w:rsidRPr="003F39BC">
        <w:t>.</w:t>
      </w:r>
      <w:r w:rsidRPr="003F39BC">
        <w:tab/>
        <w:t>Jestliže další účastník projektu v příslušném kalendářním roce nedočerpá všechny účelové finanční prostředky poskytnuté mu na dané období příjemcem, je v takovém případě oprávněn část nedočerpaných účelových finančních prostředků až do výše 5% celkové účelové podpory poskytnuté mu příjemcem na dané období převést do fondu účelově určených prostředků a užít tyto finanční prostředky v následujícím roce. Ujednání předchozí věty nelze užít v posledním roce spolupráce smluvních stran v souvislosti s touto smlouvou</w:t>
      </w:r>
      <w:r w:rsidR="00586C09">
        <w:t xml:space="preserve">.       </w:t>
      </w:r>
    </w:p>
    <w:p w14:paraId="2675A608" w14:textId="77777777" w:rsidR="007663C2" w:rsidRDefault="007663C2" w:rsidP="007663C2"/>
    <w:p w14:paraId="0A6F4E3C" w14:textId="77777777" w:rsidR="007663C2" w:rsidRDefault="0083671E" w:rsidP="007663C2">
      <w:pPr>
        <w:pStyle w:val="Nadpis2"/>
      </w:pPr>
      <w:r>
        <w:t>VI</w:t>
      </w:r>
      <w:r w:rsidR="007663C2">
        <w:t>.</w:t>
      </w:r>
      <w:r w:rsidR="007663C2">
        <w:br/>
        <w:t>Práva k hmotnému majetku</w:t>
      </w:r>
    </w:p>
    <w:p w14:paraId="6B1918A7" w14:textId="77777777" w:rsidR="00E175E2" w:rsidRDefault="00E175E2" w:rsidP="00E175E2">
      <w:r>
        <w:t>1.</w:t>
      </w:r>
      <w:r>
        <w:tab/>
        <w:t xml:space="preserve">Vlastníkem hmotného majetku, nutného k řešení projektu a pořízeného z poskytnutých účelových prostředků, je ta smluvní strana, která si uvedený majetek pořídila nebo ho při řešení projektu vytvořila. Byl-li tento majetek pořízen či vytvořen příjemcem a dalším účastníkem společně, je jejich podíl na vlastnictví tohoto majetku stejný, nedohodnou-li se jinak. </w:t>
      </w:r>
    </w:p>
    <w:p w14:paraId="3CD3BC19" w14:textId="77777777" w:rsidR="00E175E2" w:rsidRDefault="00E175E2" w:rsidP="00E175E2">
      <w:r>
        <w:t>2.</w:t>
      </w:r>
      <w:r>
        <w:tab/>
        <w:t>S majetkem, který další účastník projektu získá v přímé souvislosti s plněním cílů projektu a který pořídí z poskytnutých účelových finančních prostředků, není další účastník projektu oprávněn nakládat ve vztahu k třetím osobám v rozporu s touto smlouvou bez předchozího písemného souhlasu příjemce, a to až do doby úplného vyrovnání všech závazků, které pro dalšího účastníka projektu vyplývají z této smlouvy.</w:t>
      </w:r>
    </w:p>
    <w:p w14:paraId="21E3E79F" w14:textId="77777777" w:rsidR="007663C2" w:rsidRPr="007663C2" w:rsidRDefault="00E175E2" w:rsidP="00E175E2">
      <w:r>
        <w:t>3.</w:t>
      </w:r>
      <w:r>
        <w:tab/>
        <w:t>Smluvní strany se zavazují zpřístupnit si vzájemně zařízení potřebná k řešen</w:t>
      </w:r>
      <w:r w:rsidR="00AC1024">
        <w:t>í projektu</w:t>
      </w:r>
      <w:r w:rsidR="0080659E">
        <w:t>.</w:t>
      </w:r>
    </w:p>
    <w:p w14:paraId="3F397EC0" w14:textId="77777777" w:rsidR="007663C2" w:rsidRDefault="007663C2" w:rsidP="006522BB"/>
    <w:p w14:paraId="1BC06A3D" w14:textId="77777777" w:rsidR="00B9307F" w:rsidRDefault="00B9307F" w:rsidP="00B9307F">
      <w:pPr>
        <w:pStyle w:val="Nadpis2"/>
      </w:pPr>
      <w:r>
        <w:t>VII.</w:t>
      </w:r>
      <w:r>
        <w:br/>
        <w:t>Ochrana duševního vlastnictví</w:t>
      </w:r>
    </w:p>
    <w:p w14:paraId="3FB85B82" w14:textId="77777777" w:rsidR="00B9307F" w:rsidRDefault="00B9307F" w:rsidP="00B9307F">
      <w:r>
        <w:t>1.</w:t>
      </w:r>
      <w:r>
        <w:tab/>
        <w:t>Strany této smlouvy výslovně prohlašují, že všechny informace vztahující se k řešení projektu včetně jeho návrhu, k vkládaným znalostem, k výsledkům řešení projektu anebo jejich částem považují za důvěrné, případně za své obchodní tajemství, pokud se v konkrétním případě výslovně nedohodnou jinak. Za důvěrné budou smluvní strany považovat všechny informace technické nebo obchodní povahy týkající se projektu, které jedna strana zpřístupní jiné straně, pokud poskytující strana výslovně při jejich předání neuvede, že důvěrný charakter nemají. Smluvní strany se zavazují dbát o utajení všech důvěrných informací s náležitou péčí a nepředat důvěrné informace získané od jiné smluvní strany bez jejího předchozího písemného souhlasu třetí osobě. S důvěrnými informacemi se mohou seznámit jen takoví pracovníci smluvní strany a její subdodavatelé, kteří je potřebují znát pro řádné plnění projektu.</w:t>
      </w:r>
      <w:r w:rsidDel="0000004C">
        <w:t xml:space="preserve"> </w:t>
      </w:r>
      <w:r>
        <w:t>Závazek k ochraně důvěrných informací se nevztahuje na informace již oprávněně zveřejněné a na informace povinně předávané poskytovateli dotace, kontrolním orgánům v souvislosti s poskytnutou dotací a do Rejstříku informací o výsledcích (RIV). Pokud jsou předmětem projektu též utajované skutečnosti podle zvláštního zákona, řídí se nakládání s nimi platnou legislativou.</w:t>
      </w:r>
    </w:p>
    <w:p w14:paraId="1E9B70A8" w14:textId="77777777" w:rsidR="00B9307F" w:rsidRDefault="00B9307F" w:rsidP="00B9307F">
      <w:r>
        <w:t>2.</w:t>
      </w:r>
      <w:r>
        <w:tab/>
        <w:t>Znalosti vkládané do projektu:</w:t>
      </w:r>
    </w:p>
    <w:p w14:paraId="4C3D9C1F" w14:textId="77777777" w:rsidR="00B9307F" w:rsidRPr="00402EA7" w:rsidRDefault="00B9307F" w:rsidP="00B9307F">
      <w:pPr>
        <w:pStyle w:val="Odstavecseseznamem"/>
        <w:numPr>
          <w:ilvl w:val="0"/>
          <w:numId w:val="7"/>
        </w:numPr>
      </w:pPr>
      <w:r>
        <w:t xml:space="preserve">Smluvní strany vstupují do projektu s následujícími dovednostmi, know-how a jinými právy </w:t>
      </w:r>
      <w:r w:rsidRPr="00402EA7">
        <w:t>duševního vlastnictví, které jsou potřebné pro realizaci projektu (vkládané znalosti):</w:t>
      </w:r>
    </w:p>
    <w:p w14:paraId="78813318" w14:textId="77777777" w:rsidR="007C7367" w:rsidRDefault="007C7367" w:rsidP="00B9307F">
      <w:pPr>
        <w:pStyle w:val="Odstavecseseznamem"/>
      </w:pPr>
    </w:p>
    <w:p w14:paraId="729B28DA" w14:textId="77777777" w:rsidR="00B9307F" w:rsidRPr="00402EA7" w:rsidRDefault="00B9307F" w:rsidP="00B9307F">
      <w:pPr>
        <w:pStyle w:val="Odstavecseseznamem"/>
      </w:pPr>
      <w:r w:rsidRPr="00402EA7">
        <w:t xml:space="preserve">Příjemce: </w:t>
      </w:r>
    </w:p>
    <w:p w14:paraId="457B19FF" w14:textId="77777777" w:rsidR="00402EA7" w:rsidRPr="00402EA7" w:rsidRDefault="00402EA7" w:rsidP="00402EA7">
      <w:pPr>
        <w:pStyle w:val="Odstavecseseznamem"/>
        <w:numPr>
          <w:ilvl w:val="0"/>
          <w:numId w:val="14"/>
        </w:numPr>
      </w:pPr>
      <w:r w:rsidRPr="00402EA7">
        <w:t>Procesní parametry</w:t>
      </w:r>
    </w:p>
    <w:p w14:paraId="0955DA1D" w14:textId="47079A03" w:rsidR="00815232" w:rsidRDefault="00402EA7" w:rsidP="007725C7">
      <w:pPr>
        <w:pStyle w:val="Odstavecseseznamem"/>
        <w:numPr>
          <w:ilvl w:val="0"/>
          <w:numId w:val="14"/>
        </w:numPr>
      </w:pPr>
      <w:r w:rsidRPr="00402EA7">
        <w:t xml:space="preserve">Receptury základních </w:t>
      </w:r>
      <w:proofErr w:type="spellStart"/>
      <w:r w:rsidRPr="00402EA7">
        <w:t>kompozitů</w:t>
      </w:r>
      <w:proofErr w:type="spellEnd"/>
    </w:p>
    <w:p w14:paraId="301F4053" w14:textId="39F37636" w:rsidR="007725C7" w:rsidRDefault="007725C7" w:rsidP="007725C7">
      <w:pPr>
        <w:pStyle w:val="Odstavecseseznamem"/>
        <w:numPr>
          <w:ilvl w:val="0"/>
          <w:numId w:val="14"/>
        </w:numPr>
      </w:pPr>
      <w:r>
        <w:t>Ověřená technologie výroby polymerního betonu</w:t>
      </w:r>
    </w:p>
    <w:p w14:paraId="09AC3FFB" w14:textId="77777777" w:rsidR="007725C7" w:rsidRPr="00402EA7" w:rsidRDefault="007725C7" w:rsidP="007725C7">
      <w:pPr>
        <w:pStyle w:val="Odstavecseseznamem"/>
      </w:pPr>
    </w:p>
    <w:p w14:paraId="3D9D3851" w14:textId="54BA59D3" w:rsidR="00B9307F" w:rsidRPr="00402EA7" w:rsidRDefault="000C6962" w:rsidP="00B9307F">
      <w:pPr>
        <w:pStyle w:val="Odstavecseseznamem"/>
      </w:pPr>
      <w:r>
        <w:t>Další účastník</w:t>
      </w:r>
      <w:r w:rsidR="008D1050" w:rsidRPr="00402EA7">
        <w:t>:</w:t>
      </w:r>
      <w:r w:rsidR="00B9307F" w:rsidRPr="00402EA7">
        <w:t xml:space="preserve"> </w:t>
      </w:r>
    </w:p>
    <w:p w14:paraId="43C7341A" w14:textId="23E554EC" w:rsidR="00E35DDA" w:rsidRDefault="000C6962" w:rsidP="00140EB7">
      <w:pPr>
        <w:pStyle w:val="Odstavecseseznamem"/>
        <w:numPr>
          <w:ilvl w:val="0"/>
          <w:numId w:val="15"/>
        </w:numPr>
      </w:pPr>
      <w:r>
        <w:t>Metodika měření zeslabení fotonového svazku při průchodu materiálem</w:t>
      </w:r>
    </w:p>
    <w:p w14:paraId="2AA1CCC1" w14:textId="09500EF6" w:rsidR="00C51611" w:rsidRDefault="000C6962" w:rsidP="00140EB7">
      <w:pPr>
        <w:pStyle w:val="Odstavecseseznamem"/>
        <w:numPr>
          <w:ilvl w:val="0"/>
          <w:numId w:val="15"/>
        </w:numPr>
      </w:pPr>
      <w:r>
        <w:t>Metodika měření zeslabení neutronového svazku při průchodu materiálem</w:t>
      </w:r>
    </w:p>
    <w:p w14:paraId="6BC8F743" w14:textId="581BF800" w:rsidR="00C51611" w:rsidRDefault="000C6962" w:rsidP="00140EB7">
      <w:pPr>
        <w:pStyle w:val="Odstavecseseznamem"/>
        <w:numPr>
          <w:ilvl w:val="0"/>
          <w:numId w:val="15"/>
        </w:numPr>
      </w:pPr>
      <w:r>
        <w:t>Simulace transportu záření materiálem metodou Monte Carlo</w:t>
      </w:r>
    </w:p>
    <w:p w14:paraId="17C2AC72" w14:textId="77777777" w:rsidR="00C51611" w:rsidRDefault="00C51611" w:rsidP="00C51611">
      <w:pPr>
        <w:pStyle w:val="Odstavecseseznamem"/>
      </w:pPr>
    </w:p>
    <w:p w14:paraId="4C26B4E4" w14:textId="77777777" w:rsidR="00B9307F" w:rsidRDefault="00B9307F" w:rsidP="00B9307F">
      <w:pPr>
        <w:pStyle w:val="Odstavecseseznamem"/>
        <w:numPr>
          <w:ilvl w:val="0"/>
          <w:numId w:val="7"/>
        </w:numPr>
      </w:pPr>
      <w:r>
        <w:t>Vkládané znalosti zůstávají vlastnictvím strany, která je do projektu vložila.</w:t>
      </w:r>
    </w:p>
    <w:p w14:paraId="03F67ACE" w14:textId="77777777" w:rsidR="00B9307F" w:rsidRDefault="00B9307F" w:rsidP="00B9307F">
      <w:pPr>
        <w:pStyle w:val="Odstavecseseznamem"/>
        <w:numPr>
          <w:ilvl w:val="0"/>
          <w:numId w:val="7"/>
        </w:numPr>
      </w:pPr>
      <w:r>
        <w:t xml:space="preserve">Ostatní smluvní strany jsou oprávněny použít vkládané znalosti pro práce na projektu, pokud jsou nezbytně potřebné, po dobu trvání projektu zdarma. </w:t>
      </w:r>
    </w:p>
    <w:p w14:paraId="21D1DA80" w14:textId="77777777" w:rsidR="00B9307F" w:rsidRDefault="00B9307F" w:rsidP="00B9307F">
      <w:pPr>
        <w:pStyle w:val="Odstavecseseznamem"/>
        <w:numPr>
          <w:ilvl w:val="0"/>
          <w:numId w:val="7"/>
        </w:numPr>
      </w:pPr>
      <w:r>
        <w:t xml:space="preserve">Smluvní strany mají právo na nevýhradní licenci za tržních podmínek k vkládaným znalostem ve vlastnictví jiné strany, pokud je nezbytně potřebují pro využití vlastních výsledků projektu, protože bez nich by bylo užití vlastních výsledků technicky nebo právně nemožné. O licenci je třeba požádat do dvou let od skončení projektu. </w:t>
      </w:r>
    </w:p>
    <w:p w14:paraId="0AB813AE" w14:textId="77777777" w:rsidR="00B9307F" w:rsidRDefault="00B9307F" w:rsidP="00B9307F">
      <w:pPr>
        <w:pStyle w:val="Odstavecseseznamem"/>
        <w:numPr>
          <w:ilvl w:val="0"/>
          <w:numId w:val="7"/>
        </w:numPr>
      </w:pPr>
      <w:r>
        <w:t>Smluvní strany nejsou oprávněny použít vkládané znalosti k jinému účelu a jiným způsobem, pokud si předem písemně nesjednají jinak zvláštní smlouvou.</w:t>
      </w:r>
    </w:p>
    <w:p w14:paraId="52D7B002" w14:textId="77777777" w:rsidR="00B9307F" w:rsidRDefault="00B9307F" w:rsidP="00B9307F">
      <w:pPr>
        <w:pStyle w:val="Odstavecseseznamem"/>
        <w:numPr>
          <w:ilvl w:val="0"/>
          <w:numId w:val="7"/>
        </w:numPr>
      </w:pPr>
      <w:r>
        <w:t>Smluvní strany používají vkládané znalosti druhé strany na vlastní nebezpečí a berou na vědomí, že jsou jim vkládané znalosti zpřístupněny bez jakékoli záruky, zejména, co se týče jejich správnosti, přesnosti a vhodnosti pro konkrétní účel. Smluvní strana, která vkládané znalosti jiné strany použije, je sama odpovědná za případná porušení práv duševního vlastnictví třetích osob.</w:t>
      </w:r>
    </w:p>
    <w:p w14:paraId="3788269A" w14:textId="77777777" w:rsidR="00B9307F" w:rsidRDefault="00B9307F" w:rsidP="00B9307F">
      <w:r>
        <w:t>3.</w:t>
      </w:r>
      <w:r>
        <w:tab/>
        <w:t>Ochrana duševního vlastnictví:</w:t>
      </w:r>
    </w:p>
    <w:p w14:paraId="7D3DAEAB" w14:textId="77777777" w:rsidR="00B9307F" w:rsidRDefault="00B9307F" w:rsidP="00B9307F">
      <w:pPr>
        <w:pStyle w:val="Odstavecseseznamem"/>
        <w:numPr>
          <w:ilvl w:val="0"/>
          <w:numId w:val="3"/>
        </w:numPr>
      </w:pPr>
      <w:r>
        <w:t xml:space="preserve">Vlastník výsledků je povinen na svůj náklad a odpovědnost navrhnout a realizovat vhodnou ochranu duševního vlastnictví ztělesněného v dosažených výsledcích. Ochrana duševního vlastnictví spočívá zejména v podání domácích a/nebo zahraničních přihlášek technického </w:t>
      </w:r>
      <w:r>
        <w:lastRenderedPageBreak/>
        <w:t>řešení jako patentově chráněný vynález, užitný vzor a průmyslový vzor, utajení informací o výsledcích, případně ochrana autorským právem.</w:t>
      </w:r>
    </w:p>
    <w:p w14:paraId="4262D653" w14:textId="77777777" w:rsidR="00B9307F" w:rsidRDefault="00B9307F" w:rsidP="00B9307F">
      <w:pPr>
        <w:pStyle w:val="Odstavecseseznamem"/>
        <w:numPr>
          <w:ilvl w:val="0"/>
          <w:numId w:val="3"/>
        </w:numPr>
      </w:pPr>
      <w:r>
        <w:t>Pokud výsledek vlastní smluvní strany společně, podají přihlášku k ochraně společně a to tak, aby se smluvní strany staly spolumajiteli (spoluvlastníky) příslušného ochranného institutu. Pro vztahy mezi smluvními stranami jako spolumajiteli příslušného předmětu práv průmyslového vlastnictví se použijí ustanovení obecně závazných právních předpisů upravující podílové spoluvlastnictví; na nákladech spojených se získáním a udržováním ochrany se strany podílejí podle spoluvlastnických podílů. K převodu předmětu práv průmyslového vlastnictví, zejména převodu patentu anebo užitného vzoru, k nabídce licence předmětu práv duševního vlastnictví či k uzavření licenční smlouvy s třetí osobou bude vždy zapotřebí písemného souhlasu všech spoluvlastníků. Každý ze spoluvlastníků je oprávněn samostatně uplatňovat nároky z prokazatelných porušení práv k předmětu (předmětům) duševního vlastnictví. Výnosy z licencování společných výsledků třetím osobám se rozdělí podle výše spoluvlastnických podílů.</w:t>
      </w:r>
    </w:p>
    <w:p w14:paraId="64C4FFE6" w14:textId="77777777" w:rsidR="00B9307F" w:rsidRDefault="00B9307F" w:rsidP="00B9307F">
      <w:r>
        <w:t>4.</w:t>
      </w:r>
      <w:r>
        <w:tab/>
      </w:r>
      <w:r w:rsidRPr="00D31E3D">
        <w:t>Smluvní strany jsou povinny zajistit si vůči nositelům chráněných práv duševního vlastnictví vzniklých v souvislosti s realizací části projektu možnost volného nakládání s těmito právy (zejména řádně a včas uplatnit vůči původci právo na zaměstnanecký vynález, užitný vzor nebo průmyslový vzor, popřípadě se vypořádat s původci a autory smluvně).</w:t>
      </w:r>
      <w:r w:rsidRPr="00F15E2E">
        <w:t xml:space="preserve"> </w:t>
      </w:r>
      <w:r>
        <w:t>Každá ze stran je zodpovědná za vypořádání nároků autorů a původců na své straně.</w:t>
      </w:r>
    </w:p>
    <w:p w14:paraId="7499FAE9" w14:textId="77777777" w:rsidR="00B9307F" w:rsidRDefault="00B9307F" w:rsidP="00B9307F">
      <w:r>
        <w:t>5.</w:t>
      </w:r>
      <w:r>
        <w:tab/>
        <w:t>Pokud se smluvní strany nedohodnou písemně jinak, uplatní se ustanovení tohoto článku obdobně na nároky k výsledkům projektu v případě předčasného ukončení smlouvy.</w:t>
      </w:r>
    </w:p>
    <w:p w14:paraId="523BAD1C" w14:textId="77777777" w:rsidR="00B9307F" w:rsidRDefault="00B9307F" w:rsidP="00B9307F"/>
    <w:p w14:paraId="566CFDBC" w14:textId="77777777" w:rsidR="00B9307F" w:rsidRPr="007663C2" w:rsidRDefault="00B9307F" w:rsidP="00B9307F">
      <w:pPr>
        <w:pStyle w:val="Nadpis2"/>
      </w:pPr>
      <w:r>
        <w:t>VIII.</w:t>
      </w:r>
      <w:r>
        <w:br/>
        <w:t>Práva k výsledkům a využití výsledků</w:t>
      </w:r>
    </w:p>
    <w:p w14:paraId="2E4F0B16" w14:textId="77777777" w:rsidR="00B9307F" w:rsidRDefault="00B9307F" w:rsidP="00B9307F">
      <w:r>
        <w:t>1.</w:t>
      </w:r>
      <w:r>
        <w:tab/>
        <w:t>Práva k výsledkům:</w:t>
      </w:r>
    </w:p>
    <w:p w14:paraId="29691326" w14:textId="77777777" w:rsidR="00B9307F" w:rsidRDefault="00B9307F" w:rsidP="00B9307F">
      <w:pPr>
        <w:pStyle w:val="Odstavecseseznamem"/>
        <w:numPr>
          <w:ilvl w:val="0"/>
          <w:numId w:val="1"/>
        </w:numPr>
      </w:pPr>
      <w:r>
        <w:t>Výsledky projektu, kterých bude v rámci projektu dosaženo pouze jednou smluvní stranou, budou zcela ve vlastnictví strany, která tyto výsledky vyvinula (vytvořila vlastní tvůrčí prací).</w:t>
      </w:r>
    </w:p>
    <w:p w14:paraId="3F106F92" w14:textId="77777777" w:rsidR="00B9307F" w:rsidRDefault="00B9307F" w:rsidP="00B9307F">
      <w:pPr>
        <w:pStyle w:val="Odstavecseseznamem"/>
        <w:numPr>
          <w:ilvl w:val="0"/>
          <w:numId w:val="1"/>
        </w:numPr>
      </w:pPr>
      <w:r>
        <w:t>Výsledky projektu, které budou dosaženy v rámci projektu více stranami společně tak, že jednotlivé tvůrčí příspěvky smluvních stran nelze oddělit bez ztráty jejich podstaty, budou ve společném vlastnictví smluvních stran. Pokud nelze určit tvůrčí podíly jednotlivých smluvních stran na výsledku a strany se nedohodly jinak, platí, že jsou spoluvlastnické podíly rovné.</w:t>
      </w:r>
    </w:p>
    <w:p w14:paraId="74951AEA" w14:textId="77777777" w:rsidR="00B9307F" w:rsidRDefault="00B9307F" w:rsidP="00B9307F">
      <w:r>
        <w:t>2.</w:t>
      </w:r>
      <w:r>
        <w:tab/>
        <w:t>Využití výsledků:</w:t>
      </w:r>
    </w:p>
    <w:p w14:paraId="17366BE9" w14:textId="77777777" w:rsidR="00B9307F" w:rsidRDefault="00B9307F" w:rsidP="00B9307F">
      <w:pPr>
        <w:pStyle w:val="Odstavecseseznamem"/>
        <w:numPr>
          <w:ilvl w:val="0"/>
          <w:numId w:val="9"/>
        </w:numPr>
      </w:pPr>
      <w:r>
        <w:t xml:space="preserve">Smluvní strana je oprávněna k nevýhradnímu užití výsledků ve vlastnictví druhé smluvní strany, pokud jsou nezbytné pro užívání výsledků projektu vlastněných touto smluvní stranou, za obvyklých tržních podmínek, o licenci je třeba požádat do dvou let od skončení projektu. </w:t>
      </w:r>
    </w:p>
    <w:p w14:paraId="1DD68883" w14:textId="77777777" w:rsidR="00B9307F" w:rsidRDefault="00B9307F" w:rsidP="00B9307F">
      <w:pPr>
        <w:pStyle w:val="Odstavecseseznamem"/>
        <w:numPr>
          <w:ilvl w:val="0"/>
          <w:numId w:val="9"/>
        </w:numPr>
      </w:pPr>
      <w:r>
        <w:t xml:space="preserve">Výsledky ve společném vlastnictví smluvních stran je oprávněna samostatně užívat každá smluvní strana. Výsledek ve společném vlastnictví více smluvních stran je oprávněn používat ke komerčním účelům každý ze spoluvlastníků, je však povinen předtím uzavřít s ostatními spoluvlastníky smlouvu o využití předmětného výsledku, která stanoví způsob dělení příjmů z komerčního využití. </w:t>
      </w:r>
    </w:p>
    <w:p w14:paraId="4A3FCC47" w14:textId="77777777" w:rsidR="00B9307F" w:rsidRDefault="00B9307F" w:rsidP="00B9307F">
      <w:r>
        <w:t>3.</w:t>
      </w:r>
      <w:r w:rsidRPr="00AD453A">
        <w:tab/>
        <w:t>Ustanovení předchozích odstavců nebrání tomu, aby smluvní strany po vzájemné dohodě upravily vlastnická a užívací práva k výsledkům projektu v jednotlivých případech odlišně</w:t>
      </w:r>
      <w:r>
        <w:t xml:space="preserve"> při respektování platné legislativy a podmínek projektu stanovených poskytovatelem.</w:t>
      </w:r>
    </w:p>
    <w:p w14:paraId="0C8C8C99" w14:textId="77777777" w:rsidR="00AD453A" w:rsidRDefault="00B9307F" w:rsidP="006522BB">
      <w:r>
        <w:t>4.</w:t>
      </w:r>
      <w:r w:rsidRPr="00AD453A">
        <w:tab/>
      </w:r>
      <w:r>
        <w:t>Pokud se smluvní strany nedohodnou písemně jinak, uplatní se ustanovení tohoto článku obdobně na nároky k výsledkům projektu v případě předčasného ukončení smlouvy.</w:t>
      </w:r>
    </w:p>
    <w:p w14:paraId="06FA8408" w14:textId="77777777" w:rsidR="00001218" w:rsidRDefault="00001218" w:rsidP="00001218">
      <w:r>
        <w:t>5.</w:t>
      </w:r>
      <w:r>
        <w:tab/>
      </w:r>
      <w:r w:rsidRPr="006C55E3">
        <w:t>Smluvní strany se zavazují spolupracovat a poskytnout si vzájemně maximální součinnost k tomu, aby k dosaženým výsledk</w:t>
      </w:r>
      <w:r>
        <w:t>ům vytvořily implementační plán</w:t>
      </w:r>
      <w:r w:rsidRPr="006C55E3">
        <w:t xml:space="preserve">. Při užití výsledků včetně, pokud to bude nezbytné, uzavření příslušných smluv o postoupení práv nebo užívacích práv z výsledků se </w:t>
      </w:r>
      <w:r w:rsidRPr="006C55E3">
        <w:lastRenderedPageBreak/>
        <w:t>smluvní strany zavazují poskytovat tyto výsledky dle implementačního plánu a za obvyklých tržních podmínek. Pro vyloučení pochybností strany výslovně prohlašují, že touto smlouvou nejsou převáděna jakákoliv práva k Výsledkům, pokud k ní nebude uzavřen dodatek nebo dodatky, tato práva následně měnící.</w:t>
      </w:r>
    </w:p>
    <w:p w14:paraId="53A7CE18" w14:textId="77777777" w:rsidR="00001218" w:rsidRDefault="00001218" w:rsidP="006522BB"/>
    <w:p w14:paraId="679A487B" w14:textId="77777777" w:rsidR="007663C2" w:rsidRDefault="0083671E" w:rsidP="007663C2">
      <w:pPr>
        <w:pStyle w:val="Nadpis2"/>
      </w:pPr>
      <w:r>
        <w:t>I</w:t>
      </w:r>
      <w:r w:rsidR="001833F7">
        <w:t>X.</w:t>
      </w:r>
      <w:r w:rsidR="001833F7">
        <w:br/>
        <w:t>Odpovědnost a sankce</w:t>
      </w:r>
    </w:p>
    <w:p w14:paraId="24DB87C1" w14:textId="77777777" w:rsidR="001833F7" w:rsidRDefault="001833F7" w:rsidP="001833F7">
      <w:r>
        <w:t>1.</w:t>
      </w:r>
      <w:r>
        <w:tab/>
        <w:t>Pokud další účastník projektu použije účelové finanční prostředky v rozporu s účelem a/nebo k jinému účelu, než ke kterému mu byly dle této smlouvy příjemcem poskytnuty, či je bude jinak neoprávněně používat či zadržovat, ujednávají smluvní strany, že takové jednání bude pro účely této smlouvy považováno za porušení rozpočtové kázně ve smyslu ustanovení § 44 a násl. zákona č. 218/2000 Sb., o rozpočtových pravidlech a o změně některých souvisejících zákonů, ve znění pozdějších předpisů, a bude mít důsledky analogické důsledkům v tomto zákoně uvedeným.</w:t>
      </w:r>
    </w:p>
    <w:p w14:paraId="14F3AE43" w14:textId="77777777" w:rsidR="007663C2" w:rsidRDefault="001833F7" w:rsidP="001833F7">
      <w:r>
        <w:t>2.</w:t>
      </w:r>
      <w:r>
        <w:tab/>
        <w:t>Za každé závažné (podstatné) porušení povinností vyplývajících z této smlouvy je smluvní strana, která svou povinnost porušila, povinna uhradit druhé smluvní straně smluvní pokutu ve výši 0,05 % z celkové výše poskytnutých účelových finančních prostředků. Tímto ujednáním o smluvních sankcích není dotčeno právo smluvní strany na náhradu vzniklé škody, kterou je oprávněna vymáhat samostatně.</w:t>
      </w:r>
    </w:p>
    <w:p w14:paraId="63710E30" w14:textId="77777777" w:rsidR="001833F7" w:rsidRDefault="001833F7" w:rsidP="001833F7">
      <w:r>
        <w:t>3.</w:t>
      </w:r>
      <w:r>
        <w:tab/>
        <w:t>Pokud by došlo k porušení pravidel (podmínek) spolupráce vymezených v této smlouvě některou ze smluvních stran, je strana, která porušení způsobila, povinna nahradit druhé straně prokazatelnou škodu.</w:t>
      </w:r>
    </w:p>
    <w:p w14:paraId="033A3D14" w14:textId="77777777" w:rsidR="007663C2" w:rsidRDefault="007663C2" w:rsidP="007663C2"/>
    <w:p w14:paraId="6C45E27C" w14:textId="77777777" w:rsidR="001833F7" w:rsidRPr="006522BB" w:rsidRDefault="001833F7" w:rsidP="001833F7">
      <w:pPr>
        <w:keepNext/>
        <w:jc w:val="center"/>
        <w:rPr>
          <w:b/>
        </w:rPr>
      </w:pPr>
      <w:r>
        <w:rPr>
          <w:b/>
        </w:rPr>
        <w:t>X</w:t>
      </w:r>
      <w:r w:rsidRPr="006522BB">
        <w:rPr>
          <w:b/>
        </w:rPr>
        <w:t>.</w:t>
      </w:r>
      <w:r>
        <w:rPr>
          <w:b/>
        </w:rPr>
        <w:br/>
        <w:t>Závěrečná ustanovení</w:t>
      </w:r>
    </w:p>
    <w:p w14:paraId="500E8E0F" w14:textId="77777777" w:rsidR="001833F7" w:rsidRDefault="001833F7" w:rsidP="001833F7">
      <w:r>
        <w:t>1.</w:t>
      </w:r>
      <w:r>
        <w:tab/>
      </w:r>
      <w:r w:rsidR="00494C2D">
        <w:t>Další účastník se bezvýhradně zavazuje,</w:t>
      </w:r>
      <w:r>
        <w:t xml:space="preserve"> že se bud</w:t>
      </w:r>
      <w:r w:rsidR="00494C2D">
        <w:t>e</w:t>
      </w:r>
      <w:r>
        <w:t xml:space="preserve"> řídit smlouvou o poskytnutí podpory na řešení projektu uzavřenou mezi poskytovatelem a příjemcem, </w:t>
      </w:r>
      <w:r w:rsidR="00494C2D">
        <w:t>včetně všech jejích příloh. Další účastník je dále</w:t>
      </w:r>
      <w:r>
        <w:t xml:space="preserve"> povinen poskytnout příjemci veškerou potřebnou součinnost za účelem dodržení povinností</w:t>
      </w:r>
      <w:r w:rsidR="00494C2D">
        <w:t xml:space="preserve"> mu plynoucích ze smlouvy o poskytnutí podpory uzavřené s poskytovatelem</w:t>
      </w:r>
      <w:r>
        <w:t>.</w:t>
      </w:r>
    </w:p>
    <w:p w14:paraId="596CAC4A" w14:textId="77777777" w:rsidR="0060197E" w:rsidRPr="0060197E" w:rsidRDefault="0060197E" w:rsidP="0060197E">
      <w:r w:rsidRPr="0060197E">
        <w:t>2.</w:t>
      </w:r>
      <w:r w:rsidRPr="0060197E">
        <w:tab/>
        <w:t>Smluvní pokuty sjednané touto smlouvou nesaturují případný nárok poškozené strany na náhradu škody.</w:t>
      </w:r>
    </w:p>
    <w:p w14:paraId="391A80BA" w14:textId="77777777" w:rsidR="001833F7" w:rsidRDefault="0060197E" w:rsidP="001833F7">
      <w:r>
        <w:t>3</w:t>
      </w:r>
      <w:r w:rsidR="001833F7">
        <w:t>.</w:t>
      </w:r>
      <w:r w:rsidR="001833F7">
        <w:tab/>
        <w:t>Zásady, které nejsou touto smlouvou upraveny, se řídí zákonem č. 89/2012 Sb., občanským zákoníkem, v platném znění, a právními předpisy na občanský zákoník pro účely této smlouvy navazujícími, a to zejména zákonem č. 130/2002 Sb., o podpoře výzkumu, experimentálního vývoje a inovací z veřejných prostředků a o změně některých souvisejících zákonů (zákon o podpoře výzkumu a vývoje), ve znění pozdějších předpisů.</w:t>
      </w:r>
    </w:p>
    <w:p w14:paraId="48C94459" w14:textId="77777777" w:rsidR="001833F7" w:rsidRDefault="0060197E" w:rsidP="001833F7">
      <w:r>
        <w:t>4</w:t>
      </w:r>
      <w:r w:rsidR="001833F7">
        <w:t>.</w:t>
      </w:r>
      <w:r w:rsidR="001833F7">
        <w:tab/>
      </w:r>
      <w:r w:rsidR="001833F7" w:rsidRPr="00CC485F">
        <w:t xml:space="preserve">Tuto smlouvu lze měnit pouze </w:t>
      </w:r>
      <w:r w:rsidR="001833F7">
        <w:t>písemně</w:t>
      </w:r>
      <w:r w:rsidR="001833F7" w:rsidRPr="00CC485F">
        <w:t>, její změna v jiné formě je vyloučena. Za písemnou formu se pro tento účel nepovažuje jednání učiněné elektronickými či jinými technickými prostředky (e-mail, fax).</w:t>
      </w:r>
      <w:r w:rsidR="001833F7">
        <w:t xml:space="preserve"> Smluvní strany mohou </w:t>
      </w:r>
      <w:r w:rsidR="001833F7" w:rsidRPr="000A00ED">
        <w:t>namítnout neplatnost změny této smlouvy z důvodu nedodržení formy kdyk</w:t>
      </w:r>
      <w:r w:rsidR="001833F7">
        <w:t xml:space="preserve">oliv, i poté, co bylo započato </w:t>
      </w:r>
      <w:r w:rsidR="001833F7" w:rsidRPr="000A00ED">
        <w:t>s plněním.</w:t>
      </w:r>
    </w:p>
    <w:p w14:paraId="6C4FEFEF" w14:textId="77777777" w:rsidR="001833F7" w:rsidRDefault="0060197E" w:rsidP="001833F7">
      <w:r>
        <w:t>5</w:t>
      </w:r>
      <w:r w:rsidR="009E55C0" w:rsidRPr="005B593E">
        <w:t>.</w:t>
      </w:r>
      <w:r w:rsidR="001833F7" w:rsidRPr="005B593E">
        <w:tab/>
      </w:r>
      <w:r w:rsidR="00494E85" w:rsidRPr="00494E85">
        <w:t>Tato smlouva o vzájemných vztazích mezi příjemci se uzavírá s účinností od data zahájení řešení projektu, na dobu určitou do ukončení řešení projektu a vyrovnání všech závazků smluvních stran s tím souvisejících, avšak s</w:t>
      </w:r>
      <w:r w:rsidR="00494E85">
        <w:t xml:space="preserve"> výjimkou přežívajícího článku VII a VIII</w:t>
      </w:r>
      <w:r w:rsidR="00494E85" w:rsidRPr="00494E85">
        <w:t xml:space="preserve"> této smlouvy. V případě, že nebude poskytovatelem přiznána a poskytnut</w:t>
      </w:r>
      <w:r w:rsidR="00197388">
        <w:t>a podpora na řešení projektu a s</w:t>
      </w:r>
      <w:r w:rsidR="00494E85" w:rsidRPr="00494E85">
        <w:t xml:space="preserve"> řešením projektu tudíž nebude započato, tato smlouva nevstoupí v účinnost a její platnost automaticky skončí dnem zveřejněním rozhodnutí, resp. oznámení poskytovatele o nepřiznání podpory.</w:t>
      </w:r>
    </w:p>
    <w:p w14:paraId="51B4895A" w14:textId="77777777" w:rsidR="00197388" w:rsidRPr="00197388" w:rsidRDefault="00197388" w:rsidP="00197388">
      <w:r>
        <w:lastRenderedPageBreak/>
        <w:t>6</w:t>
      </w:r>
      <w:r w:rsidRPr="00197388">
        <w:t>.</w:t>
      </w:r>
      <w:r w:rsidRPr="00197388">
        <w:tab/>
        <w:t>Kterákoliv smluvní strana může tuto smlouvu vypovědět. Výpovědní doba je v takovém případě dvouměsíční a její běh začíná prvým dnem měsíce následujícího po doručení výpovědi. Výpověď musí být učiněna v písemné formě, jinak je neplatná.</w:t>
      </w:r>
    </w:p>
    <w:p w14:paraId="16062055" w14:textId="3487FF6A" w:rsidR="001833F7" w:rsidRDefault="00197388" w:rsidP="001833F7">
      <w:r>
        <w:t>7</w:t>
      </w:r>
      <w:r w:rsidR="001833F7">
        <w:t>.</w:t>
      </w:r>
      <w:r w:rsidR="001833F7">
        <w:tab/>
      </w:r>
      <w:r w:rsidR="000C6962">
        <w:t>Smlouva je vyhotovena ve čtyřech</w:t>
      </w:r>
      <w:r w:rsidR="00D80128" w:rsidRPr="000E6499">
        <w:t xml:space="preserve"> </w:t>
      </w:r>
      <w:r w:rsidR="000E6499" w:rsidRPr="000E6499">
        <w:t>(</w:t>
      </w:r>
      <w:r w:rsidR="000C6962">
        <w:t>4</w:t>
      </w:r>
      <w:r w:rsidR="0080659E">
        <w:t>)</w:t>
      </w:r>
      <w:r w:rsidR="000E6499" w:rsidRPr="000E6499">
        <w:t xml:space="preserve"> stejnopisech s platností originálu, z nichž každá smluvní strana obdrží dva (2).</w:t>
      </w:r>
    </w:p>
    <w:p w14:paraId="0413202B" w14:textId="0AC033B3" w:rsidR="0080659E" w:rsidRPr="0080659E" w:rsidRDefault="00197388" w:rsidP="009E55C0">
      <w:r>
        <w:t>8</w:t>
      </w:r>
      <w:r w:rsidR="009E55C0">
        <w:t>.</w:t>
      </w:r>
      <w:r w:rsidR="009E55C0">
        <w:tab/>
      </w:r>
      <w:r w:rsidR="0080659E" w:rsidRPr="0080659E">
        <w:t>Smluvní strany souhlasí s uveřejněním této smlouvy včetně jejích příloh v registru smluv podle zákona č. 340/2015 Sb., o zvláštních podmínkách účinnosti některých smluv, uveřejňování těchto smluv a o registru smluv (zákon o registru smluv).</w:t>
      </w:r>
      <w:r w:rsidR="00566506">
        <w:t xml:space="preserve"> Uveřejnění smlouvy zajišťuje </w:t>
      </w:r>
      <w:r w:rsidR="00D80128">
        <w:t xml:space="preserve">další účastník </w:t>
      </w:r>
      <w:r w:rsidR="001A25DF">
        <w:t>Č</w:t>
      </w:r>
      <w:r w:rsidR="00566506">
        <w:t>VUT.</w:t>
      </w:r>
    </w:p>
    <w:p w14:paraId="6CC5C971" w14:textId="77777777" w:rsidR="009E55C0" w:rsidRDefault="0080659E" w:rsidP="009E55C0">
      <w:r>
        <w:t>9.</w:t>
      </w:r>
      <w:r>
        <w:tab/>
      </w:r>
      <w:r w:rsidR="009E55C0">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7ACDDA40" w14:textId="77777777" w:rsidR="00A36A71" w:rsidRDefault="0080659E" w:rsidP="009E55C0">
      <w:r>
        <w:t>10</w:t>
      </w:r>
      <w:r w:rsidR="009E55C0">
        <w:t>.</w:t>
      </w:r>
      <w:r w:rsidR="009E55C0">
        <w:tab/>
      </w:r>
      <w:r w:rsidR="009E55C0" w:rsidRPr="00CC485F">
        <w:t>Smluvní strany výslovně potvrzují, že tato smlouva je výsledkem jejich jednání a každá ze stran měla příležitost ovlivnit její základní podmínky.</w:t>
      </w:r>
    </w:p>
    <w:p w14:paraId="463AC029" w14:textId="77777777" w:rsidR="00A36A71" w:rsidRDefault="00A36A71">
      <w:pPr>
        <w:spacing w:after="160" w:line="259" w:lineRule="auto"/>
        <w:jc w:val="left"/>
      </w:pPr>
    </w:p>
    <w:p w14:paraId="56EAC8EC" w14:textId="77777777" w:rsidR="00402EA7" w:rsidRDefault="00402EA7">
      <w:pPr>
        <w:spacing w:after="160" w:line="259" w:lineRule="auto"/>
        <w:jc w:val="left"/>
      </w:pPr>
    </w:p>
    <w:p w14:paraId="082AF262" w14:textId="77777777" w:rsidR="00402EA7" w:rsidRDefault="00402EA7">
      <w:pPr>
        <w:spacing w:after="160" w:line="259" w:lineRule="auto"/>
        <w:jc w:val="left"/>
      </w:pPr>
    </w:p>
    <w:p w14:paraId="72A15B9C" w14:textId="77777777" w:rsidR="00402EA7" w:rsidRDefault="00402EA7">
      <w:pPr>
        <w:spacing w:after="160" w:line="259" w:lineRule="auto"/>
        <w:jc w:val="left"/>
      </w:pPr>
    </w:p>
    <w:p w14:paraId="334470D9" w14:textId="77777777" w:rsidR="00402EA7" w:rsidRDefault="00402EA7">
      <w:pPr>
        <w:spacing w:after="160" w:line="259" w:lineRule="auto"/>
        <w:jc w:val="left"/>
      </w:pPr>
    </w:p>
    <w:p w14:paraId="63AA145D" w14:textId="77777777" w:rsidR="00402EA7" w:rsidRDefault="00402EA7">
      <w:pPr>
        <w:spacing w:after="160" w:line="259" w:lineRule="auto"/>
        <w:jc w:val="left"/>
      </w:pPr>
    </w:p>
    <w:p w14:paraId="0EDC2455" w14:textId="77777777" w:rsidR="009E55C0" w:rsidRPr="00CC485F" w:rsidRDefault="009E55C0" w:rsidP="009E55C0"/>
    <w:p w14:paraId="2E6A7D9D" w14:textId="77777777" w:rsidR="007663C2" w:rsidRDefault="007663C2" w:rsidP="006522BB"/>
    <w:p w14:paraId="4661B45F" w14:textId="3A5477C9" w:rsidR="00A24505" w:rsidRPr="00CC485F" w:rsidRDefault="00182900" w:rsidP="005A7E3C">
      <w:pPr>
        <w:tabs>
          <w:tab w:val="left" w:pos="5812"/>
        </w:tabs>
      </w:pPr>
      <w:r w:rsidRPr="00CC485F">
        <w:t>V </w:t>
      </w:r>
      <w:r w:rsidR="009C5836">
        <w:t>Třebíči</w:t>
      </w:r>
      <w:r w:rsidRPr="00CC485F">
        <w:t xml:space="preserve"> dne ___________</w:t>
      </w:r>
      <w:r w:rsidR="00A24505" w:rsidRPr="00CC485F">
        <w:tab/>
      </w:r>
      <w:r w:rsidR="001A25DF">
        <w:t>V Praze</w:t>
      </w:r>
      <w:r w:rsidR="00A24505" w:rsidRPr="00CC485F">
        <w:t xml:space="preserve"> </w:t>
      </w:r>
      <w:r w:rsidR="00FD2E3F" w:rsidRPr="00CC485F">
        <w:t>dne</w:t>
      </w:r>
      <w:r w:rsidR="00A24505" w:rsidRPr="00CC485F">
        <w:t xml:space="preserve"> </w:t>
      </w:r>
      <w:r w:rsidR="00FD2E3F" w:rsidRPr="00CC485F">
        <w:t>___________</w:t>
      </w:r>
    </w:p>
    <w:p w14:paraId="2D516D2A" w14:textId="77777777" w:rsidR="00A24505" w:rsidRDefault="00A24505" w:rsidP="006522BB"/>
    <w:p w14:paraId="27D5B721" w14:textId="77777777" w:rsidR="0007065E" w:rsidRDefault="0007065E" w:rsidP="006522BB"/>
    <w:p w14:paraId="4CDF42C8" w14:textId="77777777" w:rsidR="0080659E" w:rsidRDefault="0080659E" w:rsidP="006522BB"/>
    <w:p w14:paraId="2C11CBAC" w14:textId="77777777" w:rsidR="0080659E" w:rsidRPr="00CC485F" w:rsidRDefault="0080659E" w:rsidP="006522BB"/>
    <w:p w14:paraId="41BF573B" w14:textId="68BA60ED" w:rsidR="0013442F" w:rsidRDefault="00A24505" w:rsidP="00F679EA">
      <w:pPr>
        <w:tabs>
          <w:tab w:val="left" w:pos="5812"/>
        </w:tabs>
        <w:jc w:val="left"/>
      </w:pPr>
      <w:r w:rsidRPr="00CC485F">
        <w:t>_____________________________</w:t>
      </w:r>
      <w:r w:rsidRPr="00CC485F">
        <w:tab/>
        <w:t>_____________________________</w:t>
      </w:r>
      <w:r w:rsidR="000840BB" w:rsidRPr="00CC485F">
        <w:br/>
      </w:r>
      <w:r w:rsidR="00A36A71">
        <w:t>Ing. Jakub John</w:t>
      </w:r>
      <w:r w:rsidRPr="00CC485F">
        <w:tab/>
      </w:r>
      <w:r w:rsidR="00123548">
        <w:t xml:space="preserve">prof. </w:t>
      </w:r>
      <w:r w:rsidR="000C6962">
        <w:t>Ing</w:t>
      </w:r>
      <w:r w:rsidR="00123548">
        <w:t xml:space="preserve">. </w:t>
      </w:r>
      <w:r w:rsidR="000C6962">
        <w:t xml:space="preserve">Igor </w:t>
      </w:r>
      <w:proofErr w:type="spellStart"/>
      <w:r w:rsidR="000C6962">
        <w:t>Jex</w:t>
      </w:r>
      <w:proofErr w:type="spellEnd"/>
      <w:r w:rsidR="000C6962">
        <w:t>, Dr</w:t>
      </w:r>
      <w:r w:rsidR="00123548" w:rsidRPr="00CB7607">
        <w:t>Sc.</w:t>
      </w:r>
      <w:r w:rsidRPr="00CC485F">
        <w:br/>
      </w:r>
      <w:r w:rsidR="00A36A71">
        <w:t>předseda představenstva</w:t>
      </w:r>
      <w:r w:rsidRPr="00CC485F">
        <w:tab/>
      </w:r>
      <w:r w:rsidR="000C6962">
        <w:t>děkan FJFI ČVUT</w:t>
      </w:r>
      <w:r w:rsidRPr="00CC485F">
        <w:br/>
      </w:r>
      <w:r w:rsidRPr="00F501C3">
        <w:t xml:space="preserve">za </w:t>
      </w:r>
      <w:r w:rsidR="00C87920">
        <w:t>p</w:t>
      </w:r>
      <w:r w:rsidR="00F501C3" w:rsidRPr="00F501C3">
        <w:t>říjemce</w:t>
      </w:r>
      <w:r w:rsidRPr="00F501C3">
        <w:tab/>
        <w:t>za</w:t>
      </w:r>
      <w:r w:rsidR="00F501C3" w:rsidRPr="00F501C3">
        <w:t xml:space="preserve"> </w:t>
      </w:r>
      <w:r w:rsidR="00C87920">
        <w:t>d</w:t>
      </w:r>
      <w:r w:rsidR="00F501C3" w:rsidRPr="00F501C3">
        <w:t>alšího účastníka</w:t>
      </w:r>
      <w:r w:rsidR="00A36A71">
        <w:t xml:space="preserve"> </w:t>
      </w:r>
    </w:p>
    <w:p w14:paraId="648252CA" w14:textId="77777777" w:rsidR="00A36A71" w:rsidRDefault="00A36A71" w:rsidP="00F679EA">
      <w:pPr>
        <w:tabs>
          <w:tab w:val="left" w:pos="5812"/>
        </w:tabs>
        <w:jc w:val="left"/>
      </w:pPr>
    </w:p>
    <w:p w14:paraId="76AEFFD9" w14:textId="3CA0C07F" w:rsidR="00A36A71" w:rsidRPr="00CC485F" w:rsidRDefault="00A36A71" w:rsidP="00A36A71">
      <w:pPr>
        <w:tabs>
          <w:tab w:val="left" w:pos="5812"/>
        </w:tabs>
      </w:pPr>
      <w:r w:rsidRPr="00CC485F">
        <w:tab/>
      </w:r>
    </w:p>
    <w:p w14:paraId="329A1A53" w14:textId="77777777" w:rsidR="00A36A71" w:rsidRDefault="00A36A71" w:rsidP="00A36A71"/>
    <w:p w14:paraId="5CF0AA9B" w14:textId="77777777" w:rsidR="00A36A71" w:rsidRDefault="00A36A71" w:rsidP="00A36A71"/>
    <w:p w14:paraId="17CDEEF4" w14:textId="77777777" w:rsidR="00A36A71" w:rsidRDefault="00A36A71" w:rsidP="00A36A71"/>
    <w:p w14:paraId="5254B6AB" w14:textId="77777777" w:rsidR="00A36A71" w:rsidRPr="00CC485F" w:rsidRDefault="00A36A71" w:rsidP="00A36A71"/>
    <w:p w14:paraId="16F0A886" w14:textId="0A8C1F7D" w:rsidR="00A36A71" w:rsidRPr="00CC485F" w:rsidRDefault="00A36A71" w:rsidP="00A36A71">
      <w:pPr>
        <w:tabs>
          <w:tab w:val="left" w:pos="5812"/>
        </w:tabs>
        <w:jc w:val="left"/>
      </w:pPr>
      <w:r w:rsidRPr="00F501C3">
        <w:tab/>
        <w:t xml:space="preserve"> </w:t>
      </w:r>
    </w:p>
    <w:p w14:paraId="297DCD76" w14:textId="77777777" w:rsidR="00A36A71" w:rsidRPr="00CC485F" w:rsidRDefault="00A36A71" w:rsidP="00F679EA">
      <w:pPr>
        <w:tabs>
          <w:tab w:val="left" w:pos="5812"/>
        </w:tabs>
        <w:jc w:val="left"/>
      </w:pPr>
    </w:p>
    <w:sectPr w:rsidR="00A36A71" w:rsidRPr="00CC485F" w:rsidSect="00C553A9">
      <w:headerReference w:type="even" r:id="rId8"/>
      <w:footerReference w:type="even" r:id="rId9"/>
      <w:footerReference w:type="default" r:id="rId10"/>
      <w:pgSz w:w="11900" w:h="16840"/>
      <w:pgMar w:top="1417" w:right="1417" w:bottom="1417" w:left="1417" w:header="992"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F188B" w14:textId="77777777" w:rsidR="002E33FD" w:rsidRDefault="002E33FD" w:rsidP="006522BB">
      <w:r>
        <w:separator/>
      </w:r>
    </w:p>
    <w:p w14:paraId="08AD5F85" w14:textId="77777777" w:rsidR="002E33FD" w:rsidRDefault="002E33FD" w:rsidP="006522BB"/>
  </w:endnote>
  <w:endnote w:type="continuationSeparator" w:id="0">
    <w:p w14:paraId="7FA9C058" w14:textId="77777777" w:rsidR="002E33FD" w:rsidRDefault="002E33FD" w:rsidP="006522BB">
      <w:r>
        <w:continuationSeparator/>
      </w:r>
    </w:p>
    <w:p w14:paraId="2E44E8FB" w14:textId="77777777" w:rsidR="002E33FD" w:rsidRDefault="002E33FD" w:rsidP="00652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F3C6B" w14:textId="77777777" w:rsidR="00FE3E51" w:rsidRPr="00FE3E51" w:rsidRDefault="00FE3E51" w:rsidP="006522BB">
    <w:pPr>
      <w:pStyle w:val="Zpat"/>
    </w:pPr>
  </w:p>
  <w:p w14:paraId="7E5D9D79" w14:textId="77777777" w:rsidR="00824688" w:rsidRDefault="00824688" w:rsidP="006522B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5F4EC" w14:textId="77777777" w:rsidR="00824688" w:rsidRPr="00CC047C" w:rsidRDefault="00D302A8" w:rsidP="00CC047C">
    <w:pPr>
      <w:pStyle w:val="Zpat"/>
      <w:jc w:val="center"/>
      <w:rPr>
        <w:sz w:val="18"/>
        <w:szCs w:val="18"/>
      </w:rPr>
    </w:pPr>
    <w:r w:rsidRPr="00CC047C">
      <w:rPr>
        <w:rStyle w:val="slostrnky"/>
        <w:sz w:val="18"/>
        <w:szCs w:val="18"/>
      </w:rPr>
      <w:t xml:space="preserve">Strana </w:t>
    </w:r>
    <w:r w:rsidR="005B1884" w:rsidRPr="00CC047C">
      <w:rPr>
        <w:rStyle w:val="slostrnky"/>
        <w:sz w:val="18"/>
        <w:szCs w:val="18"/>
      </w:rPr>
      <w:fldChar w:fldCharType="begin"/>
    </w:r>
    <w:r w:rsidRPr="00CC047C">
      <w:rPr>
        <w:rStyle w:val="slostrnky"/>
        <w:sz w:val="18"/>
        <w:szCs w:val="18"/>
      </w:rPr>
      <w:instrText xml:space="preserve"> PAGE </w:instrText>
    </w:r>
    <w:r w:rsidR="005B1884" w:rsidRPr="00CC047C">
      <w:rPr>
        <w:rStyle w:val="slostrnky"/>
        <w:sz w:val="18"/>
        <w:szCs w:val="18"/>
      </w:rPr>
      <w:fldChar w:fldCharType="separate"/>
    </w:r>
    <w:r w:rsidR="001419F1">
      <w:rPr>
        <w:rStyle w:val="slostrnky"/>
        <w:noProof/>
        <w:sz w:val="18"/>
        <w:szCs w:val="18"/>
      </w:rPr>
      <w:t>8</w:t>
    </w:r>
    <w:r w:rsidR="005B1884" w:rsidRPr="00CC047C">
      <w:rPr>
        <w:rStyle w:val="slostrnky"/>
        <w:sz w:val="18"/>
        <w:szCs w:val="18"/>
      </w:rPr>
      <w:fldChar w:fldCharType="end"/>
    </w:r>
    <w:r w:rsidR="0013442F" w:rsidRPr="00CC047C">
      <w:rPr>
        <w:rStyle w:val="slostrnky"/>
        <w:sz w:val="18"/>
        <w:szCs w:val="18"/>
      </w:rPr>
      <w:t xml:space="preserve"> </w:t>
    </w:r>
    <w:r w:rsidRPr="00CC047C">
      <w:rPr>
        <w:rStyle w:val="slostrnky"/>
        <w:sz w:val="18"/>
        <w:szCs w:val="18"/>
      </w:rPr>
      <w:t xml:space="preserve">(celkem </w:t>
    </w:r>
    <w:r w:rsidR="005B1884" w:rsidRPr="00CC047C">
      <w:rPr>
        <w:rStyle w:val="slostrnky"/>
        <w:sz w:val="18"/>
        <w:szCs w:val="18"/>
      </w:rPr>
      <w:fldChar w:fldCharType="begin"/>
    </w:r>
    <w:r w:rsidRPr="00CC047C">
      <w:rPr>
        <w:rStyle w:val="slostrnky"/>
        <w:sz w:val="18"/>
        <w:szCs w:val="18"/>
      </w:rPr>
      <w:instrText xml:space="preserve"> NUMPAGES </w:instrText>
    </w:r>
    <w:r w:rsidR="005B1884" w:rsidRPr="00CC047C">
      <w:rPr>
        <w:rStyle w:val="slostrnky"/>
        <w:sz w:val="18"/>
        <w:szCs w:val="18"/>
      </w:rPr>
      <w:fldChar w:fldCharType="separate"/>
    </w:r>
    <w:r w:rsidR="001419F1">
      <w:rPr>
        <w:rStyle w:val="slostrnky"/>
        <w:noProof/>
        <w:sz w:val="18"/>
        <w:szCs w:val="18"/>
      </w:rPr>
      <w:t>8</w:t>
    </w:r>
    <w:r w:rsidR="005B1884" w:rsidRPr="00CC047C">
      <w:rPr>
        <w:rStyle w:val="slostrnky"/>
        <w:sz w:val="18"/>
        <w:szCs w:val="18"/>
      </w:rPr>
      <w:fldChar w:fldCharType="end"/>
    </w:r>
    <w:r w:rsidRPr="00CC047C">
      <w:rPr>
        <w:rStyle w:val="slostrnky"/>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E3EB3" w14:textId="77777777" w:rsidR="002E33FD" w:rsidRDefault="002E33FD" w:rsidP="006522BB">
      <w:r>
        <w:separator/>
      </w:r>
    </w:p>
    <w:p w14:paraId="31B8139F" w14:textId="77777777" w:rsidR="002E33FD" w:rsidRDefault="002E33FD" w:rsidP="006522BB"/>
  </w:footnote>
  <w:footnote w:type="continuationSeparator" w:id="0">
    <w:p w14:paraId="05F1E6C7" w14:textId="77777777" w:rsidR="002E33FD" w:rsidRDefault="002E33FD" w:rsidP="006522BB">
      <w:r>
        <w:continuationSeparator/>
      </w:r>
    </w:p>
    <w:p w14:paraId="2C2F0562" w14:textId="77777777" w:rsidR="002E33FD" w:rsidRDefault="002E33FD" w:rsidP="006522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A4638" w14:textId="77777777" w:rsidR="00FE3E51" w:rsidRDefault="00FE3E51" w:rsidP="006522BB">
    <w:pPr>
      <w:pStyle w:val="Zhlav"/>
    </w:pPr>
  </w:p>
  <w:p w14:paraId="0414AB10" w14:textId="77777777" w:rsidR="00824688" w:rsidRDefault="00824688" w:rsidP="006522B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75B74"/>
    <w:multiLevelType w:val="hybridMultilevel"/>
    <w:tmpl w:val="BB70456A"/>
    <w:lvl w:ilvl="0" w:tplc="D0F4DD06">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5D4BD2"/>
    <w:multiLevelType w:val="hybridMultilevel"/>
    <w:tmpl w:val="E14EF2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F955C57"/>
    <w:multiLevelType w:val="hybridMultilevel"/>
    <w:tmpl w:val="F294CC62"/>
    <w:lvl w:ilvl="0" w:tplc="089EFDE6">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21E534E"/>
    <w:multiLevelType w:val="hybridMultilevel"/>
    <w:tmpl w:val="4E3CC3F4"/>
    <w:lvl w:ilvl="0" w:tplc="CCFA117E">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B683BB3"/>
    <w:multiLevelType w:val="hybridMultilevel"/>
    <w:tmpl w:val="07327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526BFB"/>
    <w:multiLevelType w:val="hybridMultilevel"/>
    <w:tmpl w:val="83F48F08"/>
    <w:lvl w:ilvl="0" w:tplc="10B0A5FE">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5D36A4"/>
    <w:multiLevelType w:val="hybridMultilevel"/>
    <w:tmpl w:val="0360DA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C32972"/>
    <w:multiLevelType w:val="hybridMultilevel"/>
    <w:tmpl w:val="46988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8E10551"/>
    <w:multiLevelType w:val="hybridMultilevel"/>
    <w:tmpl w:val="D6F899E8"/>
    <w:lvl w:ilvl="0" w:tplc="60CE2B34">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A04C8D"/>
    <w:multiLevelType w:val="hybridMultilevel"/>
    <w:tmpl w:val="F138B8D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8415042"/>
    <w:multiLevelType w:val="hybridMultilevel"/>
    <w:tmpl w:val="03DEA6D0"/>
    <w:lvl w:ilvl="0" w:tplc="23B8CA3C">
      <w:start w:val="1"/>
      <w:numFmt w:val="lowerLetter"/>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10A5165"/>
    <w:multiLevelType w:val="hybridMultilevel"/>
    <w:tmpl w:val="80525CF8"/>
    <w:lvl w:ilvl="0" w:tplc="80E2C5D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73525EA6"/>
    <w:multiLevelType w:val="hybridMultilevel"/>
    <w:tmpl w:val="83ACCD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505124D"/>
    <w:multiLevelType w:val="hybridMultilevel"/>
    <w:tmpl w:val="837E07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C7603D9"/>
    <w:multiLevelType w:val="hybridMultilevel"/>
    <w:tmpl w:val="07327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C6983"/>
    <w:multiLevelType w:val="hybridMultilevel"/>
    <w:tmpl w:val="4ADC27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10"/>
  </w:num>
  <w:num w:numId="3">
    <w:abstractNumId w:val="15"/>
  </w:num>
  <w:num w:numId="4">
    <w:abstractNumId w:val="3"/>
  </w:num>
  <w:num w:numId="5">
    <w:abstractNumId w:val="13"/>
  </w:num>
  <w:num w:numId="6">
    <w:abstractNumId w:val="5"/>
  </w:num>
  <w:num w:numId="7">
    <w:abstractNumId w:val="1"/>
  </w:num>
  <w:num w:numId="8">
    <w:abstractNumId w:val="8"/>
  </w:num>
  <w:num w:numId="9">
    <w:abstractNumId w:val="7"/>
  </w:num>
  <w:num w:numId="10">
    <w:abstractNumId w:val="2"/>
  </w:num>
  <w:num w:numId="11">
    <w:abstractNumId w:val="6"/>
  </w:num>
  <w:num w:numId="12">
    <w:abstractNumId w:val="0"/>
  </w:num>
  <w:num w:numId="13">
    <w:abstractNumId w:val="12"/>
  </w:num>
  <w:num w:numId="14">
    <w:abstractNumId w:val="4"/>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567"/>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CF"/>
    <w:rsid w:val="00001218"/>
    <w:rsid w:val="00004C4F"/>
    <w:rsid w:val="00006DD4"/>
    <w:rsid w:val="00012CEA"/>
    <w:rsid w:val="00013FB3"/>
    <w:rsid w:val="000541B3"/>
    <w:rsid w:val="0007065E"/>
    <w:rsid w:val="000840BB"/>
    <w:rsid w:val="00094B3F"/>
    <w:rsid w:val="000A00ED"/>
    <w:rsid w:val="000C6962"/>
    <w:rsid w:val="000E6499"/>
    <w:rsid w:val="00123548"/>
    <w:rsid w:val="0013442F"/>
    <w:rsid w:val="001419F1"/>
    <w:rsid w:val="00150155"/>
    <w:rsid w:val="001565D4"/>
    <w:rsid w:val="00182900"/>
    <w:rsid w:val="001833F7"/>
    <w:rsid w:val="00197388"/>
    <w:rsid w:val="001A25DF"/>
    <w:rsid w:val="001C01DD"/>
    <w:rsid w:val="001C3992"/>
    <w:rsid w:val="001E3E90"/>
    <w:rsid w:val="001E680B"/>
    <w:rsid w:val="001F11AD"/>
    <w:rsid w:val="00202665"/>
    <w:rsid w:val="00241F78"/>
    <w:rsid w:val="00296CFF"/>
    <w:rsid w:val="002A11CA"/>
    <w:rsid w:val="002C1A8C"/>
    <w:rsid w:val="002E1BFC"/>
    <w:rsid w:val="002E33FD"/>
    <w:rsid w:val="002F1066"/>
    <w:rsid w:val="002F562D"/>
    <w:rsid w:val="00303875"/>
    <w:rsid w:val="00324666"/>
    <w:rsid w:val="00332DD6"/>
    <w:rsid w:val="00341008"/>
    <w:rsid w:val="00342A93"/>
    <w:rsid w:val="003453AD"/>
    <w:rsid w:val="00351037"/>
    <w:rsid w:val="0036188C"/>
    <w:rsid w:val="0036320A"/>
    <w:rsid w:val="00380DA3"/>
    <w:rsid w:val="00393CB6"/>
    <w:rsid w:val="003A3579"/>
    <w:rsid w:val="003F39BC"/>
    <w:rsid w:val="00402EA7"/>
    <w:rsid w:val="00424A37"/>
    <w:rsid w:val="00432ACC"/>
    <w:rsid w:val="00446E67"/>
    <w:rsid w:val="004566BE"/>
    <w:rsid w:val="00474DCF"/>
    <w:rsid w:val="00475DD6"/>
    <w:rsid w:val="004846FE"/>
    <w:rsid w:val="00494C2D"/>
    <w:rsid w:val="00494E85"/>
    <w:rsid w:val="004B2F54"/>
    <w:rsid w:val="004B6169"/>
    <w:rsid w:val="004B7A2E"/>
    <w:rsid w:val="004E45C8"/>
    <w:rsid w:val="004F726C"/>
    <w:rsid w:val="00512FAD"/>
    <w:rsid w:val="00520BF0"/>
    <w:rsid w:val="00537795"/>
    <w:rsid w:val="00545CDA"/>
    <w:rsid w:val="0054619F"/>
    <w:rsid w:val="00550EDA"/>
    <w:rsid w:val="00566506"/>
    <w:rsid w:val="00572800"/>
    <w:rsid w:val="00577961"/>
    <w:rsid w:val="00582666"/>
    <w:rsid w:val="00586C09"/>
    <w:rsid w:val="005904F3"/>
    <w:rsid w:val="005A7E3C"/>
    <w:rsid w:val="005B00CE"/>
    <w:rsid w:val="005B1884"/>
    <w:rsid w:val="005B593E"/>
    <w:rsid w:val="005C76EC"/>
    <w:rsid w:val="005D0DC1"/>
    <w:rsid w:val="005D462D"/>
    <w:rsid w:val="005E3F46"/>
    <w:rsid w:val="0060197E"/>
    <w:rsid w:val="00605E46"/>
    <w:rsid w:val="00640009"/>
    <w:rsid w:val="006522BB"/>
    <w:rsid w:val="00663C1C"/>
    <w:rsid w:val="006730A0"/>
    <w:rsid w:val="0069666E"/>
    <w:rsid w:val="006B1C9F"/>
    <w:rsid w:val="006F3A53"/>
    <w:rsid w:val="00735A48"/>
    <w:rsid w:val="00756A88"/>
    <w:rsid w:val="007663C2"/>
    <w:rsid w:val="00767486"/>
    <w:rsid w:val="007725C7"/>
    <w:rsid w:val="00775E83"/>
    <w:rsid w:val="00784E20"/>
    <w:rsid w:val="007B7769"/>
    <w:rsid w:val="007C7367"/>
    <w:rsid w:val="007D0FDA"/>
    <w:rsid w:val="007E2570"/>
    <w:rsid w:val="007F385F"/>
    <w:rsid w:val="00800606"/>
    <w:rsid w:val="0080659E"/>
    <w:rsid w:val="00815232"/>
    <w:rsid w:val="00822109"/>
    <w:rsid w:val="00824688"/>
    <w:rsid w:val="0083671E"/>
    <w:rsid w:val="00843365"/>
    <w:rsid w:val="008452E6"/>
    <w:rsid w:val="0086017B"/>
    <w:rsid w:val="00862D80"/>
    <w:rsid w:val="0088081F"/>
    <w:rsid w:val="008964CA"/>
    <w:rsid w:val="008A2077"/>
    <w:rsid w:val="008C45E6"/>
    <w:rsid w:val="008C4817"/>
    <w:rsid w:val="008C71E5"/>
    <w:rsid w:val="008D1050"/>
    <w:rsid w:val="008F6AE1"/>
    <w:rsid w:val="009447D2"/>
    <w:rsid w:val="009818BF"/>
    <w:rsid w:val="009936EB"/>
    <w:rsid w:val="00997228"/>
    <w:rsid w:val="009A16E1"/>
    <w:rsid w:val="009A2266"/>
    <w:rsid w:val="009C5836"/>
    <w:rsid w:val="009E55C0"/>
    <w:rsid w:val="00A00770"/>
    <w:rsid w:val="00A056DE"/>
    <w:rsid w:val="00A075E3"/>
    <w:rsid w:val="00A07FF9"/>
    <w:rsid w:val="00A24505"/>
    <w:rsid w:val="00A24F12"/>
    <w:rsid w:val="00A36A71"/>
    <w:rsid w:val="00A41D1D"/>
    <w:rsid w:val="00A45BA5"/>
    <w:rsid w:val="00A55854"/>
    <w:rsid w:val="00A56689"/>
    <w:rsid w:val="00A64774"/>
    <w:rsid w:val="00A712A0"/>
    <w:rsid w:val="00A756E0"/>
    <w:rsid w:val="00A80EC1"/>
    <w:rsid w:val="00A957F5"/>
    <w:rsid w:val="00A965B4"/>
    <w:rsid w:val="00AA0C09"/>
    <w:rsid w:val="00AB730A"/>
    <w:rsid w:val="00AC1024"/>
    <w:rsid w:val="00AC2325"/>
    <w:rsid w:val="00AC23C6"/>
    <w:rsid w:val="00AC5970"/>
    <w:rsid w:val="00AD453A"/>
    <w:rsid w:val="00AE2661"/>
    <w:rsid w:val="00AF3A0E"/>
    <w:rsid w:val="00B11742"/>
    <w:rsid w:val="00B30B4A"/>
    <w:rsid w:val="00B35878"/>
    <w:rsid w:val="00B361B7"/>
    <w:rsid w:val="00B43CEB"/>
    <w:rsid w:val="00B45FB2"/>
    <w:rsid w:val="00B53FAC"/>
    <w:rsid w:val="00B9307F"/>
    <w:rsid w:val="00BA5F33"/>
    <w:rsid w:val="00BB59C2"/>
    <w:rsid w:val="00C302BC"/>
    <w:rsid w:val="00C46A1A"/>
    <w:rsid w:val="00C51611"/>
    <w:rsid w:val="00C553A9"/>
    <w:rsid w:val="00C71437"/>
    <w:rsid w:val="00C87920"/>
    <w:rsid w:val="00CB7607"/>
    <w:rsid w:val="00CC047C"/>
    <w:rsid w:val="00CC485F"/>
    <w:rsid w:val="00CD0DD3"/>
    <w:rsid w:val="00CE7A16"/>
    <w:rsid w:val="00D1094E"/>
    <w:rsid w:val="00D1440C"/>
    <w:rsid w:val="00D15A52"/>
    <w:rsid w:val="00D25972"/>
    <w:rsid w:val="00D302A8"/>
    <w:rsid w:val="00D31E3D"/>
    <w:rsid w:val="00D33C52"/>
    <w:rsid w:val="00D41D47"/>
    <w:rsid w:val="00D46A92"/>
    <w:rsid w:val="00D54BD6"/>
    <w:rsid w:val="00D706FE"/>
    <w:rsid w:val="00D77DD2"/>
    <w:rsid w:val="00D80128"/>
    <w:rsid w:val="00D858A1"/>
    <w:rsid w:val="00DC56BD"/>
    <w:rsid w:val="00DE374E"/>
    <w:rsid w:val="00DF1ED8"/>
    <w:rsid w:val="00DF68BC"/>
    <w:rsid w:val="00E03C9B"/>
    <w:rsid w:val="00E14FF5"/>
    <w:rsid w:val="00E175E2"/>
    <w:rsid w:val="00E35DDA"/>
    <w:rsid w:val="00E61C07"/>
    <w:rsid w:val="00E64A43"/>
    <w:rsid w:val="00E90864"/>
    <w:rsid w:val="00E95363"/>
    <w:rsid w:val="00EB1D75"/>
    <w:rsid w:val="00F0249D"/>
    <w:rsid w:val="00F0677E"/>
    <w:rsid w:val="00F10AFC"/>
    <w:rsid w:val="00F11813"/>
    <w:rsid w:val="00F126CF"/>
    <w:rsid w:val="00F31474"/>
    <w:rsid w:val="00F41827"/>
    <w:rsid w:val="00F4187F"/>
    <w:rsid w:val="00F42874"/>
    <w:rsid w:val="00F434FE"/>
    <w:rsid w:val="00F501C3"/>
    <w:rsid w:val="00F679EA"/>
    <w:rsid w:val="00F905FE"/>
    <w:rsid w:val="00F95C3C"/>
    <w:rsid w:val="00FA6F5B"/>
    <w:rsid w:val="00FA77D0"/>
    <w:rsid w:val="00FC02A6"/>
    <w:rsid w:val="00FC62CD"/>
    <w:rsid w:val="00FC76E7"/>
    <w:rsid w:val="00FD2E3F"/>
    <w:rsid w:val="00FE1E61"/>
    <w:rsid w:val="00FE3E51"/>
    <w:rsid w:val="00FE456A"/>
    <w:rsid w:val="00FF79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06A650"/>
  <w15:docId w15:val="{6F6E040F-FC1B-4922-8D07-54518B68C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22BB"/>
    <w:pPr>
      <w:spacing w:after="120" w:line="240" w:lineRule="auto"/>
      <w:jc w:val="both"/>
    </w:pPr>
    <w:rPr>
      <w:rFonts w:eastAsia="Cambria" w:cs="Times New Roman"/>
      <w:color w:val="000000" w:themeColor="text1"/>
    </w:rPr>
  </w:style>
  <w:style w:type="paragraph" w:styleId="Nadpis1">
    <w:name w:val="heading 1"/>
    <w:basedOn w:val="Normln"/>
    <w:next w:val="Normln"/>
    <w:link w:val="Nadpis1Char"/>
    <w:uiPriority w:val="9"/>
    <w:qFormat/>
    <w:rsid w:val="009A2266"/>
    <w:pPr>
      <w:jc w:val="center"/>
      <w:outlineLvl w:val="0"/>
    </w:pPr>
    <w:rPr>
      <w:b/>
      <w:caps/>
      <w:sz w:val="40"/>
    </w:rPr>
  </w:style>
  <w:style w:type="paragraph" w:styleId="Nadpis2">
    <w:name w:val="heading 2"/>
    <w:basedOn w:val="Normln"/>
    <w:next w:val="Normln"/>
    <w:link w:val="Nadpis2Char"/>
    <w:uiPriority w:val="9"/>
    <w:unhideWhenUsed/>
    <w:qFormat/>
    <w:rsid w:val="006522BB"/>
    <w:pPr>
      <w:keepNext/>
      <w:jc w:val="center"/>
      <w:outlineLvl w:val="1"/>
    </w:pPr>
    <w:rPr>
      <w:b/>
    </w:rPr>
  </w:style>
  <w:style w:type="paragraph" w:styleId="Nadpis3">
    <w:name w:val="heading 3"/>
    <w:basedOn w:val="Normln"/>
    <w:next w:val="Normln"/>
    <w:link w:val="Nadpis3Char"/>
    <w:uiPriority w:val="9"/>
    <w:unhideWhenUsed/>
    <w:qFormat/>
    <w:rsid w:val="00DE37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6">
    <w:name w:val="heading 6"/>
    <w:basedOn w:val="Normln"/>
    <w:next w:val="Normln"/>
    <w:link w:val="Nadpis6Char"/>
    <w:uiPriority w:val="9"/>
    <w:semiHidden/>
    <w:unhideWhenUsed/>
    <w:qFormat/>
    <w:rsid w:val="00E175E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C9F"/>
    <w:pPr>
      <w:tabs>
        <w:tab w:val="center" w:pos="4320"/>
        <w:tab w:val="right" w:pos="8640"/>
      </w:tabs>
      <w:spacing w:after="0"/>
    </w:pPr>
  </w:style>
  <w:style w:type="character" w:customStyle="1" w:styleId="ZhlavChar">
    <w:name w:val="Záhlaví Char"/>
    <w:basedOn w:val="Standardnpsmoodstavce"/>
    <w:link w:val="Zhlav"/>
    <w:uiPriority w:val="99"/>
    <w:rsid w:val="006B1C9F"/>
    <w:rPr>
      <w:rFonts w:ascii="Cambria" w:eastAsia="Cambria" w:hAnsi="Cambria" w:cs="Times New Roman"/>
      <w:sz w:val="24"/>
      <w:szCs w:val="24"/>
      <w:lang w:val="en-US"/>
    </w:rPr>
  </w:style>
  <w:style w:type="paragraph" w:styleId="Zpat">
    <w:name w:val="footer"/>
    <w:basedOn w:val="Normln"/>
    <w:link w:val="ZpatChar"/>
    <w:unhideWhenUsed/>
    <w:rsid w:val="006B1C9F"/>
    <w:pPr>
      <w:tabs>
        <w:tab w:val="center" w:pos="4320"/>
        <w:tab w:val="right" w:pos="8640"/>
      </w:tabs>
      <w:spacing w:after="0"/>
    </w:pPr>
  </w:style>
  <w:style w:type="character" w:customStyle="1" w:styleId="ZpatChar">
    <w:name w:val="Zápatí Char"/>
    <w:basedOn w:val="Standardnpsmoodstavce"/>
    <w:link w:val="Zpat"/>
    <w:rsid w:val="006B1C9F"/>
    <w:rPr>
      <w:rFonts w:ascii="Cambria" w:eastAsia="Cambria" w:hAnsi="Cambria" w:cs="Times New Roman"/>
      <w:sz w:val="24"/>
      <w:szCs w:val="24"/>
      <w:lang w:val="en-US"/>
    </w:rPr>
  </w:style>
  <w:style w:type="character" w:styleId="slostrnky">
    <w:name w:val="page number"/>
    <w:basedOn w:val="Standardnpsmoodstavce"/>
    <w:uiPriority w:val="99"/>
    <w:rsid w:val="00D302A8"/>
    <w:rPr>
      <w:rFonts w:cs="Times New Roman"/>
    </w:rPr>
  </w:style>
  <w:style w:type="paragraph" w:styleId="Textbubliny">
    <w:name w:val="Balloon Text"/>
    <w:basedOn w:val="Normln"/>
    <w:link w:val="TextbublinyChar"/>
    <w:uiPriority w:val="99"/>
    <w:semiHidden/>
    <w:unhideWhenUsed/>
    <w:rsid w:val="00F31474"/>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31474"/>
    <w:rPr>
      <w:rFonts w:ascii="Segoe UI" w:eastAsia="Cambria" w:hAnsi="Segoe UI" w:cs="Segoe UI"/>
      <w:sz w:val="18"/>
      <w:szCs w:val="18"/>
      <w:lang w:val="en-US"/>
    </w:rPr>
  </w:style>
  <w:style w:type="character" w:customStyle="1" w:styleId="Nadpis2Char">
    <w:name w:val="Nadpis 2 Char"/>
    <w:basedOn w:val="Standardnpsmoodstavce"/>
    <w:link w:val="Nadpis2"/>
    <w:uiPriority w:val="9"/>
    <w:rsid w:val="006522BB"/>
    <w:rPr>
      <w:rFonts w:eastAsia="Cambria" w:cs="Times New Roman"/>
      <w:b/>
      <w:color w:val="000000" w:themeColor="text1"/>
    </w:rPr>
  </w:style>
  <w:style w:type="character" w:customStyle="1" w:styleId="Nadpis1Char">
    <w:name w:val="Nadpis 1 Char"/>
    <w:basedOn w:val="Standardnpsmoodstavce"/>
    <w:link w:val="Nadpis1"/>
    <w:uiPriority w:val="9"/>
    <w:rsid w:val="009A2266"/>
    <w:rPr>
      <w:rFonts w:eastAsia="Cambria" w:cs="Times New Roman"/>
      <w:b/>
      <w:caps/>
      <w:color w:val="000000" w:themeColor="text1"/>
      <w:sz w:val="40"/>
    </w:rPr>
  </w:style>
  <w:style w:type="character" w:customStyle="1" w:styleId="Nadpis3Char">
    <w:name w:val="Nadpis 3 Char"/>
    <w:basedOn w:val="Standardnpsmoodstavce"/>
    <w:link w:val="Nadpis3"/>
    <w:uiPriority w:val="9"/>
    <w:rsid w:val="00DE374E"/>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semiHidden/>
    <w:rsid w:val="00E175E2"/>
    <w:rPr>
      <w:rFonts w:asciiTheme="majorHAnsi" w:eastAsiaTheme="majorEastAsia" w:hAnsiTheme="majorHAnsi" w:cstheme="majorBidi"/>
      <w:color w:val="1F4D78" w:themeColor="accent1" w:themeShade="7F"/>
    </w:rPr>
  </w:style>
  <w:style w:type="paragraph" w:styleId="Odstavecseseznamem">
    <w:name w:val="List Paragraph"/>
    <w:basedOn w:val="Normln"/>
    <w:uiPriority w:val="34"/>
    <w:qFormat/>
    <w:rsid w:val="00B361B7"/>
    <w:pPr>
      <w:ind w:left="720"/>
      <w:contextualSpacing/>
    </w:pPr>
  </w:style>
  <w:style w:type="character" w:styleId="Odkaznakoment">
    <w:name w:val="annotation reference"/>
    <w:basedOn w:val="Standardnpsmoodstavce"/>
    <w:uiPriority w:val="99"/>
    <w:semiHidden/>
    <w:unhideWhenUsed/>
    <w:rsid w:val="00AF3A0E"/>
    <w:rPr>
      <w:sz w:val="16"/>
      <w:szCs w:val="16"/>
    </w:rPr>
  </w:style>
  <w:style w:type="paragraph" w:styleId="Textkomente">
    <w:name w:val="annotation text"/>
    <w:basedOn w:val="Normln"/>
    <w:link w:val="TextkomenteChar"/>
    <w:uiPriority w:val="99"/>
    <w:semiHidden/>
    <w:unhideWhenUsed/>
    <w:rsid w:val="00AF3A0E"/>
    <w:rPr>
      <w:sz w:val="20"/>
      <w:szCs w:val="20"/>
    </w:rPr>
  </w:style>
  <w:style w:type="character" w:customStyle="1" w:styleId="TextkomenteChar">
    <w:name w:val="Text komentáře Char"/>
    <w:basedOn w:val="Standardnpsmoodstavce"/>
    <w:link w:val="Textkomente"/>
    <w:uiPriority w:val="99"/>
    <w:semiHidden/>
    <w:rsid w:val="00AF3A0E"/>
    <w:rPr>
      <w:rFonts w:eastAsia="Cambria" w:cs="Times New Roman"/>
      <w:color w:val="000000" w:themeColor="text1"/>
      <w:sz w:val="20"/>
      <w:szCs w:val="20"/>
    </w:rPr>
  </w:style>
  <w:style w:type="paragraph" w:styleId="Pedmtkomente">
    <w:name w:val="annotation subject"/>
    <w:basedOn w:val="Textkomente"/>
    <w:next w:val="Textkomente"/>
    <w:link w:val="PedmtkomenteChar"/>
    <w:uiPriority w:val="99"/>
    <w:semiHidden/>
    <w:unhideWhenUsed/>
    <w:rsid w:val="00AF3A0E"/>
    <w:rPr>
      <w:b/>
      <w:bCs/>
    </w:rPr>
  </w:style>
  <w:style w:type="character" w:customStyle="1" w:styleId="PedmtkomenteChar">
    <w:name w:val="Předmět komentáře Char"/>
    <w:basedOn w:val="TextkomenteChar"/>
    <w:link w:val="Pedmtkomente"/>
    <w:uiPriority w:val="99"/>
    <w:semiHidden/>
    <w:rsid w:val="00AF3A0E"/>
    <w:rPr>
      <w:rFonts w:eastAsia="Cambria" w:cs="Times New Roman"/>
      <w:b/>
      <w:bCs/>
      <w:color w:val="000000" w:themeColor="text1"/>
      <w:sz w:val="20"/>
      <w:szCs w:val="20"/>
    </w:rPr>
  </w:style>
  <w:style w:type="paragraph" w:styleId="Revize">
    <w:name w:val="Revision"/>
    <w:hidden/>
    <w:uiPriority w:val="99"/>
    <w:semiHidden/>
    <w:rsid w:val="00341008"/>
    <w:pPr>
      <w:spacing w:after="0" w:line="240" w:lineRule="auto"/>
    </w:pPr>
    <w:rPr>
      <w:rFonts w:eastAsia="Cambria" w:cs="Times New Roman"/>
      <w:color w:val="000000" w:themeColor="text1"/>
    </w:rPr>
  </w:style>
  <w:style w:type="character" w:styleId="Hypertextovodkaz">
    <w:name w:val="Hyperlink"/>
    <w:basedOn w:val="Standardnpsmoodstavce"/>
    <w:uiPriority w:val="99"/>
    <w:semiHidden/>
    <w:unhideWhenUsed/>
    <w:rsid w:val="003038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931306">
      <w:bodyDiv w:val="1"/>
      <w:marLeft w:val="0"/>
      <w:marRight w:val="0"/>
      <w:marTop w:val="0"/>
      <w:marBottom w:val="0"/>
      <w:divBdr>
        <w:top w:val="none" w:sz="0" w:space="0" w:color="auto"/>
        <w:left w:val="none" w:sz="0" w:space="0" w:color="auto"/>
        <w:bottom w:val="none" w:sz="0" w:space="0" w:color="auto"/>
        <w:right w:val="none" w:sz="0" w:space="0" w:color="auto"/>
      </w:divBdr>
    </w:div>
    <w:div w:id="1435511625">
      <w:bodyDiv w:val="1"/>
      <w:marLeft w:val="0"/>
      <w:marRight w:val="0"/>
      <w:marTop w:val="0"/>
      <w:marBottom w:val="0"/>
      <w:divBdr>
        <w:top w:val="none" w:sz="0" w:space="0" w:color="auto"/>
        <w:left w:val="none" w:sz="0" w:space="0" w:color="auto"/>
        <w:bottom w:val="none" w:sz="0" w:space="0" w:color="auto"/>
        <w:right w:val="none" w:sz="0" w:space="0" w:color="auto"/>
      </w:divBdr>
    </w:div>
    <w:div w:id="1595741510">
      <w:bodyDiv w:val="1"/>
      <w:marLeft w:val="0"/>
      <w:marRight w:val="0"/>
      <w:marTop w:val="0"/>
      <w:marBottom w:val="0"/>
      <w:divBdr>
        <w:top w:val="none" w:sz="0" w:space="0" w:color="auto"/>
        <w:left w:val="none" w:sz="0" w:space="0" w:color="auto"/>
        <w:bottom w:val="none" w:sz="0" w:space="0" w:color="auto"/>
        <w:right w:val="none" w:sz="0" w:space="0" w:color="auto"/>
      </w:divBdr>
    </w:div>
    <w:div w:id="202384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09A626E-E155-45A5-A77D-3ED0B297A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3304</Words>
  <Characters>19497</Characters>
  <Application>Microsoft Office Word</Application>
  <DocSecurity>0</DocSecurity>
  <Lines>162</Lines>
  <Paragraphs>45</Paragraphs>
  <ScaleCrop>false</ScaleCrop>
  <HeadingPairs>
    <vt:vector size="2" baseType="variant">
      <vt:variant>
        <vt:lpstr>Název</vt:lpstr>
      </vt:variant>
      <vt:variant>
        <vt:i4>1</vt:i4>
      </vt:variant>
    </vt:vector>
  </HeadingPairs>
  <TitlesOfParts>
    <vt:vector size="1" baseType="lpstr">
      <vt:lpstr/>
    </vt:vector>
  </TitlesOfParts>
  <Company>CVUT v Praze</Company>
  <LinksUpToDate>false</LinksUpToDate>
  <CharactersWithSpaces>22756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Gregorek Kamil</dc:creator>
  <cp:lastModifiedBy>Tomáš Ondračka</cp:lastModifiedBy>
  <cp:revision>5</cp:revision>
  <cp:lastPrinted>2019-03-25T08:01:00Z</cp:lastPrinted>
  <dcterms:created xsi:type="dcterms:W3CDTF">2019-03-22T09:17:00Z</dcterms:created>
  <dcterms:modified xsi:type="dcterms:W3CDTF">2019-03-25T08:02:00Z</dcterms:modified>
</cp:coreProperties>
</file>