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20" w:rsidRDefault="00BC3848">
      <w:pPr>
        <w:pStyle w:val="Style2"/>
        <w:shd w:val="clear" w:color="auto" w:fill="auto"/>
        <w:ind w:firstLine="0"/>
      </w:pPr>
      <w:bookmarkStart w:id="0" w:name="_GoBack"/>
      <w:bookmarkEnd w:id="0"/>
      <w:r>
        <w:t>Poz&amp;!Tikc''rý řcnd ČF!</w:t>
      </w:r>
    </w:p>
    <w:p w:rsidR="00663620" w:rsidRDefault="00BC3848">
      <w:pPr>
        <w:pStyle w:val="Style4"/>
        <w:shd w:val="clear" w:color="auto" w:fill="auto"/>
        <w:ind w:left="200"/>
      </w:pPr>
      <w:r>
        <w:t>Odlc jčer.á pracoviště Svitavy'</w:t>
      </w:r>
    </w:p>
    <w:p w:rsidR="00663620" w:rsidRDefault="00BC3848">
      <w:pPr>
        <w:pStyle w:val="Style6"/>
        <w:shd w:val="clear" w:color="auto" w:fill="auto"/>
        <w:tabs>
          <w:tab w:val="left" w:pos="1985"/>
        </w:tabs>
        <w:ind w:left="660"/>
      </w:pPr>
      <w:r>
        <w:t>0;C:TiOL-cká 23</w:t>
      </w:r>
      <w:r>
        <w:tab/>
        <w:t>rík</w:t>
      </w:r>
    </w:p>
    <w:p w:rsidR="00663620" w:rsidRDefault="00BC3848">
      <w:pPr>
        <w:pStyle w:val="Style8"/>
        <w:shd w:val="clear" w:color="auto" w:fill="auto"/>
        <w:ind w:left="660"/>
      </w:pPr>
      <w:r>
        <w:t>c2ř02cv' v"</w:t>
      </w:r>
    </w:p>
    <w:p w:rsidR="00663620" w:rsidRDefault="00BC3848">
      <w:pPr>
        <w:pStyle w:val="Style10"/>
        <w:shd w:val="clear" w:color="auto" w:fill="auto"/>
        <w:ind w:left="560"/>
      </w:pPr>
      <w:r>
        <w:t>Pozemkový fond České republiky</w:t>
      </w:r>
    </w:p>
    <w:p w:rsidR="00663620" w:rsidRDefault="00BC3848">
      <w:pPr>
        <w:pStyle w:val="Style2"/>
        <w:shd w:val="clear" w:color="auto" w:fill="auto"/>
        <w:spacing w:line="245" w:lineRule="exact"/>
        <w:ind w:left="560"/>
      </w:pPr>
      <w:r>
        <w:t>sídlo: Husinecká 1024/1 la, 130 00 Praha 3,</w:t>
      </w:r>
    </w:p>
    <w:p w:rsidR="00663620" w:rsidRDefault="00BC3848">
      <w:pPr>
        <w:pStyle w:val="Style2"/>
        <w:shd w:val="clear" w:color="auto" w:fill="auto"/>
        <w:spacing w:line="245" w:lineRule="exact"/>
        <w:ind w:left="300" w:right="1300" w:firstLine="0"/>
      </w:pPr>
      <w:r>
        <w:t xml:space="preserve">zastoupený: Ing. Pavel Hanzl, vedoucí odloučeného pracoviště PF ČR ve Svitavách adresa: </w:t>
      </w:r>
      <w:r>
        <w:t>Olomoucká 26, 568 02 Svitavy IČ: 45797072, DIČ: CZ45797072</w:t>
      </w:r>
    </w:p>
    <w:p w:rsidR="00663620" w:rsidRDefault="00BC3848">
      <w:pPr>
        <w:pStyle w:val="Style2"/>
        <w:shd w:val="clear" w:color="auto" w:fill="auto"/>
        <w:spacing w:line="245" w:lineRule="exact"/>
        <w:ind w:left="300" w:right="1300" w:firstLine="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 xml:space="preserve">A, vložka 6664 bankovní spojení: GE </w:t>
      </w:r>
      <w:r>
        <w:rPr>
          <w:lang w:val="en-US" w:eastAsia="en-US" w:bidi="en-US"/>
        </w:rPr>
        <w:t xml:space="preserve">Money </w:t>
      </w:r>
      <w:r>
        <w:t>Bank a.s., číslo účtu:</w:t>
      </w:r>
    </w:p>
    <w:p w:rsidR="00663620" w:rsidRDefault="00BC3848">
      <w:pPr>
        <w:pStyle w:val="Style2"/>
        <w:shd w:val="clear" w:color="auto" w:fill="auto"/>
        <w:spacing w:line="245" w:lineRule="exact"/>
        <w:ind w:left="560"/>
      </w:pPr>
      <w:r>
        <w:t>(dále jen „pronajímáte 1“)</w:t>
      </w:r>
    </w:p>
    <w:p w:rsidR="00663620" w:rsidRDefault="00BC3848">
      <w:pPr>
        <w:pStyle w:val="Style2"/>
        <w:shd w:val="clear" w:color="auto" w:fill="auto"/>
        <w:spacing w:after="770" w:line="245" w:lineRule="exact"/>
        <w:ind w:left="560"/>
      </w:pPr>
      <w:r>
        <w:t>- na straně jedné -</w:t>
      </w:r>
    </w:p>
    <w:p w:rsidR="00663620" w:rsidRDefault="00BC3848">
      <w:pPr>
        <w:pStyle w:val="Style12"/>
        <w:keepNext/>
        <w:keepLines/>
        <w:shd w:val="clear" w:color="auto" w:fill="auto"/>
        <w:spacing w:before="0"/>
        <w:ind w:left="560" w:hanging="260"/>
      </w:pPr>
      <w:bookmarkStart w:id="1" w:name="bookmark0"/>
      <w:r>
        <w:t>Ing. Jaroslav Dvoř</w:t>
      </w:r>
      <w:r>
        <w:t>ák</w:t>
      </w:r>
      <w:bookmarkEnd w:id="1"/>
    </w:p>
    <w:p w:rsidR="00663620" w:rsidRDefault="00BC3848">
      <w:pPr>
        <w:pStyle w:val="Style2"/>
        <w:shd w:val="clear" w:color="auto" w:fill="auto"/>
        <w:spacing w:after="250"/>
        <w:ind w:left="560"/>
      </w:pPr>
      <w:r>
        <w:t>- na straně druhé -</w:t>
      </w:r>
    </w:p>
    <w:p w:rsidR="00663620" w:rsidRDefault="00BC3848">
      <w:pPr>
        <w:pStyle w:val="Style2"/>
        <w:shd w:val="clear" w:color="auto" w:fill="auto"/>
        <w:spacing w:after="256" w:line="245" w:lineRule="exact"/>
        <w:ind w:left="300" w:firstLine="0"/>
      </w:pPr>
      <w:r>
        <w:t>uzavírají podle ust. § 663 a násl. zákona č. 40/1964 Sb., občanský zákoník, ve znění pozdějších předpisů, tuto</w:t>
      </w:r>
    </w:p>
    <w:p w:rsidR="00663620" w:rsidRDefault="00BC3848">
      <w:pPr>
        <w:pStyle w:val="Style12"/>
        <w:keepNext/>
        <w:keepLines/>
        <w:shd w:val="clear" w:color="auto" w:fill="auto"/>
        <w:tabs>
          <w:tab w:val="left" w:pos="5774"/>
        </w:tabs>
        <w:spacing w:before="0" w:after="274" w:line="250" w:lineRule="exact"/>
        <w:ind w:left="4140" w:right="3300"/>
      </w:pPr>
      <w:bookmarkStart w:id="2" w:name="bookmark1"/>
      <w:r>
        <w:t>NÁJEMNÍ SMLOUVU é. 11N12/19</w:t>
      </w:r>
      <w:r>
        <w:tab/>
        <w:t>.</w:t>
      </w:r>
      <w:bookmarkEnd w:id="2"/>
    </w:p>
    <w:p w:rsidR="00663620" w:rsidRDefault="00BC3848">
      <w:pPr>
        <w:pStyle w:val="Style12"/>
        <w:keepNext/>
        <w:keepLines/>
        <w:shd w:val="clear" w:color="auto" w:fill="auto"/>
        <w:spacing w:before="0" w:after="250"/>
        <w:ind w:right="200" w:firstLine="0"/>
        <w:jc w:val="center"/>
      </w:pPr>
      <w:bookmarkStart w:id="3" w:name="bookmark2"/>
      <w:r>
        <w:t>ČI. I</w:t>
      </w:r>
      <w:bookmarkEnd w:id="3"/>
    </w:p>
    <w:p w:rsidR="00663620" w:rsidRDefault="00BC3848">
      <w:pPr>
        <w:pStyle w:val="Style2"/>
        <w:shd w:val="clear" w:color="auto" w:fill="auto"/>
        <w:spacing w:line="245" w:lineRule="exact"/>
        <w:ind w:left="300" w:firstLine="0"/>
      </w:pPr>
      <w:r>
        <w:t xml:space="preserve">Pronajímatel spravuje ve smyslu zákona č. 229/1991 Sb., ve znění pozdějších předpisů </w:t>
      </w:r>
      <w:r>
        <w:t>(dále jen „zákon o půdě“), nemovitosti ve vlastnictví státu specifikované v příloze této smlouvy vedené u Katastrálního úřadu pro Pardubický kraj se sídlem v Pardubicích, Kastastrální pracoviště Svitavy. ■ Příloha je nedílnou součástí této smlouvy.</w:t>
      </w:r>
    </w:p>
    <w:p w:rsidR="00663620" w:rsidRDefault="00BC3848">
      <w:pPr>
        <w:pStyle w:val="Style2"/>
        <w:shd w:val="clear" w:color="auto" w:fill="auto"/>
        <w:spacing w:after="510" w:line="245" w:lineRule="exact"/>
        <w:ind w:left="560"/>
      </w:pPr>
      <w:r>
        <w:t>Předmět</w:t>
      </w:r>
      <w:r>
        <w:t>u nájmu přešel do této nájemní smlouvy z nájemní smlouvy č. 186N07/19.</w:t>
      </w:r>
    </w:p>
    <w:p w:rsidR="00663620" w:rsidRDefault="00BC3848">
      <w:pPr>
        <w:pStyle w:val="Style12"/>
        <w:keepNext/>
        <w:keepLines/>
        <w:shd w:val="clear" w:color="auto" w:fill="auto"/>
        <w:spacing w:before="0" w:after="246"/>
        <w:ind w:right="200" w:firstLine="0"/>
        <w:jc w:val="center"/>
      </w:pPr>
      <w:bookmarkStart w:id="4" w:name="bookmark3"/>
      <w:r>
        <w:t>Cl. II</w:t>
      </w:r>
      <w:bookmarkEnd w:id="4"/>
    </w:p>
    <w:p w:rsidR="00663620" w:rsidRDefault="00BC3848">
      <w:pPr>
        <w:pStyle w:val="Style2"/>
        <w:shd w:val="clear" w:color="auto" w:fill="auto"/>
        <w:spacing w:after="514" w:line="250" w:lineRule="exact"/>
        <w:ind w:left="300" w:firstLine="0"/>
      </w:pPr>
      <w:r>
        <w:t>Pronajímatel přenechává nájemci nemovitosti uvedené v čl. I do užívání za účelem: - provozování zemědělské výroby.</w:t>
      </w:r>
    </w:p>
    <w:p w:rsidR="00663620" w:rsidRDefault="00BC3848">
      <w:pPr>
        <w:pStyle w:val="Style12"/>
        <w:keepNext/>
        <w:keepLines/>
        <w:shd w:val="clear" w:color="auto" w:fill="auto"/>
        <w:spacing w:before="0" w:after="260"/>
        <w:ind w:right="200" w:firstLine="0"/>
        <w:jc w:val="center"/>
      </w:pPr>
      <w:bookmarkStart w:id="5" w:name="bookmark4"/>
      <w:r>
        <w:t>Čl. III</w:t>
      </w:r>
      <w:bookmarkEnd w:id="5"/>
    </w:p>
    <w:p w:rsidR="00663620" w:rsidRDefault="00BC3848">
      <w:pPr>
        <w:pStyle w:val="Style2"/>
        <w:shd w:val="clear" w:color="auto" w:fill="auto"/>
        <w:ind w:left="560"/>
      </w:pPr>
      <w:r>
        <w:t>Nájemce je povinen:</w:t>
      </w:r>
    </w:p>
    <w:p w:rsidR="00663620" w:rsidRDefault="00BC3848">
      <w:pPr>
        <w:pStyle w:val="Style2"/>
        <w:numPr>
          <w:ilvl w:val="0"/>
          <w:numId w:val="1"/>
        </w:numPr>
        <w:shd w:val="clear" w:color="auto" w:fill="auto"/>
        <w:tabs>
          <w:tab w:val="left" w:pos="637"/>
        </w:tabs>
        <w:spacing w:after="260" w:line="245" w:lineRule="exact"/>
        <w:ind w:left="560"/>
        <w:jc w:val="both"/>
      </w:pPr>
      <w:r>
        <w:t xml:space="preserve">užívat pozemky řádně v souladu s </w:t>
      </w:r>
      <w:r>
        <w:t>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:rsidR="00663620" w:rsidRDefault="00BC3848">
      <w:pPr>
        <w:pStyle w:val="Style2"/>
        <w:numPr>
          <w:ilvl w:val="0"/>
          <w:numId w:val="1"/>
        </w:numPr>
        <w:shd w:val="clear" w:color="auto" w:fill="auto"/>
        <w:tabs>
          <w:tab w:val="left" w:pos="642"/>
        </w:tabs>
        <w:spacing w:after="256" w:line="245" w:lineRule="exact"/>
        <w:ind w:left="560"/>
      </w:pPr>
      <w:r>
        <w:t>dodržovat povinnosti vyplývajíc</w:t>
      </w:r>
      <w:r>
        <w:t>í ze zákona č. 147/1996 Sb., o rostlinolékařské péči, ve znění pozdějších předpisů,</w:t>
      </w:r>
    </w:p>
    <w:p w:rsidR="00663620" w:rsidRDefault="00BC3848">
      <w:pPr>
        <w:pStyle w:val="Style2"/>
        <w:numPr>
          <w:ilvl w:val="0"/>
          <w:numId w:val="1"/>
        </w:numPr>
        <w:shd w:val="clear" w:color="auto" w:fill="auto"/>
        <w:tabs>
          <w:tab w:val="left" w:pos="642"/>
        </w:tabs>
        <w:spacing w:after="264" w:line="250" w:lineRule="exact"/>
        <w:ind w:left="560"/>
        <w:jc w:val="both"/>
      </w:pPr>
      <w:r>
        <w:t>dodržovat zákaz hospodářské činnosti vyvolávající erozi půdy a používání toxických a jiných škodlivých látek s dlouhodobým reziduálním účinkem, dodržovat ustanovení § 3 ods</w:t>
      </w:r>
      <w:r>
        <w:t>t. 1 zákona č. 334/1992 Sb., o ochraně zemědělského půdního fondu, ve znění pozdějších předpisů,</w:t>
      </w:r>
    </w:p>
    <w:p w:rsidR="00663620" w:rsidRDefault="00BC3848">
      <w:pPr>
        <w:pStyle w:val="Style2"/>
        <w:numPr>
          <w:ilvl w:val="0"/>
          <w:numId w:val="1"/>
        </w:numPr>
        <w:shd w:val="clear" w:color="auto" w:fill="auto"/>
        <w:tabs>
          <w:tab w:val="left" w:pos="646"/>
        </w:tabs>
        <w:spacing w:line="245" w:lineRule="exact"/>
        <w:ind w:left="560"/>
        <w:sectPr w:rsidR="00663620">
          <w:pgSz w:w="11904" w:h="16834"/>
          <w:pgMar w:top="739" w:right="1708" w:bottom="739" w:left="1104" w:header="0" w:footer="3" w:gutter="0"/>
          <w:cols w:space="720"/>
          <w:noEndnote/>
          <w:docGrid w:linePitch="360"/>
        </w:sectPr>
      </w:pPr>
      <w:r>
        <w:t>umožnit pronajímateli provádění kontroly k bodům a) až c) formou nahlédnutí do evidence rozborů a vstupem na pozemek.</w:t>
      </w:r>
    </w:p>
    <w:p w:rsidR="00663620" w:rsidRDefault="00BC3848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1pt;margin-top:180.55pt;width:44.15pt;height:43.65pt;z-index:251652608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14"/>
                    <w:keepNext/>
                    <w:keepLines/>
                    <w:shd w:val="clear" w:color="auto" w:fill="000000"/>
                    <w:ind w:left="300"/>
                  </w:pPr>
                  <w:bookmarkStart w:id="6" w:name="bookmark5"/>
                  <w:r>
                    <w:rPr>
                      <w:rStyle w:val="CharStyle16Exact"/>
                      <w:b/>
                      <w:bCs/>
                    </w:rPr>
                    <w:t>ili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.05pt;margin-top:271.75pt;width:56.15pt;height:73.2pt;z-index:251654656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14"/>
                    <w:keepNext/>
                    <w:keepLines/>
                    <w:shd w:val="clear" w:color="auto" w:fill="000000"/>
                  </w:pPr>
                  <w:bookmarkStart w:id="7" w:name="bookmark6"/>
                  <w:r>
                    <w:rPr>
                      <w:rStyle w:val="CharStyle16Exact"/>
                      <w:b/>
                      <w:bCs/>
                      <w:lang w:val="en-US" w:eastAsia="en-US" w:bidi="en-US"/>
                    </w:rPr>
                    <w:t>ft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8.9pt;margin-top:264.5pt;width:51.35pt;height:48.75pt;z-index:251656704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17"/>
                    <w:shd w:val="clear" w:color="auto" w:fill="000000"/>
                  </w:pPr>
                  <w:r>
                    <w:rPr>
                      <w:rStyle w:val="CharStyle19Exact"/>
                    </w:rPr>
                    <w:t>h-w6í,%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00.3pt;margin-top:350pt;width:40.8pt;height:24pt;z-index:251657728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14"/>
                    <w:keepNext/>
                    <w:keepLines/>
                    <w:shd w:val="clear" w:color="auto" w:fill="000000"/>
                  </w:pPr>
                  <w:bookmarkStart w:id="8" w:name="bookmark7"/>
                  <w:r>
                    <w:rPr>
                      <w:rStyle w:val="CharStyle16Exact"/>
                      <w:b/>
                      <w:bCs/>
                    </w:rPr>
                    <w:t>iWi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87.7pt;margin-top:350.4pt;width:82.55pt;height:45.4pt;z-index:251658752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20"/>
                    <w:shd w:val="clear" w:color="auto" w:fill="000000"/>
                    <w:tabs>
                      <w:tab w:val="left" w:pos="1373"/>
                    </w:tabs>
                  </w:pPr>
                  <w:r>
                    <w:rPr>
                      <w:rStyle w:val="CharStyle22Exact"/>
                    </w:rPr>
                    <w:t>'•&gt;/ v</w:t>
                  </w:r>
                  <w:r>
                    <w:rPr>
                      <w:rStyle w:val="CharStyle23Exact"/>
                    </w:rPr>
                    <w:t>c</w:t>
                  </w:r>
                  <w:r>
                    <w:rPr>
                      <w:rStyle w:val="CharStyle22Exact"/>
                      <w:lang w:val="en-US" w:eastAsia="en-US" w:bidi="en-US"/>
                    </w:rPr>
                    <w:tab/>
                  </w:r>
                  <w:r>
                    <w:rPr>
                      <w:rStyle w:val="CharStyle22Exact"/>
                    </w:rPr>
                    <w:t>--V':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297.1pt;margin-top:0;width:50.9pt;height:48.5pt;z-index:-25166284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32" type="#_x0000_t202" style="position:absolute;margin-left:310.55pt;margin-top:30.05pt;width:224.15pt;height:77.6pt;z-index:251659776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24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25"/>
                    </w:tabs>
                    <w:spacing w:after="147"/>
                    <w:ind w:left="200"/>
                  </w:pPr>
                  <w:r>
                    <w:rPr>
                      <w:rStyle w:val="CharStyle25Exact"/>
                    </w:rPr>
                    <w:t>dodriovat povinnosti vyplývající ze zákona Č. 449.’2001 Sb., o myslivosti, vc znční pozdéjSích předpisů,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125"/>
                    </w:tabs>
                    <w:spacing w:after="104" w:line="110" w:lineRule="exact"/>
                    <w:ind w:left="200"/>
                  </w:pPr>
                  <w:r>
                    <w:rPr>
                      <w:rStyle w:val="CharStyle25Exact"/>
                    </w:rPr>
                    <w:t>provádět podle podmínek sběr kamene,</w:t>
                  </w:r>
                </w:p>
                <w:p w:rsidR="00663620" w:rsidRDefault="00BC3848">
                  <w:pPr>
                    <w:pStyle w:val="Style24"/>
                    <w:shd w:val="clear" w:color="auto" w:fill="auto"/>
                    <w:spacing w:after="136" w:line="130" w:lineRule="exact"/>
                    <w:ind w:left="200"/>
                  </w:pPr>
                  <w:r>
                    <w:rPr>
                      <w:rStyle w:val="CharStyle25Exact"/>
                    </w:rPr>
                    <w:t xml:space="preserve">c) v7^ádat sí souhlas pronajimatele pří realizaci zúrodůovacích opatřeni a </w:t>
                  </w:r>
                  <w:r>
                    <w:rPr>
                      <w:rStyle w:val="CharStyle25Exact"/>
                    </w:rPr>
                    <w:t>zakládání trvalých porostu na pozemcích nebo pfi provádSní zniSiiy druhu pozemku (kultury).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30"/>
                    </w:tabs>
                    <w:spacing w:after="104" w:line="110" w:lineRule="exact"/>
                    <w:ind w:left="200"/>
                  </w:pPr>
                  <w:r>
                    <w:rPr>
                      <w:rStyle w:val="CharStyle25Exact"/>
                    </w:rPr>
                    <w:t>trpét vácná břemena spojená .s nemovitostmi, jet Jsou předmétem nájmu.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3"/>
                    </w:numPr>
                    <w:shd w:val="clear" w:color="auto" w:fill="auto"/>
                    <w:tabs>
                      <w:tab w:val="left" w:pos="125"/>
                    </w:tabs>
                    <w:spacing w:after="0" w:line="130" w:lineRule="exact"/>
                    <w:ind w:left="200"/>
                  </w:pPr>
                  <w:r>
                    <w:rPr>
                      <w:rStyle w:val="CharStyle25Exact"/>
                    </w:rPr>
                    <w:t>platit v soufadu se zákonnou úpravou daň z nemovitosti za pronajaté nemovúosií, jež jsou před</w:t>
                  </w:r>
                  <w:r>
                    <w:rPr>
                      <w:rStyle w:val="CharStyle25Exact"/>
                    </w:rPr>
                    <w:t>métem nájmu.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10.55pt;margin-top:113.15pt;width:224.65pt;height:224.8pt;z-index:251660800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24"/>
                    <w:shd w:val="clear" w:color="auto" w:fill="auto"/>
                    <w:spacing w:after="0" w:line="250" w:lineRule="exact"/>
                    <w:ind w:left="20" w:firstLine="0"/>
                    <w:jc w:val="center"/>
                  </w:pPr>
                  <w:r>
                    <w:rPr>
                      <w:rStyle w:val="CharStyle25Exact"/>
                    </w:rPr>
                    <w:t>ČL IV</w:t>
                  </w:r>
                </w:p>
                <w:p w:rsidR="00663620" w:rsidRDefault="00BC3848">
                  <w:pPr>
                    <w:pStyle w:val="Style24"/>
                    <w:shd w:val="clear" w:color="auto" w:fill="auto"/>
                    <w:spacing w:after="0" w:line="250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 xml:space="preserve">1} Pato smlouva se uzavírá od </w:t>
                  </w:r>
                  <w:r>
                    <w:rPr>
                      <w:rStyle w:val="CharStyle25Exact"/>
                      <w:lang w:val="en-US" w:eastAsia="en-US" w:bidi="en-US"/>
                    </w:rPr>
                    <w:t xml:space="preserve">14.lZ.201t </w:t>
                  </w:r>
                  <w:r>
                    <w:rPr>
                      <w:rStyle w:val="CharStyle25Exact"/>
                    </w:rPr>
                    <w:t>na dobu ncurditou.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34"/>
                    </w:tabs>
                    <w:spacing w:after="0" w:line="250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>Právní vmli zaloíený Pnito smlouvou lze ukončit dohodou nebo písemnou výpovědi.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34"/>
                    </w:tabs>
                    <w:spacing w:after="124" w:line="125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 xml:space="preserve">Smluvní strany se v souladu s § 67S zákona č. 40/1964 Sb.. občanský zákoník, vc znéni </w:t>
                  </w:r>
                  <w:r>
                    <w:rPr>
                      <w:rStyle w:val="CharStyle25Exact"/>
                    </w:rPr>
                    <w:t>pozdějších předpisů, dohodly na jednoměsíční vý'povědní Ihútě.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4"/>
                    </w:numPr>
                    <w:shd w:val="clear" w:color="auto" w:fill="auto"/>
                    <w:tabs>
                      <w:tab w:val="left" w:pos="130"/>
                    </w:tabs>
                    <w:spacing w:after="136" w:line="120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>Nájemní smlouvu lze vypověděl v jednomésiéní výpovědní Ihiité, a lo vždy jsn k l. říjnu bě/nčlio roku výpovědí doručenou druhé smluvní straně nejpozději do jednoho mísíce před línilo dnem.</w:t>
                  </w:r>
                </w:p>
                <w:p w:rsidR="00663620" w:rsidRDefault="00BC3848">
                  <w:pPr>
                    <w:pStyle w:val="Style26"/>
                    <w:shd w:val="clear" w:color="auto" w:fill="auto"/>
                    <w:spacing w:before="0"/>
                    <w:ind w:left="20"/>
                  </w:pPr>
                  <w:r>
                    <w:t>Cu v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20"/>
                    </w:tabs>
                    <w:spacing w:after="0" w:line="250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>Nájemce je povinen platit pronajímateli nájemné.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4"/>
                    </w:tabs>
                    <w:spacing w:after="0" w:line="250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>Nájemné se platí ročné pozadu vždy k 1.10. běžného roku.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4"/>
                    </w:tabs>
                    <w:spacing w:after="132" w:line="125" w:lineRule="exact"/>
                    <w:ind w:left="200"/>
                  </w:pPr>
                  <w:r>
                    <w:rPr>
                      <w:rStyle w:val="CharStyle25Exact"/>
                    </w:rPr>
                    <w:t>Roční nájemné se stanovuje dohodou ve výši 26 895,- Kč (slovy: dvacetáesttisícosmsetdevadesátpét korun českýcii).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4"/>
                    </w:tabs>
                    <w:spacing w:after="0" w:line="110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 xml:space="preserve">Nájemné bude hrazeno převodem na účet pronajimatele vedený ii </w:t>
                  </w:r>
                  <w:r>
                    <w:rPr>
                      <w:rStyle w:val="CharStyle28Exact"/>
                    </w:rPr>
                    <w:t>GP.</w:t>
                  </w:r>
                  <w:r>
                    <w:rPr>
                      <w:rStyle w:val="CharStyle25Exact"/>
                    </w:rPr>
                    <w:t xml:space="preserve"> </w:t>
                  </w:r>
                  <w:r>
                    <w:rPr>
                      <w:rStyle w:val="CharStyle25Exact"/>
                      <w:lang w:val="en-US" w:eastAsia="en-US" w:bidi="en-US"/>
                    </w:rPr>
                    <w:t xml:space="preserve">Money </w:t>
                  </w:r>
                  <w:r>
                    <w:rPr>
                      <w:rStyle w:val="CharStyle25Exact"/>
                    </w:rPr>
                    <w:t>Bank, číslo účtu:</w:t>
                  </w:r>
                </w:p>
                <w:p w:rsidR="00663620" w:rsidRDefault="00BC3848">
                  <w:pPr>
                    <w:pStyle w:val="Style24"/>
                    <w:shd w:val="clear" w:color="auto" w:fill="auto"/>
                    <w:spacing w:after="108" w:line="110" w:lineRule="exact"/>
                    <w:ind w:left="1120" w:firstLine="0"/>
                  </w:pPr>
                  <w:r>
                    <w:rPr>
                      <w:rStyle w:val="CharStyle25Exact"/>
                    </w:rPr>
                    <w:t>bllní symbol 1111219.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0"/>
                    </w:tabs>
                    <w:spacing w:after="0" w:line="125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>Nájemné za období od účinnosti smlouv7 do 30.9.2012 včetní činí 21 442,- Kč a bude uhrazeno k 1.IOJ012.</w:t>
                  </w:r>
                </w:p>
                <w:p w:rsidR="00663620" w:rsidRDefault="00BC3848">
                  <w:pPr>
                    <w:pStyle w:val="Style24"/>
                    <w:shd w:val="clear" w:color="auto" w:fill="auto"/>
                    <w:spacing w:line="125" w:lineRule="exact"/>
                    <w:ind w:left="200" w:firstLine="0"/>
                  </w:pPr>
                  <w:r>
                    <w:rPr>
                      <w:rStyle w:val="CharStyle25Exact"/>
                    </w:rPr>
                    <w:t>Zaplacením se rozumí připsáni placené čá</w:t>
                  </w:r>
                  <w:r>
                    <w:rPr>
                      <w:rStyle w:val="CharStyle25Exact"/>
                    </w:rPr>
                    <w:t>stky na účet pronajímatele.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0"/>
                    </w:tabs>
                    <w:spacing w:line="125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>Ncdodrží-Ii nájemce Ihútu pro úliradu nájemného, je povinen podle usunovení 9 517 zákona č. 40.^1964 Sb., občanský zákoník, vc znění pozdéjSích předpisů, zaplatit pronajimateli úrok z prodlení.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5"/>
                    </w:numPr>
                    <w:shd w:val="clear" w:color="auto" w:fill="auto"/>
                    <w:tabs>
                      <w:tab w:val="left" w:pos="130"/>
                    </w:tabs>
                    <w:spacing w:after="0" w:line="125" w:lineRule="exact"/>
                    <w:ind w:left="200"/>
                    <w:jc w:val="both"/>
                  </w:pPr>
                  <w:r>
                    <w:rPr>
                      <w:rStyle w:val="CharStyle25Exact"/>
                    </w:rPr>
                    <w:t xml:space="preserve">Prodleni nájemce s úhradou </w:t>
                  </w:r>
                  <w:r>
                    <w:rPr>
                      <w:rStyle w:val="CharStyle25Exact"/>
                    </w:rPr>
                    <w:t>nájemného delší nsž 60 dnú se považuje za porušení smlouvy, které zakládá právo pronajímatele od smlouvy odstoupit.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11.5pt;margin-top:348.5pt;width:207.35pt;height:33.15pt;z-index:251661824;mso-wrap-distance-left:5pt;mso-wrap-distance-right:5pt;mso-position-horizontal-relative:margin" filled="f" stroked="f">
            <v:textbox style="mso-fit-shape-to-text:t" inset="0,0,0,0">
              <w:txbxContent>
                <w:p w:rsidR="00663620" w:rsidRDefault="00BC3848">
                  <w:pPr>
                    <w:pStyle w:val="Style29"/>
                    <w:shd w:val="clear" w:color="auto" w:fill="auto"/>
                    <w:spacing w:after="128"/>
                    <w:ind w:left="2080"/>
                  </w:pPr>
                  <w:r>
                    <w:t>ČLVI</w:t>
                  </w:r>
                </w:p>
                <w:p w:rsidR="00663620" w:rsidRDefault="00BC3848">
                  <w:pPr>
                    <w:pStyle w:val="Style24"/>
                    <w:shd w:val="clear" w:color="auto" w:fill="auto"/>
                    <w:spacing w:after="0" w:line="125" w:lineRule="exact"/>
                    <w:ind w:firstLine="0"/>
                  </w:pPr>
                  <w:r>
                    <w:rPr>
                      <w:rStyle w:val="CharStyle25Exact"/>
                    </w:rPr>
                    <w:t xml:space="preserve">Pokud </w:t>
                  </w:r>
                  <w:r>
                    <w:rPr>
                      <w:rStyle w:val="CharStyle25Exact"/>
                      <w:lang w:val="en-US" w:eastAsia="en-US" w:bidi="en-US"/>
                    </w:rPr>
                    <w:t xml:space="preserve">j'sou </w:t>
                  </w:r>
                  <w:r>
                    <w:rPr>
                      <w:rStyle w:val="CharStyle25Exact"/>
                    </w:rPr>
                    <w:t>na pronajímaných nemovitostech zřízena meliorační zařízeni, nájemce se zavazuje: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62"/>
                    </w:tabs>
                    <w:spacing w:after="0" w:line="125" w:lineRule="exact"/>
                    <w:ind w:firstLine="0"/>
                  </w:pPr>
                  <w:r>
                    <w:rPr>
                      <w:rStyle w:val="CharStyle25Exact"/>
                    </w:rPr>
                    <w:t>II meltoračních zařízení umístěných pod</w:t>
                  </w:r>
                  <w:r>
                    <w:rPr>
                      <w:rStyle w:val="CharStyle25Exact"/>
                    </w:rPr>
                    <w:t xml:space="preserve"> {WvreUera půdy zajistit jejich údržbu,</w:t>
                  </w:r>
                </w:p>
                <w:p w:rsidR="00663620" w:rsidRDefault="00BC3848">
                  <w:pPr>
                    <w:pStyle w:val="Style24"/>
                    <w:numPr>
                      <w:ilvl w:val="0"/>
                      <w:numId w:val="6"/>
                    </w:numPr>
                    <w:shd w:val="clear" w:color="auto" w:fill="auto"/>
                    <w:tabs>
                      <w:tab w:val="left" w:pos="62"/>
                    </w:tabs>
                    <w:spacing w:after="0" w:line="125" w:lineRule="exact"/>
                    <w:ind w:firstLine="0"/>
                  </w:pPr>
                  <w:r>
                    <w:rPr>
                      <w:rStyle w:val="CharStyle25Exact"/>
                    </w:rPr>
                    <w:t>k hlavním melioračním zařízením umožnit přístup za účelem provedení údržby.</w:t>
                  </w:r>
                </w:p>
              </w:txbxContent>
            </v:textbox>
            <w10:wrap anchorx="margin"/>
          </v:shape>
        </w:pict>
      </w: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693" w:lineRule="exact"/>
      </w:pPr>
    </w:p>
    <w:p w:rsidR="00663620" w:rsidRDefault="00663620">
      <w:pPr>
        <w:rPr>
          <w:sz w:val="2"/>
          <w:szCs w:val="2"/>
        </w:rPr>
        <w:sectPr w:rsidR="00663620">
          <w:pgSz w:w="11947" w:h="16862"/>
          <w:pgMar w:top="4554" w:right="1025" w:bottom="4358" w:left="217" w:header="0" w:footer="3" w:gutter="0"/>
          <w:cols w:space="720"/>
          <w:noEndnote/>
          <w:docGrid w:linePitch="360"/>
        </w:sectPr>
      </w:pPr>
    </w:p>
    <w:p w:rsidR="00663620" w:rsidRDefault="00BC3848">
      <w:pPr>
        <w:framePr w:h="8016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"C:\\Users\\sedlakovak\\AppData\\Local\\Microsoft\\Windows\\Temporary Internet Files\\Content.Outlook\\SB5OKEGZ\\media\\image2.jpeg"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569.25pt;height:400.5pt">
            <v:imagedata r:id="rId8" r:href="rId9"/>
          </v:shape>
        </w:pict>
      </w:r>
      <w:r>
        <w:fldChar w:fldCharType="end"/>
      </w:r>
    </w:p>
    <w:p w:rsidR="00663620" w:rsidRDefault="00663620">
      <w:pPr>
        <w:rPr>
          <w:sz w:val="2"/>
          <w:szCs w:val="2"/>
        </w:rPr>
      </w:pPr>
    </w:p>
    <w:p w:rsidR="00663620" w:rsidRDefault="00663620">
      <w:pPr>
        <w:rPr>
          <w:sz w:val="2"/>
          <w:szCs w:val="2"/>
        </w:rPr>
        <w:sectPr w:rsidR="00663620">
          <w:pgSz w:w="11962" w:h="16877"/>
          <w:pgMar w:top="4333" w:right="392" w:bottom="4333" w:left="190" w:header="0" w:footer="3" w:gutter="0"/>
          <w:cols w:space="720"/>
          <w:noEndnote/>
          <w:docGrid w:linePitch="360"/>
        </w:sectPr>
      </w:pPr>
    </w:p>
    <w:p w:rsidR="00663620" w:rsidRDefault="00BC3848">
      <w:pPr>
        <w:spacing w:line="360" w:lineRule="exact"/>
      </w:pPr>
      <w:r>
        <w:lastRenderedPageBreak/>
        <w:pict>
          <v:shape id="_x0000_s1036" type="#_x0000_t75" style="position:absolute;margin-left:.05pt;margin-top:0;width:358.1pt;height:397.45pt;z-index:-251660800;mso-wrap-distance-left:5pt;mso-wrap-distance-right:5pt;mso-position-horizontal-relative:margin" wrapcoords="0 0">
            <v:imagedata r:id="rId10" o:title="image3"/>
            <w10:wrap anchorx="margin"/>
          </v:shape>
        </w:pict>
      </w:r>
      <w:r>
        <w:pict>
          <v:shape id="_x0000_s1037" type="#_x0000_t202" style="position:absolute;margin-left:308.9pt;margin-top:27.85pt;width:230.4pt;height:.05pt;z-index:25166284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82"/>
                    <w:gridCol w:w="422"/>
                    <w:gridCol w:w="139"/>
                    <w:gridCol w:w="230"/>
                    <w:gridCol w:w="245"/>
                    <w:gridCol w:w="293"/>
                    <w:gridCol w:w="509"/>
                    <w:gridCol w:w="643"/>
                    <w:gridCol w:w="504"/>
                    <w:gridCol w:w="432"/>
                    <w:gridCol w:w="408"/>
                  </w:tblGrid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0"/>
                      <w:jc w:val="center"/>
                    </w:trPr>
                    <w:tc>
                      <w:tcPr>
                        <w:tcW w:w="2620" w:type="dxa"/>
                        <w:gridSpan w:val="7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—;—^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132" w:lineRule="exact"/>
                          <w:ind w:firstLine="0"/>
                          <w:jc w:val="both"/>
                        </w:pPr>
                        <w:r>
                          <w:rPr>
                            <w:rStyle w:val="CharStyle33"/>
                          </w:rPr>
                          <w:t>příloha k nájemní smlouvě Č. 11NI2/19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tabs>
                            <w:tab w:val="left" w:pos="1546"/>
                          </w:tabs>
                          <w:spacing w:after="0" w:line="163" w:lineRule="exact"/>
                          <w:ind w:firstLine="0"/>
                          <w:jc w:val="both"/>
                        </w:pPr>
                        <w:r>
                          <w:rPr>
                            <w:rStyle w:val="CharStyle32"/>
                          </w:rPr>
                          <w:t>VirMhUnis&gt;7</w:t>
                        </w:r>
                        <w:r>
                          <w:rPr>
                            <w:rStyle w:val="CharStyle32"/>
                          </w:rPr>
                          <w:t>JibcI; IIH219</w:t>
                        </w:r>
                        <w:r>
                          <w:rPr>
                            <w:rStyle w:val="CharStyle32"/>
                          </w:rPr>
                          <w:tab/>
                          <w:t>Uzavřeno; 14.112011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tabs>
                            <w:tab w:val="left" w:pos="720"/>
                            <w:tab w:val="left" w:pos="1550"/>
                          </w:tabs>
                          <w:spacing w:after="0" w:line="163" w:lineRule="exact"/>
                          <w:ind w:firstLine="0"/>
                          <w:jc w:val="both"/>
                        </w:pPr>
                        <w:r>
                          <w:rPr>
                            <w:rStyle w:val="CharStyle32"/>
                          </w:rPr>
                          <w:t>n,nmi lUku:</w:t>
                        </w:r>
                        <w:r>
                          <w:rPr>
                            <w:rStyle w:val="CharStyle32"/>
                          </w:rPr>
                          <w:tab/>
                          <w:t>22.2012</w:t>
                        </w:r>
                        <w:r>
                          <w:rPr>
                            <w:rStyle w:val="CharStyle32"/>
                          </w:rPr>
                          <w:tab/>
                          <w:t>Úiinnáod: 14.I120II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8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Roini nájem: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spacing w:before="80" w:after="0" w:line="88" w:lineRule="exact"/>
                          <w:ind w:firstLine="0"/>
                          <w:jc w:val="center"/>
                        </w:pPr>
                        <w:r>
                          <w:rPr>
                            <w:rStyle w:val="CharStyle32"/>
                          </w:rPr>
                          <w:t>26 896 Ke</w:t>
                        </w:r>
                      </w:p>
                    </w:tc>
                    <w:tc>
                      <w:tcPr>
                        <w:tcW w:w="93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Dvořák Jaroslav In^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U Vcrrolatnu 5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202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Svitaw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7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pozná nika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PavceU</w:t>
                        </w:r>
                      </w:p>
                    </w:tc>
                    <w:tc>
                      <w:tcPr>
                        <w:tcW w:w="1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/</w:t>
                        </w:r>
                      </w:p>
                    </w:tc>
                    <w:tc>
                      <w:tcPr>
                        <w:tcW w:w="768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  <w:lang w:val="en-US" w:eastAsia="en-US" w:bidi="en-US"/>
                          </w:rPr>
                          <w:t xml:space="preserve">DO </w:t>
                        </w:r>
                        <w:r>
                          <w:rPr>
                            <w:rStyle w:val="CharStyle32"/>
                          </w:rPr>
                          <w:t>Skup. Kultura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ČWo LV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115" w:lineRule="exact"/>
                          <w:ind w:firstLine="0"/>
                          <w:jc w:val="center"/>
                        </w:pPr>
                        <w:r>
                          <w:rPr>
                            <w:rStyle w:val="CharStyle32"/>
                          </w:rPr>
                          <w:t>Cena za ha (Kč|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Výrtiira</w:t>
                        </w:r>
                      </w:p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fm2|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% Náj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ralKCl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4607" w:type="dxa"/>
                        <w:gridSpan w:val="11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Dítnehov u Svitav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30"/>
                      <w:jc w:val="center"/>
                    </w:trPr>
                    <w:tc>
                      <w:tcPr>
                        <w:tcW w:w="7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3 002</w:t>
                        </w:r>
                      </w:p>
                    </w:tc>
                    <w:tc>
                      <w:tcPr>
                        <w:tcW w:w="1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5316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265.79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3 007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20 973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953.46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3 022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2 436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113.61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782" w:type="dxa"/>
                        <w:vMerge w:val="restart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zem. vj-užili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3 037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14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JÍMl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178,97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"/>
                      <w:jc w:val="center"/>
                    </w:trPr>
                    <w:tc>
                      <w:tcPr>
                        <w:tcW w:w="782" w:type="dxa"/>
                        <w:vMerge/>
                        <w:shd w:val="clear" w:color="auto" w:fill="FFFFFF"/>
                      </w:tcPr>
                      <w:p w:rsidR="00663620" w:rsidRDefault="00663620"/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3 049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3 624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165.61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3 056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62</w:t>
                        </w:r>
                        <w:r>
                          <w:rPr>
                            <w:rStyle w:val="CharStyle32"/>
                          </w:rPr>
                          <w:t xml:space="preserve"> 211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2 343.04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3 083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8 657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395.63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3 145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193 000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9 043.60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3 155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15 366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702;i3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3 136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8 738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399.32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3213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55 324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2 528.30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 xml:space="preserve">3 </w:t>
                        </w:r>
                        <w:r>
                          <w:rPr>
                            <w:rStyle w:val="CharStyle32"/>
                          </w:rPr>
                          <w:t>295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2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10 003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33 181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1 516.37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0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3 301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99 959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4 568.12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33!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14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500 OOt)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3 230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l 615.00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0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3 337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45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4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II 262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1,0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514,67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3 400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4"/>
                          </w:rPr>
                          <w:t>2</w:t>
                        </w:r>
                      </w:p>
                    </w:tc>
                    <w:tc>
                      <w:tcPr>
                        <w:tcW w:w="293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7</w:t>
                        </w: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2 635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1,0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120.41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25"/>
                      <w:jc w:val="center"/>
                    </w:trPr>
                    <w:tc>
                      <w:tcPr>
                        <w:tcW w:w="782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3 430</w:t>
                        </w:r>
                      </w:p>
                    </w:tc>
                    <w:tc>
                      <w:tcPr>
                        <w:tcW w:w="13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0</w:t>
                        </w:r>
                      </w:p>
                    </w:tc>
                    <w:tc>
                      <w:tcPr>
                        <w:tcW w:w="230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10 002</w:t>
                        </w:r>
                      </w:p>
                    </w:tc>
                    <w:tc>
                      <w:tcPr>
                        <w:tcW w:w="643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45 700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31 912</w:t>
                        </w:r>
                      </w:p>
                    </w:tc>
                    <w:tc>
                      <w:tcPr>
                        <w:tcW w:w="432" w:type="dxa"/>
                        <w:shd w:val="clear" w:color="auto" w:fill="FFFFFF"/>
                        <w:vAlign w:val="bottom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</w:pPr>
                        <w:r>
                          <w:rPr>
                            <w:rStyle w:val="CharStyle32"/>
                          </w:rPr>
                          <w:t>1.0</w:t>
                        </w:r>
                      </w:p>
                    </w:tc>
                    <w:tc>
                      <w:tcPr>
                        <w:tcW w:w="408" w:type="dxa"/>
                        <w:shd w:val="clear" w:color="auto" w:fill="FFFFFF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1 001J7</w:t>
                        </w:r>
                      </w:p>
                    </w:tc>
                  </w:tr>
                  <w:tr w:rsidR="0066362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78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556 415</w:t>
                        </w:r>
                      </w:p>
                    </w:tc>
                    <w:tc>
                      <w:tcPr>
                        <w:tcW w:w="43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3620" w:rsidRDefault="0066362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0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3620" w:rsidRDefault="00BC3848">
                        <w:pPr>
                          <w:pStyle w:val="Style24"/>
                          <w:shd w:val="clear" w:color="auto" w:fill="auto"/>
                          <w:spacing w:after="0" w:line="88" w:lineRule="exact"/>
                          <w:ind w:firstLine="0"/>
                          <w:jc w:val="right"/>
                        </w:pPr>
                        <w:r>
                          <w:rPr>
                            <w:rStyle w:val="CharStyle32"/>
                          </w:rPr>
                          <w:t>26 895,48</w:t>
                        </w:r>
                      </w:p>
                    </w:tc>
                  </w:tr>
                </w:tbl>
                <w:p w:rsidR="00663620" w:rsidRDefault="0066362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60" w:lineRule="exact"/>
      </w:pPr>
    </w:p>
    <w:p w:rsidR="00663620" w:rsidRDefault="00663620">
      <w:pPr>
        <w:spacing w:line="381" w:lineRule="exact"/>
      </w:pPr>
    </w:p>
    <w:p w:rsidR="00663620" w:rsidRDefault="00663620">
      <w:pPr>
        <w:rPr>
          <w:sz w:val="2"/>
          <w:szCs w:val="2"/>
        </w:rPr>
      </w:pPr>
    </w:p>
    <w:sectPr w:rsidR="00663620">
      <w:pgSz w:w="12082" w:h="16958"/>
      <w:pgMar w:top="4443" w:right="991" w:bottom="4443" w:left="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3848">
      <w:r>
        <w:separator/>
      </w:r>
    </w:p>
  </w:endnote>
  <w:endnote w:type="continuationSeparator" w:id="0">
    <w:p w:rsidR="00000000" w:rsidRDefault="00BC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20" w:rsidRDefault="00663620"/>
  </w:footnote>
  <w:footnote w:type="continuationSeparator" w:id="0">
    <w:p w:rsidR="00663620" w:rsidRDefault="006636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35F7"/>
    <w:multiLevelType w:val="multilevel"/>
    <w:tmpl w:val="F5DA4F8A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714781"/>
    <w:multiLevelType w:val="multilevel"/>
    <w:tmpl w:val="A2CE4A62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C36665"/>
    <w:multiLevelType w:val="multilevel"/>
    <w:tmpl w:val="DE50403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F67167"/>
    <w:multiLevelType w:val="multilevel"/>
    <w:tmpl w:val="8B888A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CA5002"/>
    <w:multiLevelType w:val="multilevel"/>
    <w:tmpl w:val="350A34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9607FB"/>
    <w:multiLevelType w:val="multilevel"/>
    <w:tmpl w:val="9DCAF66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63620"/>
    <w:rsid w:val="00663620"/>
    <w:rsid w:val="00B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7FD1E187-D757-45E9-AEAE-D0F13F29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5Exact">
    <w:name w:val="Char Style 15 Exact"/>
    <w:basedOn w:val="Standardnpsmoodstavce"/>
    <w:link w:val="Style14"/>
    <w:rPr>
      <w:b/>
      <w:bCs/>
      <w:i w:val="0"/>
      <w:iCs w:val="0"/>
      <w:smallCaps w:val="0"/>
      <w:strike w:val="0"/>
      <w:w w:val="200"/>
      <w:sz w:val="42"/>
      <w:szCs w:val="42"/>
      <w:u w:val="none"/>
    </w:rPr>
  </w:style>
  <w:style w:type="character" w:customStyle="1" w:styleId="CharStyle16Exact">
    <w:name w:val="Char Style 16 Exact"/>
    <w:basedOn w:val="CharStyle1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200"/>
      <w:position w:val="0"/>
      <w:sz w:val="42"/>
      <w:szCs w:val="42"/>
      <w:u w:val="none"/>
      <w:lang w:val="cs-CZ" w:eastAsia="cs-CZ" w:bidi="cs-CZ"/>
    </w:rPr>
  </w:style>
  <w:style w:type="character" w:customStyle="1" w:styleId="CharStyle18Exact">
    <w:name w:val="Char Style 18 Exact"/>
    <w:basedOn w:val="Standardnpsmoodstavce"/>
    <w:link w:val="Style17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9Exact">
    <w:name w:val="Char Style 19 Exact"/>
    <w:basedOn w:val="CharStyle18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link w:val="Style20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2Exact">
    <w:name w:val="Char Style 22 Exact"/>
    <w:basedOn w:val="CharStyle2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3Exact">
    <w:name w:val="Char Style 23 Exact"/>
    <w:basedOn w:val="CharStyle2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CharStyle25Exact">
    <w:name w:val="Char Style 25 Exact"/>
    <w:basedOn w:val="Standardnpsmoodstavce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7Exact">
    <w:name w:val="Char Style 27 Exact"/>
    <w:basedOn w:val="Standardnpsmoodstavce"/>
    <w:link w:val="Style2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8Exact">
    <w:name w:val="Char Style 28 Exact"/>
    <w:basedOn w:val="CharStyle31"/>
    <w:rPr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CharStyle30Exact">
    <w:name w:val="Char Style 30 Exact"/>
    <w:basedOn w:val="Standardnpsmoodstavce"/>
    <w:link w:val="Style29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1">
    <w:name w:val="Char Style 31"/>
    <w:basedOn w:val="Standardnpsmoodstavce"/>
    <w:link w:val="Style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2">
    <w:name w:val="Char Style 32"/>
    <w:basedOn w:val="Char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33">
    <w:name w:val="Char Style 33"/>
    <w:basedOn w:val="CharStyle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34">
    <w:name w:val="Char Style 34"/>
    <w:basedOn w:val="CharStyle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232" w:lineRule="exact"/>
      <w:ind w:hanging="260"/>
    </w:pPr>
    <w:rPr>
      <w:sz w:val="21"/>
      <w:szCs w:val="21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58" w:lineRule="exact"/>
    </w:pPr>
    <w:rPr>
      <w:sz w:val="14"/>
      <w:szCs w:val="14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158" w:lineRule="exact"/>
      <w:jc w:val="both"/>
    </w:pPr>
    <w:rPr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158" w:lineRule="exact"/>
      <w:jc w:val="both"/>
    </w:pPr>
    <w:rPr>
      <w:spacing w:val="20"/>
      <w:sz w:val="12"/>
      <w:szCs w:val="1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245" w:lineRule="exact"/>
      <w:ind w:hanging="260"/>
    </w:pPr>
    <w:rPr>
      <w:b/>
      <w:bCs/>
      <w:sz w:val="21"/>
      <w:szCs w:val="21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760" w:after="760" w:line="232" w:lineRule="exact"/>
      <w:ind w:hanging="540"/>
      <w:outlineLvl w:val="1"/>
    </w:pPr>
    <w:rPr>
      <w:b/>
      <w:bCs/>
      <w:sz w:val="21"/>
      <w:szCs w:val="21"/>
    </w:rPr>
  </w:style>
  <w:style w:type="paragraph" w:customStyle="1" w:styleId="Style14">
    <w:name w:val="Style 14"/>
    <w:basedOn w:val="Normln"/>
    <w:link w:val="CharStyle15Exact"/>
    <w:pPr>
      <w:shd w:val="clear" w:color="auto" w:fill="FFFFFF"/>
      <w:spacing w:line="466" w:lineRule="exact"/>
      <w:outlineLvl w:val="0"/>
    </w:pPr>
    <w:rPr>
      <w:b/>
      <w:bCs/>
      <w:w w:val="200"/>
      <w:sz w:val="42"/>
      <w:szCs w:val="42"/>
    </w:rPr>
  </w:style>
  <w:style w:type="paragraph" w:customStyle="1" w:styleId="Style17">
    <w:name w:val="Style 17"/>
    <w:basedOn w:val="Normln"/>
    <w:link w:val="CharStyle18Exact"/>
    <w:pPr>
      <w:shd w:val="clear" w:color="auto" w:fill="FFFFFF"/>
      <w:spacing w:line="144" w:lineRule="exact"/>
      <w:jc w:val="right"/>
    </w:pPr>
    <w:rPr>
      <w:sz w:val="13"/>
      <w:szCs w:val="13"/>
    </w:rPr>
  </w:style>
  <w:style w:type="paragraph" w:customStyle="1" w:styleId="Style20">
    <w:name w:val="Style 20"/>
    <w:basedOn w:val="Normln"/>
    <w:link w:val="CharStyle21Exact"/>
    <w:pPr>
      <w:shd w:val="clear" w:color="auto" w:fill="FFFFFF"/>
      <w:spacing w:line="100" w:lineRule="exact"/>
      <w:jc w:val="both"/>
    </w:pPr>
    <w:rPr>
      <w:sz w:val="9"/>
      <w:szCs w:val="9"/>
    </w:rPr>
  </w:style>
  <w:style w:type="paragraph" w:customStyle="1" w:styleId="Style24">
    <w:name w:val="Style 24"/>
    <w:basedOn w:val="Normln"/>
    <w:link w:val="CharStyle31"/>
    <w:pPr>
      <w:shd w:val="clear" w:color="auto" w:fill="FFFFFF"/>
      <w:spacing w:after="120" w:line="144" w:lineRule="exact"/>
      <w:ind w:hanging="200"/>
    </w:pPr>
    <w:rPr>
      <w:sz w:val="10"/>
      <w:szCs w:val="10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before="240" w:line="250" w:lineRule="exact"/>
      <w:jc w:val="center"/>
    </w:pPr>
    <w:rPr>
      <w:sz w:val="15"/>
      <w:szCs w:val="15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after="140" w:line="110" w:lineRule="exact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file:///C:\Users\sedlakovak\AppData\Local\Microsoft\Windows\Temporary%20Internet%20Files\Content.Outlook\SB5OKEGZ\media\image2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Květuše</dc:creator>
  <cp:lastModifiedBy>Sedláková Květuše</cp:lastModifiedBy>
  <cp:revision>2</cp:revision>
  <dcterms:created xsi:type="dcterms:W3CDTF">2019-04-16T07:39:00Z</dcterms:created>
  <dcterms:modified xsi:type="dcterms:W3CDTF">2019-04-16T07:39:00Z</dcterms:modified>
</cp:coreProperties>
</file>