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pPr>
        <w:pStyle w:val="Standard"/>
        <w:jc w:val="both"/>
      </w:pPr>
    </w:p>
    <w:p w:rsidR="00E93C00" w:rsidRDefault="00186768">
      <w:pPr>
        <w:pStyle w:val="Standard"/>
        <w:tabs>
          <w:tab w:val="left" w:pos="2520"/>
        </w:tabs>
        <w:jc w:val="both"/>
      </w:pPr>
      <w:r>
        <w:rPr>
          <w:b/>
          <w:bCs/>
        </w:rPr>
        <w:t>Objednatel:</w:t>
      </w:r>
      <w:r>
        <w:tab/>
      </w:r>
      <w:r>
        <w:rPr>
          <w:b/>
          <w:bCs/>
        </w:rPr>
        <w:t>Město Nový Jičín</w:t>
      </w:r>
    </w:p>
    <w:p w:rsidR="00E93C00" w:rsidRDefault="00186768">
      <w:pPr>
        <w:pStyle w:val="Standard"/>
        <w:tabs>
          <w:tab w:val="left" w:pos="2520"/>
        </w:tabs>
        <w:jc w:val="both"/>
      </w:pPr>
      <w:r>
        <w:rPr>
          <w:i/>
          <w:iCs/>
        </w:rPr>
        <w:t>se sídlem:</w:t>
      </w:r>
      <w:r>
        <w:tab/>
        <w:t>Masarykovo nám. 1/1</w:t>
      </w:r>
    </w:p>
    <w:p w:rsidR="00E93C00" w:rsidRDefault="00186768">
      <w:pPr>
        <w:pStyle w:val="Standard"/>
        <w:tabs>
          <w:tab w:val="left" w:pos="2520"/>
        </w:tabs>
        <w:jc w:val="both"/>
      </w:pPr>
      <w:r>
        <w:tab/>
        <w:t>741 01 Nový Jičín</w:t>
      </w:r>
    </w:p>
    <w:p w:rsidR="00E93C00" w:rsidRDefault="00186768">
      <w:pPr>
        <w:pStyle w:val="Standard"/>
        <w:tabs>
          <w:tab w:val="left" w:pos="2520"/>
        </w:tabs>
        <w:jc w:val="both"/>
      </w:pPr>
      <w:r>
        <w:rPr>
          <w:i/>
          <w:iCs/>
        </w:rPr>
        <w:t>IČO:</w:t>
      </w:r>
      <w:r>
        <w:tab/>
        <w:t>00298212</w:t>
      </w:r>
    </w:p>
    <w:p w:rsidR="006752EF" w:rsidRDefault="006752EF">
      <w:pPr>
        <w:pStyle w:val="Standard"/>
        <w:tabs>
          <w:tab w:val="left" w:pos="2520"/>
        </w:tabs>
        <w:jc w:val="both"/>
      </w:pPr>
      <w:r>
        <w:rPr>
          <w:i/>
        </w:rPr>
        <w:t>b</w:t>
      </w:r>
      <w:r w:rsidRPr="006752EF">
        <w:rPr>
          <w:i/>
        </w:rPr>
        <w:t>ankovní spojení:</w:t>
      </w:r>
      <w:r>
        <w:tab/>
        <w:t>Komerční banka a.s., Nový Jičín</w:t>
      </w:r>
    </w:p>
    <w:p w:rsidR="00E93C00" w:rsidRDefault="006752EF">
      <w:pPr>
        <w:pStyle w:val="Standard"/>
        <w:tabs>
          <w:tab w:val="left" w:pos="2520"/>
        </w:tabs>
        <w:jc w:val="both"/>
      </w:pPr>
      <w:r>
        <w:rPr>
          <w:i/>
          <w:iCs/>
        </w:rPr>
        <w:t>číslo účtu</w:t>
      </w:r>
      <w:r w:rsidR="00186768">
        <w:rPr>
          <w:i/>
          <w:iCs/>
        </w:rPr>
        <w:t>:</w:t>
      </w:r>
      <w:r w:rsidR="00186768">
        <w:tab/>
      </w:r>
      <w:r>
        <w:t>326801/0100</w:t>
      </w:r>
    </w:p>
    <w:p w:rsidR="00E93C00" w:rsidRDefault="00E93C00">
      <w:pPr>
        <w:pStyle w:val="Standard"/>
        <w:tabs>
          <w:tab w:val="left" w:pos="2520"/>
        </w:tabs>
        <w:jc w:val="both"/>
      </w:pPr>
    </w:p>
    <w:p w:rsidR="00E93C00" w:rsidRDefault="00186768" w:rsidP="00017916">
      <w:pPr>
        <w:pStyle w:val="Standard"/>
        <w:ind w:left="4678" w:hanging="4500"/>
        <w:jc w:val="both"/>
      </w:pPr>
      <w:r>
        <w:rPr>
          <w:i/>
          <w:iCs/>
        </w:rPr>
        <w:t>osoba oprávn</w:t>
      </w:r>
      <w:r w:rsidR="00017916">
        <w:rPr>
          <w:i/>
          <w:iCs/>
        </w:rPr>
        <w:t>ěná jednat ve věcech smluvních:</w:t>
      </w:r>
      <w:r w:rsidR="00972CC5">
        <w:rPr>
          <w:i/>
          <w:iCs/>
        </w:rPr>
        <w:t xml:space="preserve"> </w:t>
      </w:r>
      <w:r w:rsidR="00A94467">
        <w:t>Ing. Vladimír Bartoň</w:t>
      </w:r>
      <w:r w:rsidR="00E66E2D">
        <w:t xml:space="preserve">, </w:t>
      </w:r>
      <w:r w:rsidR="00A94467">
        <w:t xml:space="preserve">vedoucí </w:t>
      </w:r>
      <w:r w:rsidR="00AE1C7E">
        <w:t>O</w:t>
      </w:r>
      <w:r w:rsidR="00A94467">
        <w:t>dboru majetku a investic</w:t>
      </w:r>
    </w:p>
    <w:p w:rsidR="003204A9" w:rsidRDefault="00186768">
      <w:pPr>
        <w:pStyle w:val="Standard"/>
        <w:ind w:left="4680" w:hanging="4680"/>
        <w:jc w:val="both"/>
      </w:pPr>
      <w:r>
        <w:rPr>
          <w:i/>
          <w:iCs/>
        </w:rPr>
        <w:t>osoba oprávněná jednat ve věcech technických:</w:t>
      </w:r>
      <w:r>
        <w:rPr>
          <w:i/>
          <w:iCs/>
        </w:rPr>
        <w:tab/>
      </w:r>
      <w:proofErr w:type="spellStart"/>
      <w:r w:rsidR="00372702">
        <w:t>xxx</w:t>
      </w:r>
      <w:proofErr w:type="spellEnd"/>
      <w:r w:rsidR="00A94467">
        <w:t xml:space="preserve">, referent </w:t>
      </w:r>
      <w:r w:rsidR="00AE1C7E">
        <w:t>O</w:t>
      </w:r>
      <w:r w:rsidR="003204A9">
        <w:t>dboru majetku a investic Městského úřadu Nový Jičín</w:t>
      </w:r>
    </w:p>
    <w:p w:rsidR="00E93C00" w:rsidRDefault="003204A9" w:rsidP="003204A9">
      <w:pPr>
        <w:pStyle w:val="Standard"/>
        <w:ind w:left="4680" w:hanging="4680"/>
        <w:jc w:val="both"/>
        <w:rPr>
          <w:color w:val="FF00FF"/>
        </w:rPr>
      </w:pPr>
      <w:r>
        <w:t xml:space="preserve">                                                                              </w:t>
      </w:r>
    </w:p>
    <w:p w:rsidR="00E93C00" w:rsidRDefault="00186768">
      <w:pPr>
        <w:pStyle w:val="Standard"/>
        <w:tabs>
          <w:tab w:val="left" w:pos="2520"/>
        </w:tabs>
        <w:jc w:val="both"/>
      </w:pPr>
      <w:r>
        <w:t>(dále jen „Objednatel“)</w:t>
      </w:r>
    </w:p>
    <w:p w:rsidR="00E93C00" w:rsidRDefault="00E93C00">
      <w:pPr>
        <w:pStyle w:val="Standard"/>
        <w:tabs>
          <w:tab w:val="left" w:pos="2520"/>
        </w:tabs>
        <w:jc w:val="both"/>
      </w:pPr>
    </w:p>
    <w:p w:rsidR="00E93C00" w:rsidRDefault="00186768">
      <w:pPr>
        <w:pStyle w:val="Standard"/>
        <w:tabs>
          <w:tab w:val="left" w:pos="2520"/>
        </w:tabs>
        <w:jc w:val="both"/>
        <w:rPr>
          <w:b/>
          <w:bCs/>
        </w:rPr>
      </w:pPr>
      <w:r>
        <w:rPr>
          <w:b/>
          <w:bCs/>
        </w:rPr>
        <w:t>a</w:t>
      </w:r>
    </w:p>
    <w:p w:rsidR="00E93C00" w:rsidRDefault="00E93C00">
      <w:pPr>
        <w:pStyle w:val="Standard"/>
        <w:tabs>
          <w:tab w:val="left" w:pos="2520"/>
        </w:tabs>
        <w:jc w:val="both"/>
      </w:pPr>
    </w:p>
    <w:p w:rsidR="00E93C00" w:rsidRPr="00494637" w:rsidRDefault="00186768">
      <w:pPr>
        <w:pStyle w:val="Standard"/>
        <w:tabs>
          <w:tab w:val="left" w:pos="2520"/>
        </w:tabs>
        <w:jc w:val="both"/>
        <w:rPr>
          <w:rFonts w:eastAsia="SimSun" w:cs="Mangal"/>
          <w:i/>
          <w:iCs/>
          <w:lang w:bidi="hi-IN"/>
        </w:rPr>
      </w:pPr>
      <w:r>
        <w:rPr>
          <w:b/>
          <w:bCs/>
        </w:rPr>
        <w:t>Zhotovitel:</w:t>
      </w:r>
      <w:r>
        <w:tab/>
      </w:r>
      <w:proofErr w:type="spellStart"/>
      <w:r w:rsidR="001B54F9" w:rsidRPr="00494637">
        <w:rPr>
          <w:b/>
        </w:rPr>
        <w:t>EFektivní</w:t>
      </w:r>
      <w:proofErr w:type="spellEnd"/>
      <w:r w:rsidR="001B54F9" w:rsidRPr="00494637">
        <w:rPr>
          <w:b/>
        </w:rPr>
        <w:t xml:space="preserve"> </w:t>
      </w:r>
      <w:proofErr w:type="spellStart"/>
      <w:r w:rsidR="001B54F9" w:rsidRPr="00494637">
        <w:rPr>
          <w:b/>
        </w:rPr>
        <w:t>OSv</w:t>
      </w:r>
      <w:r w:rsidR="007404D5" w:rsidRPr="00494637">
        <w:rPr>
          <w:b/>
        </w:rPr>
        <w:t>ě</w:t>
      </w:r>
      <w:r w:rsidR="001B54F9" w:rsidRPr="00494637">
        <w:rPr>
          <w:b/>
        </w:rPr>
        <w:t>tlování</w:t>
      </w:r>
      <w:proofErr w:type="spellEnd"/>
      <w:r w:rsidR="001B54F9" w:rsidRPr="00494637">
        <w:rPr>
          <w:b/>
        </w:rPr>
        <w:t xml:space="preserve"> s.r.o.</w:t>
      </w:r>
    </w:p>
    <w:p w:rsidR="001B54F9" w:rsidRPr="00494637" w:rsidRDefault="00186768" w:rsidP="001B54F9">
      <w:pPr>
        <w:widowControl/>
        <w:suppressAutoHyphens w:val="0"/>
        <w:autoSpaceDE w:val="0"/>
        <w:adjustRightInd w:val="0"/>
        <w:textAlignment w:val="auto"/>
        <w:rPr>
          <w:rFonts w:eastAsia="Times New Roman" w:cs="Times New Roman"/>
          <w:lang w:bidi="ar-SA"/>
        </w:rPr>
      </w:pPr>
      <w:r>
        <w:rPr>
          <w:i/>
          <w:iCs/>
        </w:rPr>
        <w:t>se sídlem:</w:t>
      </w:r>
      <w:r>
        <w:tab/>
      </w:r>
      <w:r w:rsidR="001B54F9">
        <w:tab/>
        <w:t xml:space="preserve">       </w:t>
      </w:r>
      <w:r w:rsidR="001B54F9" w:rsidRPr="00494637">
        <w:rPr>
          <w:rFonts w:eastAsia="Times New Roman" w:cs="Times New Roman"/>
          <w:lang w:bidi="ar-SA"/>
        </w:rPr>
        <w:t>Děčínská 509, 470 01 Česká Lípa</w:t>
      </w:r>
    </w:p>
    <w:p w:rsidR="00E93C00" w:rsidRDefault="001B54F9">
      <w:pPr>
        <w:pStyle w:val="Standard"/>
        <w:tabs>
          <w:tab w:val="left" w:pos="2520"/>
        </w:tabs>
        <w:jc w:val="both"/>
      </w:pPr>
      <w:r w:rsidRPr="00494637">
        <w:tab/>
      </w:r>
      <w:proofErr w:type="spellStart"/>
      <w:r w:rsidRPr="00494637">
        <w:t>koresp.adresa</w:t>
      </w:r>
      <w:proofErr w:type="spellEnd"/>
      <w:r w:rsidRPr="00494637">
        <w:t>: Kojčice 82, 394 09 Kojčice</w:t>
      </w:r>
      <w:r w:rsidR="00AC7CAB">
        <w:tab/>
      </w:r>
    </w:p>
    <w:p w:rsidR="001B54F9" w:rsidRDefault="00186768">
      <w:pPr>
        <w:pStyle w:val="Standard"/>
        <w:tabs>
          <w:tab w:val="left" w:pos="2520"/>
        </w:tabs>
        <w:jc w:val="both"/>
        <w:rPr>
          <w:kern w:val="0"/>
        </w:rPr>
      </w:pPr>
      <w:r>
        <w:rPr>
          <w:i/>
          <w:iCs/>
        </w:rPr>
        <w:t>IČO:</w:t>
      </w:r>
      <w:r>
        <w:tab/>
      </w:r>
      <w:r w:rsidR="001B54F9">
        <w:rPr>
          <w:kern w:val="0"/>
        </w:rPr>
        <w:t>27267806</w:t>
      </w:r>
    </w:p>
    <w:p w:rsidR="001B54F9" w:rsidRDefault="003204A9" w:rsidP="001B54F9">
      <w:pPr>
        <w:widowControl/>
        <w:suppressAutoHyphens w:val="0"/>
        <w:autoSpaceDE w:val="0"/>
        <w:adjustRightInd w:val="0"/>
        <w:textAlignment w:val="auto"/>
        <w:rPr>
          <w:rFonts w:cs="Times New Roman"/>
          <w:i/>
          <w:iCs/>
          <w:kern w:val="0"/>
          <w:lang w:bidi="ar-SA"/>
        </w:rPr>
      </w:pPr>
      <w:r w:rsidRPr="003204A9">
        <w:rPr>
          <w:i/>
        </w:rPr>
        <w:t>zapsaný</w:t>
      </w:r>
      <w:r>
        <w:rPr>
          <w:i/>
        </w:rPr>
        <w:t xml:space="preserve"> v obchodním rejstříku </w:t>
      </w:r>
      <w:r w:rsidR="001B54F9">
        <w:rPr>
          <w:rFonts w:cs="Times New Roman"/>
          <w:i/>
          <w:iCs/>
          <w:kern w:val="0"/>
          <w:lang w:bidi="ar-SA"/>
        </w:rPr>
        <w:t xml:space="preserve">Krajského soudu v Ústí nad Labem </w:t>
      </w:r>
      <w:r w:rsidR="000B264C">
        <w:rPr>
          <w:rFonts w:cs="Times New Roman"/>
          <w:i/>
          <w:iCs/>
          <w:kern w:val="0"/>
          <w:lang w:bidi="ar-SA"/>
        </w:rPr>
        <w:t xml:space="preserve">pod </w:t>
      </w:r>
      <w:proofErr w:type="spellStart"/>
      <w:r w:rsidR="000B264C">
        <w:rPr>
          <w:rFonts w:cs="Times New Roman"/>
          <w:i/>
          <w:iCs/>
          <w:kern w:val="0"/>
          <w:lang w:bidi="ar-SA"/>
        </w:rPr>
        <w:t>sp</w:t>
      </w:r>
      <w:proofErr w:type="spellEnd"/>
      <w:r w:rsidR="000B264C">
        <w:rPr>
          <w:rFonts w:cs="Times New Roman"/>
          <w:i/>
          <w:iCs/>
          <w:kern w:val="0"/>
          <w:lang w:bidi="ar-SA"/>
        </w:rPr>
        <w:t xml:space="preserve">. zn. </w:t>
      </w:r>
      <w:r w:rsidR="001B54F9">
        <w:rPr>
          <w:rFonts w:cs="Times New Roman"/>
          <w:i/>
          <w:iCs/>
          <w:kern w:val="0"/>
          <w:lang w:bidi="ar-SA"/>
        </w:rPr>
        <w:t>C 21631</w:t>
      </w:r>
    </w:p>
    <w:p w:rsidR="001B54F9" w:rsidRPr="00494637" w:rsidRDefault="001B54F9" w:rsidP="001B54F9">
      <w:pPr>
        <w:widowControl/>
        <w:suppressAutoHyphens w:val="0"/>
        <w:autoSpaceDE w:val="0"/>
        <w:adjustRightInd w:val="0"/>
        <w:textAlignment w:val="auto"/>
        <w:rPr>
          <w:rFonts w:eastAsia="Times New Roman" w:cs="Times New Roman"/>
          <w:lang w:bidi="ar-SA"/>
        </w:rPr>
      </w:pPr>
      <w:r>
        <w:rPr>
          <w:rFonts w:cs="Times New Roman"/>
          <w:i/>
          <w:iCs/>
          <w:kern w:val="0"/>
          <w:lang w:bidi="ar-SA"/>
        </w:rPr>
        <w:t xml:space="preserve">bankovní spojení: </w:t>
      </w:r>
      <w:r>
        <w:rPr>
          <w:rFonts w:cs="Times New Roman"/>
          <w:i/>
          <w:iCs/>
          <w:kern w:val="0"/>
          <w:lang w:bidi="ar-SA"/>
        </w:rPr>
        <w:tab/>
        <w:t xml:space="preserve">      </w:t>
      </w:r>
      <w:r w:rsidRPr="00494637">
        <w:rPr>
          <w:rFonts w:eastAsia="Times New Roman" w:cs="Times New Roman"/>
          <w:lang w:bidi="ar-SA"/>
        </w:rPr>
        <w:t>Česká spořitelna a.s.</w:t>
      </w:r>
    </w:p>
    <w:p w:rsidR="001B54F9" w:rsidRPr="00494637" w:rsidRDefault="001B54F9" w:rsidP="001B54F9">
      <w:pPr>
        <w:pStyle w:val="Standard"/>
        <w:tabs>
          <w:tab w:val="left" w:pos="2520"/>
        </w:tabs>
        <w:jc w:val="both"/>
      </w:pPr>
      <w:r>
        <w:rPr>
          <w:rFonts w:ascii="TimesNewRoman,Italic" w:hAnsi="TimesNewRoman,Italic" w:cs="TimesNewRoman,Italic"/>
          <w:i/>
          <w:iCs/>
          <w:kern w:val="0"/>
        </w:rPr>
        <w:t>č</w:t>
      </w:r>
      <w:r>
        <w:rPr>
          <w:i/>
          <w:iCs/>
          <w:kern w:val="0"/>
        </w:rPr>
        <w:t>íslo ú</w:t>
      </w:r>
      <w:r>
        <w:rPr>
          <w:rFonts w:ascii="TimesNewRoman,Italic" w:hAnsi="TimesNewRoman,Italic" w:cs="TimesNewRoman,Italic"/>
          <w:i/>
          <w:iCs/>
          <w:kern w:val="0"/>
        </w:rPr>
        <w:t>č</w:t>
      </w:r>
      <w:r>
        <w:rPr>
          <w:i/>
          <w:iCs/>
          <w:kern w:val="0"/>
        </w:rPr>
        <w:t xml:space="preserve">tu:                         </w:t>
      </w:r>
      <w:r w:rsidRPr="00494637">
        <w:t>140128399/0800</w:t>
      </w:r>
    </w:p>
    <w:p w:rsidR="001B54F9" w:rsidRDefault="001B54F9" w:rsidP="001B54F9">
      <w:pPr>
        <w:pStyle w:val="Standard"/>
        <w:tabs>
          <w:tab w:val="left" w:pos="2520"/>
        </w:tabs>
        <w:jc w:val="both"/>
        <w:rPr>
          <w:kern w:val="0"/>
        </w:rPr>
      </w:pPr>
    </w:p>
    <w:p w:rsidR="00E93C00" w:rsidRDefault="00186768" w:rsidP="001B54F9">
      <w:pPr>
        <w:pStyle w:val="Standard"/>
        <w:tabs>
          <w:tab w:val="left" w:pos="2520"/>
        </w:tabs>
        <w:jc w:val="both"/>
      </w:pPr>
      <w:r>
        <w:tab/>
      </w:r>
    </w:p>
    <w:p w:rsidR="00AE54E4" w:rsidRDefault="00186768" w:rsidP="00985F42">
      <w:pPr>
        <w:pStyle w:val="Standard"/>
        <w:tabs>
          <w:tab w:val="left" w:pos="7056"/>
          <w:tab w:val="left" w:pos="9036"/>
        </w:tabs>
        <w:ind w:left="4536" w:hanging="4536"/>
        <w:jc w:val="both"/>
      </w:pPr>
      <w:r>
        <w:rPr>
          <w:i/>
          <w:iCs/>
        </w:rPr>
        <w:t>osoba oprávněná jednat ve věcech smluvních:</w:t>
      </w:r>
      <w:r>
        <w:t xml:space="preserve"> </w:t>
      </w:r>
      <w:r w:rsidR="001B54F9" w:rsidRPr="00494637">
        <w:t>Ing. Milan Plíhal, jednatel společnosti</w:t>
      </w:r>
      <w:r w:rsidR="00AE54E4">
        <w:rPr>
          <w:i/>
          <w:iCs/>
        </w:rPr>
        <w:tab/>
      </w:r>
      <w:r w:rsidR="00AE54E4">
        <w:rPr>
          <w:i/>
          <w:iCs/>
        </w:rPr>
        <w:tab/>
      </w:r>
    </w:p>
    <w:p w:rsidR="001B54F9" w:rsidRDefault="00AE54E4" w:rsidP="001B54F9">
      <w:pPr>
        <w:pStyle w:val="Standard"/>
        <w:tabs>
          <w:tab w:val="left" w:pos="7056"/>
          <w:tab w:val="left" w:pos="9036"/>
        </w:tabs>
        <w:ind w:left="4536" w:hanging="4536"/>
        <w:jc w:val="both"/>
        <w:rPr>
          <w:kern w:val="0"/>
        </w:rPr>
      </w:pPr>
      <w:r>
        <w:rPr>
          <w:i/>
          <w:iCs/>
        </w:rPr>
        <w:t xml:space="preserve">osoba oprávněná jednat ve věcech technických: </w:t>
      </w:r>
      <w:proofErr w:type="spellStart"/>
      <w:r w:rsidR="00372702">
        <w:t>xxx</w:t>
      </w:r>
      <w:proofErr w:type="spellEnd"/>
      <w:r w:rsidR="001B54F9" w:rsidRPr="00494637">
        <w:t xml:space="preserve">, světel. </w:t>
      </w:r>
      <w:proofErr w:type="gramStart"/>
      <w:r w:rsidR="000B264C">
        <w:t>k</w:t>
      </w:r>
      <w:r w:rsidR="001B54F9" w:rsidRPr="00494637">
        <w:t>onzultant</w:t>
      </w:r>
      <w:proofErr w:type="gramEnd"/>
    </w:p>
    <w:p w:rsidR="001B54F9" w:rsidRDefault="001B54F9" w:rsidP="001B54F9">
      <w:pPr>
        <w:pStyle w:val="Standard"/>
        <w:tabs>
          <w:tab w:val="left" w:pos="7056"/>
          <w:tab w:val="left" w:pos="9036"/>
        </w:tabs>
        <w:ind w:left="4536" w:hanging="4536"/>
        <w:jc w:val="both"/>
        <w:rPr>
          <w:iCs/>
        </w:rPr>
      </w:pPr>
    </w:p>
    <w:p w:rsidR="00E93C00" w:rsidRDefault="00186768" w:rsidP="001B54F9">
      <w:pPr>
        <w:pStyle w:val="Standard"/>
        <w:tabs>
          <w:tab w:val="left" w:pos="7056"/>
          <w:tab w:val="left" w:pos="9036"/>
        </w:tabs>
        <w:ind w:left="4536" w:hanging="4536"/>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rsidP="00985F42">
      <w:pPr>
        <w:pStyle w:val="Standard"/>
        <w:tabs>
          <w:tab w:val="left" w:pos="2520"/>
        </w:tabs>
        <w:jc w:val="both"/>
      </w:pPr>
      <w:r>
        <w:t xml:space="preserve">uzavírají níže uvedeného dne, měsíce a roku následující smlouvu o dílo na </w:t>
      </w:r>
      <w:r w:rsidR="00AE1C7E">
        <w:t xml:space="preserve">vyhotovení </w:t>
      </w:r>
      <w:r w:rsidR="00985F42">
        <w:t>„</w:t>
      </w:r>
      <w:r w:rsidR="00104BD7" w:rsidRPr="00494637">
        <w:rPr>
          <w:b/>
        </w:rPr>
        <w:t>Aktualizace a dopracování</w:t>
      </w:r>
      <w:r w:rsidR="00985F42" w:rsidRPr="00494637">
        <w:rPr>
          <w:b/>
        </w:rPr>
        <w:t xml:space="preserve"> </w:t>
      </w:r>
      <w:proofErr w:type="spellStart"/>
      <w:r w:rsidR="00985F42" w:rsidRPr="00494637">
        <w:rPr>
          <w:b/>
        </w:rPr>
        <w:t>passportu</w:t>
      </w:r>
      <w:proofErr w:type="spellEnd"/>
      <w:r w:rsidR="00985F42" w:rsidRPr="00494637">
        <w:rPr>
          <w:b/>
        </w:rPr>
        <w:t xml:space="preserve"> veřejného osvětlení ve městě Nový Jičín vč. místní</w:t>
      </w:r>
      <w:r w:rsidR="00AE1C7E" w:rsidRPr="00494637">
        <w:rPr>
          <w:b/>
        </w:rPr>
        <w:t>ch</w:t>
      </w:r>
      <w:r w:rsidR="00985F42" w:rsidRPr="00494637">
        <w:rPr>
          <w:b/>
        </w:rPr>
        <w:t xml:space="preserve"> částí</w:t>
      </w:r>
      <w:r w:rsidR="00985F42">
        <w:t>.“</w:t>
      </w:r>
    </w:p>
    <w:p w:rsidR="00E93C00" w:rsidRDefault="00186768">
      <w:pPr>
        <w:pStyle w:val="Standard"/>
        <w:pageBreakBefore/>
        <w:tabs>
          <w:tab w:val="left" w:pos="2520"/>
        </w:tabs>
        <w:jc w:val="center"/>
        <w:rPr>
          <w:b/>
          <w:bCs/>
        </w:rPr>
      </w:pPr>
      <w:r>
        <w:rPr>
          <w:b/>
          <w:bCs/>
        </w:rPr>
        <w:lastRenderedPageBreak/>
        <w:t>I</w:t>
      </w:r>
      <w:r w:rsidR="005137E1">
        <w:rPr>
          <w:b/>
          <w:bCs/>
        </w:rPr>
        <w:t>I</w:t>
      </w:r>
      <w:r>
        <w:rPr>
          <w:b/>
          <w:bCs/>
        </w:rPr>
        <w:t>.</w:t>
      </w:r>
    </w:p>
    <w:p w:rsidR="00E93C00" w:rsidRDefault="00186768">
      <w:pPr>
        <w:pStyle w:val="Standard"/>
        <w:tabs>
          <w:tab w:val="left" w:pos="2520"/>
        </w:tabs>
        <w:jc w:val="center"/>
        <w:rPr>
          <w:b/>
          <w:bCs/>
        </w:rPr>
      </w:pPr>
      <w:r>
        <w:rPr>
          <w:b/>
          <w:bCs/>
        </w:rPr>
        <w:t>Předmět smlouvy</w:t>
      </w:r>
    </w:p>
    <w:p w:rsidR="00E93C00" w:rsidRDefault="00E93C00">
      <w:pPr>
        <w:pStyle w:val="Standard"/>
        <w:tabs>
          <w:tab w:val="left" w:pos="2520"/>
        </w:tabs>
        <w:jc w:val="center"/>
        <w:rPr>
          <w:b/>
          <w:bCs/>
        </w:rPr>
      </w:pPr>
    </w:p>
    <w:p w:rsidR="00E93C00" w:rsidRDefault="00186768">
      <w:pPr>
        <w:pStyle w:val="Standard"/>
        <w:numPr>
          <w:ilvl w:val="0"/>
          <w:numId w:val="26"/>
        </w:numPr>
        <w:tabs>
          <w:tab w:val="left" w:pos="2520"/>
        </w:tabs>
        <w:jc w:val="both"/>
      </w:pPr>
      <w:r>
        <w:t xml:space="preserve">Zhotovitel se zavazuje, že pro objednatele provede </w:t>
      </w:r>
      <w:r w:rsidR="00AE1C7E">
        <w:t xml:space="preserve">aktualizaci stávajícího </w:t>
      </w:r>
      <w:proofErr w:type="spellStart"/>
      <w:r w:rsidR="004D410D">
        <w:t>passport</w:t>
      </w:r>
      <w:r w:rsidR="00AE1C7E">
        <w:t>u</w:t>
      </w:r>
      <w:proofErr w:type="spellEnd"/>
      <w:r w:rsidR="004D410D">
        <w:t xml:space="preserve"> veřejného osvětlení ve městě Nový Jičín vč. místní</w:t>
      </w:r>
      <w:r w:rsidR="00AE1C7E">
        <w:t>ch</w:t>
      </w:r>
      <w:r w:rsidR="004D410D">
        <w:t xml:space="preserve"> </w:t>
      </w:r>
      <w:proofErr w:type="gramStart"/>
      <w:r w:rsidR="004D410D">
        <w:t>částí</w:t>
      </w:r>
      <w:r w:rsidR="00AE1C7E">
        <w:t xml:space="preserve">, </w:t>
      </w:r>
      <w:r w:rsidR="00AE1C7E" w:rsidRPr="00AE1C7E">
        <w:t xml:space="preserve"> </w:t>
      </w:r>
      <w:r w:rsidR="00AE1C7E">
        <w:t>a to</w:t>
      </w:r>
      <w:proofErr w:type="gramEnd"/>
      <w:r w:rsidR="00AE1C7E">
        <w:t xml:space="preserve"> v rozsahu a za podmínek sjednaných v této smlouvě. Toto dílo zpracuje zhotovitel na vlastní náklad.</w:t>
      </w:r>
    </w:p>
    <w:p w:rsidR="00E93C00" w:rsidRDefault="00186768">
      <w:pPr>
        <w:pStyle w:val="Standard"/>
        <w:numPr>
          <w:ilvl w:val="0"/>
          <w:numId w:val="9"/>
        </w:numPr>
        <w:tabs>
          <w:tab w:val="left" w:pos="2520"/>
        </w:tabs>
        <w:jc w:val="both"/>
      </w:pPr>
      <w:r>
        <w:t xml:space="preserve">Předmět, obsah a rozsah </w:t>
      </w:r>
      <w:r w:rsidR="00C55C52">
        <w:t>díla</w:t>
      </w:r>
      <w:r>
        <w:t>:</w:t>
      </w:r>
    </w:p>
    <w:p w:rsidR="00104BD7" w:rsidRDefault="00104BD7" w:rsidP="00104BD7">
      <w:pPr>
        <w:widowControl/>
        <w:numPr>
          <w:ilvl w:val="0"/>
          <w:numId w:val="39"/>
        </w:numPr>
        <w:suppressAutoHyphens w:val="0"/>
        <w:autoSpaceDN/>
        <w:jc w:val="both"/>
        <w:textAlignment w:val="auto"/>
      </w:pPr>
      <w:r>
        <w:t>Vytvoření tabulky světelných míst ve formátu *.</w:t>
      </w:r>
      <w:proofErr w:type="spellStart"/>
      <w:r>
        <w:t>xls</w:t>
      </w:r>
      <w:proofErr w:type="spellEnd"/>
    </w:p>
    <w:p w:rsidR="00104BD7" w:rsidRDefault="00104BD7" w:rsidP="00104BD7">
      <w:pPr>
        <w:widowControl/>
        <w:numPr>
          <w:ilvl w:val="0"/>
          <w:numId w:val="39"/>
        </w:numPr>
        <w:suppressAutoHyphens w:val="0"/>
        <w:autoSpaceDN/>
        <w:jc w:val="both"/>
        <w:textAlignment w:val="auto"/>
      </w:pPr>
      <w:r>
        <w:t>Aktualizace mapy světelných míst a rozvaděčů</w:t>
      </w:r>
    </w:p>
    <w:p w:rsidR="00104BD7" w:rsidRDefault="00104BD7" w:rsidP="00104BD7">
      <w:pPr>
        <w:widowControl/>
        <w:numPr>
          <w:ilvl w:val="0"/>
          <w:numId w:val="39"/>
        </w:numPr>
        <w:suppressAutoHyphens w:val="0"/>
        <w:autoSpaceDN/>
        <w:jc w:val="both"/>
        <w:textAlignment w:val="auto"/>
      </w:pPr>
      <w:r>
        <w:t>Fotodokumentace světelných míst a rozvaděčů</w:t>
      </w:r>
    </w:p>
    <w:p w:rsidR="00104BD7" w:rsidRDefault="00104BD7" w:rsidP="00104BD7">
      <w:pPr>
        <w:widowControl/>
        <w:numPr>
          <w:ilvl w:val="0"/>
          <w:numId w:val="39"/>
        </w:numPr>
        <w:suppressAutoHyphens w:val="0"/>
        <w:autoSpaceDN/>
        <w:jc w:val="both"/>
        <w:textAlignment w:val="auto"/>
      </w:pPr>
      <w:r>
        <w:t xml:space="preserve">Přečíslování světelných míst dle rozvaděčů </w:t>
      </w:r>
    </w:p>
    <w:p w:rsidR="00F62734" w:rsidRPr="003C6020" w:rsidRDefault="00AE1C7E" w:rsidP="00AE1C7E">
      <w:pPr>
        <w:ind w:left="284"/>
        <w:jc w:val="both"/>
      </w:pPr>
      <w:r>
        <w:t>P</w:t>
      </w:r>
      <w:r w:rsidR="00FD662D" w:rsidRPr="003C6020">
        <w:t xml:space="preserve">odklady </w:t>
      </w:r>
      <w:r>
        <w:t xml:space="preserve">pro zpracování díla převzal zhotovitel </w:t>
      </w:r>
      <w:r w:rsidR="00186768" w:rsidRPr="003C6020">
        <w:t>v digitální podobě před podpisem smlouvy</w:t>
      </w:r>
      <w:r>
        <w:t xml:space="preserve"> a toto převzetí potvrzuje</w:t>
      </w:r>
      <w:r w:rsidR="00186768" w:rsidRPr="003C6020">
        <w:t>.</w:t>
      </w:r>
      <w:r w:rsidR="00F62734" w:rsidRPr="003C6020">
        <w:t xml:space="preserve"> Data stávajícího pasportu jsou ve </w:t>
      </w:r>
      <w:proofErr w:type="spellStart"/>
      <w:r w:rsidR="00F62734" w:rsidRPr="003C6020">
        <w:t>ve</w:t>
      </w:r>
      <w:proofErr w:type="spellEnd"/>
      <w:r w:rsidR="00F62734" w:rsidRPr="003C6020">
        <w:t xml:space="preserve"> formátu SHP. Aktualizovaná data budou předána ve stejném formátu.</w:t>
      </w:r>
    </w:p>
    <w:p w:rsidR="00E93C00" w:rsidRPr="003C6020" w:rsidRDefault="00186768">
      <w:pPr>
        <w:pStyle w:val="Standard"/>
        <w:numPr>
          <w:ilvl w:val="0"/>
          <w:numId w:val="9"/>
        </w:numPr>
        <w:tabs>
          <w:tab w:val="left" w:pos="2520"/>
        </w:tabs>
        <w:jc w:val="both"/>
      </w:pPr>
      <w:r w:rsidRPr="003C6020">
        <w:t xml:space="preserve">Zhotovitel se zavazuje, že obsah a rozsah </w:t>
      </w:r>
      <w:proofErr w:type="spellStart"/>
      <w:r w:rsidR="00104BD7" w:rsidRPr="003C6020">
        <w:t>passportu</w:t>
      </w:r>
      <w:proofErr w:type="spellEnd"/>
      <w:r w:rsidRPr="003C6020">
        <w:t xml:space="preserve"> </w:t>
      </w:r>
      <w:r w:rsidR="000C3C54" w:rsidRPr="003C6020">
        <w:t xml:space="preserve">veřejného osvětlení </w:t>
      </w:r>
      <w:r w:rsidRPr="003C6020">
        <w:t>bude odpovídat platné právní úpravě</w:t>
      </w:r>
      <w:r w:rsidR="00FD662D" w:rsidRPr="003C6020">
        <w:t>.</w:t>
      </w:r>
    </w:p>
    <w:p w:rsidR="00E93C00" w:rsidRPr="00613FAC" w:rsidRDefault="00186768">
      <w:pPr>
        <w:pStyle w:val="Standard"/>
        <w:numPr>
          <w:ilvl w:val="0"/>
          <w:numId w:val="9"/>
        </w:numPr>
        <w:tabs>
          <w:tab w:val="left" w:pos="2520"/>
        </w:tabs>
        <w:jc w:val="both"/>
      </w:pPr>
      <w:r>
        <w:t xml:space="preserve">Zhotovitel se zavazuje, že v průběhu zpracování </w:t>
      </w:r>
      <w:proofErr w:type="spellStart"/>
      <w:r w:rsidR="00104BD7">
        <w:t>passportu</w:t>
      </w:r>
      <w:proofErr w:type="spellEnd"/>
      <w:r w:rsidR="00104BD7">
        <w:t xml:space="preserve"> </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 xml:space="preserve">Zhotovitel se zavazuje průběžně konzultovat přípravu </w:t>
      </w:r>
      <w:proofErr w:type="spellStart"/>
      <w:r w:rsidR="00104BD7">
        <w:t>passportu</w:t>
      </w:r>
      <w:proofErr w:type="spellEnd"/>
      <w:r w:rsidR="00104BD7" w:rsidRPr="00613FAC">
        <w:t xml:space="preserve"> </w:t>
      </w:r>
      <w:r w:rsidRPr="00613FAC">
        <w:t>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E93C00">
      <w:pPr>
        <w:pStyle w:val="Textbody"/>
      </w:pPr>
    </w:p>
    <w:p w:rsidR="00E93C00" w:rsidRPr="00613FAC" w:rsidRDefault="00186768">
      <w:pPr>
        <w:pStyle w:val="Textbody"/>
      </w:pPr>
      <w:r w:rsidRPr="00613FAC">
        <w:t>I</w:t>
      </w:r>
      <w:r w:rsidR="00AE1C7E">
        <w:t>II</w:t>
      </w:r>
      <w:r w:rsidRPr="00613FAC">
        <w:t>.</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E93C00" w:rsidRPr="00613FAC" w:rsidRDefault="00186768">
      <w:pPr>
        <w:pStyle w:val="Zkladntext2"/>
        <w:numPr>
          <w:ilvl w:val="0"/>
          <w:numId w:val="28"/>
        </w:numPr>
      </w:pPr>
      <w:r w:rsidRPr="00613FAC">
        <w:t xml:space="preserve">Smluvní strany se závazně dohodly, že práce dle předmětu smlouvy budou zahájeny ihned po </w:t>
      </w:r>
      <w:r w:rsidR="002F4054">
        <w:t xml:space="preserve">nabytí účinnosti </w:t>
      </w:r>
      <w:r w:rsidRPr="00613FAC">
        <w:t>smlouvy.</w:t>
      </w:r>
    </w:p>
    <w:p w:rsidR="004E7F5A" w:rsidRPr="00613FAC" w:rsidRDefault="00186768" w:rsidP="00494637">
      <w:pPr>
        <w:pStyle w:val="Standard"/>
        <w:numPr>
          <w:ilvl w:val="0"/>
          <w:numId w:val="19"/>
        </w:numPr>
        <w:tabs>
          <w:tab w:val="left" w:pos="2520"/>
        </w:tabs>
        <w:jc w:val="both"/>
      </w:pPr>
      <w:r w:rsidRPr="00613FAC">
        <w:t xml:space="preserve">Smluvní strany se závazně dohodly, že zhotovitel objednateli předá </w:t>
      </w:r>
      <w:r w:rsidR="009C4991" w:rsidRPr="00613FAC">
        <w:t xml:space="preserve">dílo </w:t>
      </w:r>
      <w:r w:rsidR="000C3C54">
        <w:t>do 8</w:t>
      </w:r>
      <w:r w:rsidR="00770ACD">
        <w:t>-mi</w:t>
      </w:r>
      <w:r w:rsidR="000C3C54">
        <w:t xml:space="preserve"> měsíců od nabytí účinnosti</w:t>
      </w:r>
      <w:r w:rsidR="00AE1C7E">
        <w:t xml:space="preserve"> smlouvy</w:t>
      </w:r>
      <w:r w:rsidR="00770ACD">
        <w:t xml:space="preserve">, a to v elektronické </w:t>
      </w:r>
      <w:proofErr w:type="gramStart"/>
      <w:r w:rsidR="00770ACD">
        <w:t xml:space="preserve">podobě </w:t>
      </w:r>
      <w:r w:rsidR="004E7F5A">
        <w:t xml:space="preserve"> (</w:t>
      </w:r>
      <w:r w:rsidR="00770ACD">
        <w:t>na</w:t>
      </w:r>
      <w:proofErr w:type="gramEnd"/>
      <w:r w:rsidR="00770ACD">
        <w:t xml:space="preserve"> </w:t>
      </w:r>
      <w:r w:rsidR="004E7F5A">
        <w:t>CD).</w:t>
      </w:r>
      <w:r w:rsidR="004A60CF">
        <w:t xml:space="preserve"> </w:t>
      </w:r>
    </w:p>
    <w:p w:rsidR="00E93C00" w:rsidRDefault="00186768">
      <w:pPr>
        <w:pStyle w:val="Standard"/>
        <w:numPr>
          <w:ilvl w:val="0"/>
          <w:numId w:val="19"/>
        </w:numPr>
        <w:tabs>
          <w:tab w:val="left" w:pos="2520"/>
        </w:tabs>
        <w:jc w:val="both"/>
      </w:pPr>
      <w:r>
        <w:t xml:space="preserve">Zhotovitel může dílo ukončit </w:t>
      </w:r>
      <w:r w:rsidR="00770ACD">
        <w:t xml:space="preserve">a předat objednateli </w:t>
      </w:r>
      <w:r>
        <w:t>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předání a převzetí předmětu plnění se vyhotoví vždy samostatný zápis, který se označí jako předávací protokol a podepíší jej </w:t>
      </w:r>
      <w:r w:rsidR="00C55C52">
        <w:t>zástupci</w:t>
      </w:r>
      <w:r w:rsidR="00B66E82">
        <w:t xml:space="preserve"> </w:t>
      </w:r>
      <w:r w:rsidR="00C55C52">
        <w:t xml:space="preserve">objednatele a zhotovitele. </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C55C52">
      <w:pPr>
        <w:pStyle w:val="Standard"/>
        <w:tabs>
          <w:tab w:val="left" w:pos="2520"/>
        </w:tabs>
        <w:jc w:val="center"/>
        <w:rPr>
          <w:b/>
          <w:bCs/>
        </w:rPr>
      </w:pPr>
      <w:r>
        <w:rPr>
          <w:b/>
          <w:bCs/>
        </w:rPr>
        <w:t>I</w:t>
      </w:r>
      <w:r w:rsidR="00186768">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lastRenderedPageBreak/>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Default="00186768">
      <w:pPr>
        <w:pStyle w:val="Standard"/>
        <w:numPr>
          <w:ilvl w:val="0"/>
          <w:numId w:val="15"/>
        </w:numPr>
        <w:tabs>
          <w:tab w:val="left" w:pos="2520"/>
        </w:tabs>
        <w:jc w:val="both"/>
      </w:pPr>
      <w:r>
        <w:t>Cena díla:</w:t>
      </w:r>
    </w:p>
    <w:p w:rsidR="00E93C00" w:rsidRDefault="00E93C00">
      <w:pPr>
        <w:pStyle w:val="Standard"/>
        <w:tabs>
          <w:tab w:val="left" w:pos="2860"/>
        </w:tabs>
        <w:ind w:left="340"/>
        <w:jc w:val="both"/>
      </w:pPr>
    </w:p>
    <w:p w:rsidR="00A94467" w:rsidRDefault="00186768" w:rsidP="00A94467">
      <w:pPr>
        <w:pStyle w:val="Nadpis3"/>
        <w:ind w:left="284"/>
        <w:jc w:val="both"/>
        <w:rPr>
          <w:b w:val="0"/>
          <w:bCs w:val="0"/>
        </w:rPr>
      </w:pPr>
      <w:r>
        <w:rPr>
          <w:b w:val="0"/>
          <w:bCs w:val="0"/>
        </w:rPr>
        <w:t xml:space="preserve">Cena za zpracování </w:t>
      </w:r>
      <w:r w:rsidR="00A94467">
        <w:rPr>
          <w:b w:val="0"/>
          <w:bCs w:val="0"/>
        </w:rPr>
        <w:t xml:space="preserve">Aktualizace a dopracování </w:t>
      </w:r>
      <w:proofErr w:type="spellStart"/>
      <w:r w:rsidR="00A94467">
        <w:rPr>
          <w:b w:val="0"/>
          <w:bCs w:val="0"/>
        </w:rPr>
        <w:t>passportu</w:t>
      </w:r>
      <w:proofErr w:type="spellEnd"/>
      <w:r w:rsidR="00A94467">
        <w:rPr>
          <w:b w:val="0"/>
          <w:bCs w:val="0"/>
        </w:rPr>
        <w:t xml:space="preserve"> veřejného osvětlení</w:t>
      </w:r>
    </w:p>
    <w:p w:rsidR="00A94467" w:rsidRPr="00A94467" w:rsidRDefault="00A94467" w:rsidP="00A94467">
      <w:pPr>
        <w:pStyle w:val="Standard"/>
      </w:pPr>
    </w:p>
    <w:p w:rsidR="00E93C00" w:rsidRDefault="00972CC5">
      <w:pPr>
        <w:pStyle w:val="Standard"/>
        <w:ind w:firstLine="284"/>
        <w:rPr>
          <w:b/>
        </w:rPr>
      </w:pPr>
      <w:r>
        <w:t>Cena celkem bez DPH</w:t>
      </w:r>
      <w:r>
        <w:tab/>
      </w:r>
      <w:r>
        <w:tab/>
      </w:r>
      <w:r>
        <w:tab/>
      </w:r>
      <w:r>
        <w:tab/>
      </w:r>
      <w:r>
        <w:tab/>
      </w:r>
      <w:r>
        <w:tab/>
      </w:r>
      <w:r>
        <w:tab/>
      </w:r>
      <w:r w:rsidR="001B54F9" w:rsidRPr="00494637">
        <w:rPr>
          <w:b/>
        </w:rPr>
        <w:t>337.350</w:t>
      </w:r>
      <w:r w:rsidR="001B54F9">
        <w:rPr>
          <w:b/>
        </w:rPr>
        <w:t xml:space="preserve">,00 </w:t>
      </w:r>
      <w:r w:rsidR="00186768">
        <w:rPr>
          <w:b/>
        </w:rPr>
        <w:t>Kč</w:t>
      </w:r>
    </w:p>
    <w:p w:rsidR="00A862A8" w:rsidRDefault="00A862A8" w:rsidP="00A862A8">
      <w:pPr>
        <w:pStyle w:val="Standard"/>
        <w:ind w:firstLine="284"/>
      </w:pPr>
    </w:p>
    <w:p w:rsidR="00A862A8" w:rsidRDefault="00A862A8" w:rsidP="00A862A8">
      <w:pPr>
        <w:pStyle w:val="Standard"/>
        <w:ind w:firstLine="284"/>
      </w:pPr>
      <w:r>
        <w:t>Cena celkem s DPH</w:t>
      </w:r>
      <w:r>
        <w:tab/>
      </w:r>
      <w:r>
        <w:tab/>
      </w:r>
      <w:r>
        <w:tab/>
      </w:r>
      <w:r>
        <w:tab/>
      </w:r>
      <w:r>
        <w:tab/>
      </w:r>
      <w:r>
        <w:tab/>
      </w:r>
      <w:r w:rsidR="00972CC5">
        <w:t xml:space="preserve"> </w:t>
      </w:r>
      <w:r>
        <w:tab/>
      </w:r>
      <w:r w:rsidR="001B54F9">
        <w:rPr>
          <w:b/>
        </w:rPr>
        <w:t xml:space="preserve">408.193,50 </w:t>
      </w:r>
      <w:r>
        <w:rPr>
          <w:b/>
        </w:rPr>
        <w:t>Kč</w:t>
      </w:r>
    </w:p>
    <w:p w:rsidR="00E93C00" w:rsidRDefault="00E93C00">
      <w:pPr>
        <w:pStyle w:val="Standard"/>
        <w:ind w:firstLine="284"/>
      </w:pPr>
    </w:p>
    <w:p w:rsidR="00E93C00" w:rsidRDefault="00273083" w:rsidP="00273083">
      <w:pPr>
        <w:pStyle w:val="Zhlav"/>
        <w:tabs>
          <w:tab w:val="clear" w:pos="4536"/>
          <w:tab w:val="clear" w:pos="9072"/>
          <w:tab w:val="left" w:pos="360"/>
          <w:tab w:val="left" w:pos="2520"/>
          <w:tab w:val="right" w:pos="9000"/>
        </w:tabs>
      </w:pPr>
      <w:r>
        <w:t xml:space="preserve">     </w:t>
      </w: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V.</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Cena díla bude uhrazena na základě faktur</w:t>
      </w:r>
      <w:r w:rsidR="00770ACD">
        <w:t>y</w:t>
      </w:r>
      <w:r>
        <w:t>, kter</w:t>
      </w:r>
      <w:r w:rsidR="00770ACD">
        <w:t>ou</w:t>
      </w:r>
      <w:r>
        <w:t xml:space="preserve"> zhotovitel vystaví po předání </w:t>
      </w:r>
      <w:r w:rsidR="009C4991">
        <w:t>díla</w:t>
      </w:r>
      <w:r w:rsidR="00C55C52">
        <w:t xml:space="preserve"> objednateli dle </w:t>
      </w:r>
      <w:proofErr w:type="spellStart"/>
      <w:r w:rsidR="00C55C52">
        <w:t>ust</w:t>
      </w:r>
      <w:proofErr w:type="spellEnd"/>
      <w:r w:rsidR="00C55C52">
        <w:t xml:space="preserve">. </w:t>
      </w:r>
      <w:proofErr w:type="gramStart"/>
      <w:r w:rsidR="00C55C52">
        <w:t>čl.</w:t>
      </w:r>
      <w:proofErr w:type="gramEnd"/>
      <w:r w:rsidR="00C55C52">
        <w:t xml:space="preserve"> III. odst. 4 smlouvy</w:t>
      </w:r>
      <w:r w:rsidR="009C4991">
        <w:t xml:space="preserve">. </w:t>
      </w:r>
      <w:r>
        <w:t xml:space="preserve"> Splatnost faktury činí 15 dnů ode dne jejího doručení objednateli.</w:t>
      </w:r>
    </w:p>
    <w:p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w:t>
      </w:r>
    </w:p>
    <w:p w:rsidR="00E93C00" w:rsidRDefault="00186768">
      <w:pPr>
        <w:pStyle w:val="Standard"/>
        <w:tabs>
          <w:tab w:val="left" w:pos="2520"/>
          <w:tab w:val="right" w:pos="8820"/>
        </w:tabs>
        <w:jc w:val="center"/>
        <w:rPr>
          <w:b/>
          <w:bCs/>
        </w:rPr>
      </w:pPr>
      <w:r>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t>V případě prodlení s  předání</w:t>
      </w:r>
      <w:r w:rsidR="00C55C52">
        <w:t>m</w:t>
      </w:r>
      <w:r>
        <w:t xml:space="preserve"> díla je objednatel oprávněn účtovat zhotoviteli smluvní pokutu ve výši 0,5 % z ceny díla </w:t>
      </w:r>
      <w:r w:rsidR="00E92E5E">
        <w:t xml:space="preserve">včetně DPH </w:t>
      </w:r>
      <w:r>
        <w:t>za každý den prodlení.</w:t>
      </w:r>
    </w:p>
    <w:p w:rsidR="00E92E5E" w:rsidRDefault="00E92E5E" w:rsidP="00E92E5E">
      <w:pPr>
        <w:pStyle w:val="Standard"/>
        <w:numPr>
          <w:ilvl w:val="0"/>
          <w:numId w:val="6"/>
        </w:numPr>
        <w:tabs>
          <w:tab w:val="left" w:pos="2520"/>
          <w:tab w:val="right" w:pos="8820"/>
        </w:tabs>
        <w:jc w:val="both"/>
      </w:pPr>
      <w:r w:rsidRPr="00E92E5E">
        <w:t xml:space="preserve">V případě neodstranění vad či nedodělků díla (nebo jeho části) ve smluvené či stanovené lhůtě je objednatel oprávněn požadovat zaplacení smluvní pokuty ve výši </w:t>
      </w:r>
      <w:proofErr w:type="gramStart"/>
      <w:r w:rsidRPr="00E92E5E">
        <w:t>0,3 % z  ceny</w:t>
      </w:r>
      <w:proofErr w:type="gramEnd"/>
      <w:r w:rsidRPr="00E92E5E">
        <w:t xml:space="preserve"> díla stanovené </w:t>
      </w:r>
      <w:r w:rsidR="00C55C52">
        <w:t xml:space="preserve">včetně </w:t>
      </w:r>
      <w:r w:rsidRPr="00E92E5E">
        <w:t xml:space="preserve"> DPH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2"/>
        </w:numPr>
        <w:tabs>
          <w:tab w:val="left" w:pos="2520"/>
          <w:tab w:val="right" w:pos="8820"/>
        </w:tabs>
        <w:jc w:val="both"/>
      </w:pPr>
      <w:r>
        <w:t xml:space="preserve">Objednatel není povinen převzít </w:t>
      </w:r>
      <w:r w:rsidR="000B264C">
        <w:t xml:space="preserve">aktualizovaný </w:t>
      </w:r>
      <w:proofErr w:type="spellStart"/>
      <w:r w:rsidR="00C55C52">
        <w:t>passport</w:t>
      </w:r>
      <w:proofErr w:type="spellEnd"/>
      <w:r>
        <w:t>, kter</w:t>
      </w:r>
      <w:r w:rsidR="00C55C52">
        <w:t>ý</w:t>
      </w:r>
      <w:r>
        <w:t xml:space="preserve"> vykazuje </w:t>
      </w:r>
      <w:r w:rsidR="000B264C">
        <w:t xml:space="preserve">zjevné </w:t>
      </w:r>
      <w:r>
        <w:t>vady nebo nedodělky.</w:t>
      </w:r>
      <w:r w:rsidR="000B264C">
        <w:t xml:space="preserve"> </w:t>
      </w:r>
    </w:p>
    <w:p w:rsidR="00E93C00" w:rsidRDefault="000B264C">
      <w:pPr>
        <w:pStyle w:val="Standard"/>
        <w:numPr>
          <w:ilvl w:val="0"/>
          <w:numId w:val="2"/>
        </w:numPr>
        <w:tabs>
          <w:tab w:val="left" w:pos="2520"/>
          <w:tab w:val="right" w:pos="8820"/>
        </w:tabs>
        <w:jc w:val="both"/>
      </w:pPr>
      <w:r>
        <w:t xml:space="preserve">Zhotovitel poskytuje objednateli záruku na jakost díla v délce 60 měsíců. Zhotovitel je povinen na výzvu objednatele vady a nedodělky odstranit. </w:t>
      </w:r>
      <w:r w:rsidR="00186768">
        <w:t xml:space="preserve">Nedojde-li mezi oběma stranami </w:t>
      </w:r>
      <w:r w:rsidR="00186768">
        <w:lastRenderedPageBreak/>
        <w:t>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center"/>
        <w:rPr>
          <w:b/>
          <w:bCs/>
        </w:rPr>
      </w:pPr>
    </w:p>
    <w:p w:rsidR="00E93C00" w:rsidRDefault="008576EE">
      <w:pPr>
        <w:pStyle w:val="Standard"/>
        <w:tabs>
          <w:tab w:val="left" w:pos="2520"/>
          <w:tab w:val="right" w:pos="8820"/>
        </w:tabs>
        <w:jc w:val="center"/>
        <w:rPr>
          <w:b/>
          <w:bCs/>
        </w:rPr>
      </w:pPr>
      <w:r>
        <w:rPr>
          <w:b/>
          <w:bCs/>
        </w:rPr>
        <w:t>VIII</w:t>
      </w:r>
      <w:r w:rsidR="00186768">
        <w:rPr>
          <w:b/>
          <w:bCs/>
        </w:rPr>
        <w:t>.</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5137E1" w:rsidRDefault="00186768" w:rsidP="005137E1">
      <w:pPr>
        <w:pStyle w:val="Standard"/>
        <w:numPr>
          <w:ilvl w:val="0"/>
          <w:numId w:val="38"/>
        </w:numPr>
        <w:tabs>
          <w:tab w:val="left" w:pos="2520"/>
          <w:tab w:val="right" w:pos="8820"/>
        </w:tabs>
        <w:jc w:val="both"/>
      </w:pPr>
      <w:r>
        <w:t xml:space="preserve">Zanikne-li závazek provést dílo z důvodů na straně objednatele, je objednatel povinen uhradit zhotoviteli náklady vynaložené na poměrnou část díla vyhotovenou do data odstoupení objednatele od smlouvy. </w:t>
      </w:r>
    </w:p>
    <w:p w:rsidR="00E93C00" w:rsidRDefault="00186768" w:rsidP="005137E1">
      <w:pPr>
        <w:pStyle w:val="Standard"/>
        <w:numPr>
          <w:ilvl w:val="0"/>
          <w:numId w:val="38"/>
        </w:numPr>
        <w:tabs>
          <w:tab w:val="left" w:pos="2520"/>
          <w:tab w:val="right" w:pos="8820"/>
        </w:tabs>
        <w:jc w:val="both"/>
      </w:pPr>
      <w:r>
        <w:t>V</w:t>
      </w:r>
      <w:r w:rsidR="00E92E5E">
        <w:t> </w:t>
      </w:r>
      <w:r>
        <w:t>případě</w:t>
      </w:r>
      <w:r w:rsidR="00E92E5E">
        <w:t xml:space="preserve"> zániku závazku z důvodů na straně zhotovitele je </w:t>
      </w:r>
      <w:r>
        <w:t>zhotovitel povinen uhradit objednateli případnou škodu, která mu odstoupením vznikla.</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8576EE">
      <w:pPr>
        <w:pStyle w:val="Standard"/>
        <w:tabs>
          <w:tab w:val="left" w:pos="2520"/>
          <w:tab w:val="right" w:pos="8820"/>
        </w:tabs>
        <w:jc w:val="center"/>
        <w:rPr>
          <w:b/>
          <w:bCs/>
        </w:rPr>
      </w:pPr>
      <w:r>
        <w:rPr>
          <w:b/>
          <w:bCs/>
        </w:rPr>
        <w:t>I</w:t>
      </w:r>
      <w:r w:rsidR="00186768">
        <w:rPr>
          <w:b/>
          <w:bCs/>
        </w:rPr>
        <w:t>X.</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Změny a doplňky</w:t>
      </w:r>
      <w:r w:rsidR="00646C13">
        <w:t xml:space="preserve"> této </w:t>
      </w:r>
      <w:proofErr w:type="gramStart"/>
      <w:r w:rsidR="00646C13">
        <w:t xml:space="preserve">smlouvy </w:t>
      </w:r>
      <w:r>
        <w:t xml:space="preserve"> jsou</w:t>
      </w:r>
      <w:proofErr w:type="gramEnd"/>
      <w:r>
        <w:t xml:space="preserve"> účinné jen v písemné formě</w:t>
      </w:r>
      <w:r w:rsidR="009C3842">
        <w:t>.</w:t>
      </w:r>
      <w:r>
        <w:t xml:space="preserve"> K platnosti dodatků této smlouvy je nutná dohoda o celém obsahu.</w:t>
      </w:r>
    </w:p>
    <w:p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w:t>
      </w:r>
      <w:r w:rsidR="00C55C52">
        <w:t xml:space="preserve">nabývá platnosti uzavřením a účinnosti uveřejněním v registru smluv, </w:t>
      </w:r>
      <w:r>
        <w:t xml:space="preserve">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FF49DC" w:rsidRDefault="00FF49DC" w:rsidP="00FF49DC">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5617DA">
        <w:t>metadata</w:t>
      </w:r>
      <w:proofErr w:type="spellEnd"/>
      <w:r w:rsidRPr="005617DA">
        <w:t xml:space="preserve"> dle uvedeného zákona zašle k uveřejnění v registru smluv </w:t>
      </w:r>
      <w:r>
        <w:t>Město Nový Jičín</w:t>
      </w:r>
      <w:r w:rsidRPr="00BE1FFE">
        <w:rPr>
          <w:b/>
        </w:rPr>
        <w:t xml:space="preserve">, </w:t>
      </w:r>
      <w:r w:rsidRPr="002F2659">
        <w:t xml:space="preserve">a to nejpozději do </w:t>
      </w:r>
      <w:proofErr w:type="gramStart"/>
      <w:r>
        <w:t>10-ti</w:t>
      </w:r>
      <w:proofErr w:type="gramEnd"/>
      <w:r w:rsidRPr="002F2659">
        <w:t xml:space="preserve"> dnů </w:t>
      </w:r>
      <w:r w:rsidRPr="00A9689A">
        <w:lastRenderedPageBreak/>
        <w:t xml:space="preserve">od jejího uzavření. Smluvní strany prohlašují, že </w:t>
      </w:r>
      <w:r w:rsidR="009C3842">
        <w:t>vyjma osobních údajů, které budou z uveřejnění vyloučeny,</w:t>
      </w:r>
      <w:r w:rsidR="009C3842" w:rsidRPr="00A9689A">
        <w:t xml:space="preserve"> </w:t>
      </w:r>
      <w:r w:rsidRPr="00A9689A">
        <w:t xml:space="preserve">tato smlouva </w:t>
      </w:r>
      <w:r w:rsidR="009C3842" w:rsidRPr="00A9689A">
        <w:t>neobsahuje</w:t>
      </w:r>
      <w:r w:rsidR="009C3842">
        <w:t xml:space="preserve"> </w:t>
      </w:r>
      <w:r w:rsidRPr="00A9689A">
        <w:t xml:space="preserve">žádné informace ve smyslu § 3 odst. 1 zák. č. 340/2015 Sb., a </w:t>
      </w:r>
      <w:r w:rsidR="009C3842">
        <w:t>může být proto uveřejněna v plném rozsahu</w:t>
      </w:r>
      <w:r w:rsidRPr="00A9689A">
        <w:t>.</w:t>
      </w:r>
    </w:p>
    <w:p w:rsidR="008C69F0" w:rsidRDefault="008C69F0" w:rsidP="008C69F0">
      <w:pPr>
        <w:widowControl/>
        <w:tabs>
          <w:tab w:val="left" w:pos="2520"/>
          <w:tab w:val="right" w:pos="8820"/>
        </w:tabs>
        <w:suppressAutoHyphens w:val="0"/>
        <w:autoSpaceDN/>
        <w:ind w:left="340"/>
        <w:jc w:val="both"/>
        <w:textAlignment w:val="auto"/>
      </w:pPr>
    </w:p>
    <w:p w:rsidR="00FF49DC" w:rsidRDefault="00FF49DC" w:rsidP="00FF49DC">
      <w:pPr>
        <w:tabs>
          <w:tab w:val="left" w:pos="2520"/>
          <w:tab w:val="right" w:pos="8820"/>
        </w:tabs>
        <w:jc w:val="both"/>
      </w:pPr>
    </w:p>
    <w:p w:rsidR="00FF49DC" w:rsidRDefault="00FF49DC" w:rsidP="00FF49DC">
      <w:pPr>
        <w:tabs>
          <w:tab w:val="left" w:pos="1418"/>
          <w:tab w:val="right" w:pos="8820"/>
        </w:tabs>
        <w:ind w:left="1418" w:hanging="1418"/>
        <w:jc w:val="both"/>
      </w:pP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186768">
      <w:pPr>
        <w:pStyle w:val="Zkladntext2"/>
        <w:tabs>
          <w:tab w:val="left" w:pos="5040"/>
          <w:tab w:val="right" w:pos="8820"/>
        </w:tabs>
      </w:pPr>
      <w:r>
        <w:t xml:space="preserve">V Novém Jičíně dne </w:t>
      </w:r>
      <w:r w:rsidR="00372702">
        <w:t>15.4</w:t>
      </w:r>
      <w:bookmarkStart w:id="0" w:name="_GoBack"/>
      <w:bookmarkEnd w:id="0"/>
      <w:r w:rsidR="00372702">
        <w:t>.2019</w:t>
      </w:r>
      <w:r>
        <w:tab/>
        <w:t>V</w:t>
      </w:r>
      <w:r w:rsidR="008576EE">
        <w:t xml:space="preserve"> České Lípě  </w:t>
      </w:r>
      <w:r>
        <w:t>dne</w:t>
      </w:r>
      <w:r w:rsidR="00672BC3">
        <w:t xml:space="preserve"> </w:t>
      </w:r>
      <w:proofErr w:type="gramStart"/>
      <w:r w:rsidR="00372702">
        <w:t>28.3.2019</w:t>
      </w:r>
      <w:proofErr w:type="gramEnd"/>
    </w:p>
    <w:p w:rsidR="00E93C00" w:rsidRDefault="00E93C00">
      <w:pPr>
        <w:pStyle w:val="Zkladntext2"/>
        <w:tabs>
          <w:tab w:val="left" w:pos="5040"/>
          <w:tab w:val="right" w:pos="8820"/>
        </w:tabs>
      </w:pPr>
    </w:p>
    <w:p w:rsidR="00E93C00" w:rsidRDefault="00186768">
      <w:pPr>
        <w:pStyle w:val="Zkladntext2"/>
        <w:tabs>
          <w:tab w:val="left" w:pos="5040"/>
          <w:tab w:val="right" w:pos="8820"/>
        </w:tabs>
      </w:pPr>
      <w:r>
        <w:t>Za objednatele:</w:t>
      </w:r>
      <w:r>
        <w:tab/>
      </w:r>
      <w:r>
        <w:tab/>
      </w:r>
      <w:r w:rsidR="0082333D">
        <w:t>Za z</w:t>
      </w:r>
      <w:r w:rsidR="00EF34CA">
        <w:t>hotovitel</w:t>
      </w:r>
      <w:r w:rsidR="0082333D">
        <w:t>e:</w:t>
      </w: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rPr>
          <w:color w:val="FF0000"/>
        </w:rPr>
        <w:tab/>
      </w:r>
      <w:r>
        <w:t>.....................................................</w:t>
      </w:r>
      <w:r>
        <w:tab/>
      </w:r>
      <w:r>
        <w:tab/>
        <w:t>.........................................................</w:t>
      </w:r>
    </w:p>
    <w:p w:rsidR="00E93C00" w:rsidRPr="00494637" w:rsidRDefault="00186768">
      <w:pPr>
        <w:pStyle w:val="Zkladntext2"/>
        <w:tabs>
          <w:tab w:val="center" w:pos="1800"/>
          <w:tab w:val="left" w:pos="5040"/>
          <w:tab w:val="center" w:pos="6840"/>
          <w:tab w:val="right" w:pos="8820"/>
        </w:tabs>
        <w:rPr>
          <w:rFonts w:eastAsia="SimSun" w:cs="Mangal"/>
          <w:b/>
          <w:lang w:bidi="hi-IN"/>
        </w:rPr>
      </w:pPr>
      <w:r>
        <w:tab/>
      </w:r>
      <w:r w:rsidR="00A94467" w:rsidRPr="00494637">
        <w:rPr>
          <w:b/>
        </w:rPr>
        <w:t>Ing. Vladimír Bartoň</w:t>
      </w:r>
      <w:r w:rsidRPr="00494637">
        <w:rPr>
          <w:rFonts w:eastAsia="SimSun" w:cs="Mangal"/>
          <w:b/>
          <w:lang w:bidi="hi-IN"/>
        </w:rPr>
        <w:tab/>
      </w:r>
      <w:r w:rsidRPr="00494637">
        <w:rPr>
          <w:rFonts w:eastAsia="SimSun" w:cs="Mangal"/>
          <w:b/>
          <w:lang w:bidi="hi-IN"/>
        </w:rPr>
        <w:tab/>
      </w:r>
      <w:r w:rsidR="008576EE" w:rsidRPr="00494637">
        <w:rPr>
          <w:rFonts w:eastAsia="SimSun" w:cs="Mangal"/>
          <w:b/>
          <w:lang w:bidi="hi-IN"/>
        </w:rPr>
        <w:t>Ing. Milan Plíhal</w:t>
      </w:r>
    </w:p>
    <w:p w:rsidR="00A94467" w:rsidRDefault="00A94467" w:rsidP="00A94467">
      <w:pPr>
        <w:pStyle w:val="Standard"/>
        <w:ind w:left="4678" w:hanging="4500"/>
        <w:jc w:val="both"/>
      </w:pPr>
      <w:r>
        <w:t xml:space="preserve">vedoucí </w:t>
      </w:r>
      <w:r w:rsidR="00C55C52">
        <w:t>O</w:t>
      </w:r>
      <w:r>
        <w:t>dboru majetku a investic</w:t>
      </w:r>
      <w:r w:rsidR="008576EE">
        <w:tab/>
      </w:r>
      <w:r w:rsidR="008576EE">
        <w:tab/>
      </w:r>
      <w:r w:rsidR="008576EE">
        <w:tab/>
        <w:t>jednatel společnosti</w:t>
      </w:r>
    </w:p>
    <w:p w:rsidR="00E93C00" w:rsidRDefault="00186768">
      <w:pPr>
        <w:pStyle w:val="Zkladntext2"/>
        <w:tabs>
          <w:tab w:val="center" w:pos="1800"/>
          <w:tab w:val="left" w:pos="5040"/>
          <w:tab w:val="center" w:pos="6840"/>
          <w:tab w:val="right" w:pos="8820"/>
        </w:tabs>
      </w:pPr>
      <w:r>
        <w:tab/>
      </w:r>
      <w:r>
        <w:tab/>
      </w:r>
      <w:r w:rsidR="00972CC5">
        <w:tab/>
      </w:r>
    </w:p>
    <w:p w:rsidR="00E93C00" w:rsidRDefault="00186768">
      <w:pPr>
        <w:pStyle w:val="Zkladntext2"/>
        <w:tabs>
          <w:tab w:val="center" w:pos="1800"/>
          <w:tab w:val="left" w:pos="5040"/>
          <w:tab w:val="center" w:pos="6840"/>
          <w:tab w:val="right" w:pos="8820"/>
        </w:tabs>
      </w:pPr>
      <w:r>
        <w:tab/>
      </w:r>
      <w:r>
        <w:tab/>
      </w:r>
    </w:p>
    <w:sectPr w:rsidR="00E93C00">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BC" w:rsidRDefault="003754BC">
      <w:r>
        <w:separator/>
      </w:r>
    </w:p>
  </w:endnote>
  <w:endnote w:type="continuationSeparator" w:id="0">
    <w:p w:rsidR="003754BC" w:rsidRDefault="0037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TimesNewRoman,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EA" w:rsidRDefault="00186768">
    <w:pPr>
      <w:pStyle w:val="Zpat"/>
    </w:pPr>
    <w:r>
      <w:tab/>
      <w:t xml:space="preserve">- </w:t>
    </w:r>
    <w:r>
      <w:fldChar w:fldCharType="begin"/>
    </w:r>
    <w:r>
      <w:instrText xml:space="preserve"> PAGE </w:instrText>
    </w:r>
    <w:r>
      <w:fldChar w:fldCharType="separate"/>
    </w:r>
    <w:r w:rsidR="00372702">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BC" w:rsidRDefault="003754BC">
      <w:r>
        <w:rPr>
          <w:color w:val="000000"/>
        </w:rPr>
        <w:separator/>
      </w:r>
    </w:p>
  </w:footnote>
  <w:footnote w:type="continuationSeparator" w:id="0">
    <w:p w:rsidR="003754BC" w:rsidRDefault="0037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02" w:rsidRDefault="00372702">
    <w:pPr>
      <w:pStyle w:val="Zhlav"/>
    </w:pPr>
    <w:r>
      <w:t>V2019-224/OMI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D13E30"/>
    <w:multiLevelType w:val="hybridMultilevel"/>
    <w:tmpl w:val="F7D65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AD7132"/>
    <w:multiLevelType w:val="multilevel"/>
    <w:tmpl w:val="573E54AC"/>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0"/>
  </w:num>
  <w:num w:numId="5">
    <w:abstractNumId w:val="5"/>
  </w:num>
  <w:num w:numId="6">
    <w:abstractNumId w:val="19"/>
  </w:num>
  <w:num w:numId="7">
    <w:abstractNumId w:val="25"/>
  </w:num>
  <w:num w:numId="8">
    <w:abstractNumId w:val="4"/>
  </w:num>
  <w:num w:numId="9">
    <w:abstractNumId w:val="23"/>
  </w:num>
  <w:num w:numId="10">
    <w:abstractNumId w:val="27"/>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6"/>
  </w:num>
  <w:num w:numId="17">
    <w:abstractNumId w:val="12"/>
  </w:num>
  <w:num w:numId="18">
    <w:abstractNumId w:val="3"/>
  </w:num>
  <w:num w:numId="19">
    <w:abstractNumId w:val="9"/>
  </w:num>
  <w:num w:numId="20">
    <w:abstractNumId w:val="7"/>
  </w:num>
  <w:num w:numId="21">
    <w:abstractNumId w:val="1"/>
  </w:num>
  <w:num w:numId="22">
    <w:abstractNumId w:val="24"/>
  </w:num>
  <w:num w:numId="23">
    <w:abstractNumId w:val="20"/>
  </w:num>
  <w:num w:numId="24">
    <w:abstractNumId w:val="17"/>
  </w:num>
  <w:num w:numId="25">
    <w:abstractNumId w:val="3"/>
    <w:lvlOverride w:ilvl="0">
      <w:startOverride w:val="1"/>
    </w:lvlOverride>
  </w:num>
  <w:num w:numId="26">
    <w:abstractNumId w:val="23"/>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7"/>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4"/>
    <w:lvlOverride w:ilvl="0">
      <w:startOverride w:val="1"/>
    </w:lvlOverride>
  </w:num>
  <w:num w:numId="34">
    <w:abstractNumId w:val="4"/>
    <w:lvlOverride w:ilvl="0">
      <w:startOverride w:val="1"/>
    </w:lvlOverride>
  </w:num>
  <w:num w:numId="35">
    <w:abstractNumId w:val="15"/>
  </w:num>
  <w:num w:numId="36">
    <w:abstractNumId w:val="6"/>
  </w:num>
  <w:num w:numId="37">
    <w:abstractNumId w:val="21"/>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17916"/>
    <w:rsid w:val="00035A0F"/>
    <w:rsid w:val="000657D4"/>
    <w:rsid w:val="000B264C"/>
    <w:rsid w:val="000B528F"/>
    <w:rsid w:val="000C3C54"/>
    <w:rsid w:val="000E4B06"/>
    <w:rsid w:val="00104BD7"/>
    <w:rsid w:val="00115E1B"/>
    <w:rsid w:val="00186768"/>
    <w:rsid w:val="00191C79"/>
    <w:rsid w:val="001B54F9"/>
    <w:rsid w:val="001D1E88"/>
    <w:rsid w:val="0023761D"/>
    <w:rsid w:val="00250E9E"/>
    <w:rsid w:val="00273083"/>
    <w:rsid w:val="002A34E5"/>
    <w:rsid w:val="002E037B"/>
    <w:rsid w:val="002F4054"/>
    <w:rsid w:val="003056A9"/>
    <w:rsid w:val="003204A9"/>
    <w:rsid w:val="0032473F"/>
    <w:rsid w:val="00371337"/>
    <w:rsid w:val="00372702"/>
    <w:rsid w:val="003754BC"/>
    <w:rsid w:val="003A4161"/>
    <w:rsid w:val="003C6020"/>
    <w:rsid w:val="0042351D"/>
    <w:rsid w:val="00443294"/>
    <w:rsid w:val="00453471"/>
    <w:rsid w:val="004628E9"/>
    <w:rsid w:val="0047119B"/>
    <w:rsid w:val="00471E30"/>
    <w:rsid w:val="00494637"/>
    <w:rsid w:val="00494B21"/>
    <w:rsid w:val="004A51F7"/>
    <w:rsid w:val="004A60CF"/>
    <w:rsid w:val="004C00F3"/>
    <w:rsid w:val="004D410D"/>
    <w:rsid w:val="004E7F5A"/>
    <w:rsid w:val="004F3290"/>
    <w:rsid w:val="005137E1"/>
    <w:rsid w:val="00585806"/>
    <w:rsid w:val="00592AE7"/>
    <w:rsid w:val="005A0ECC"/>
    <w:rsid w:val="005F7F67"/>
    <w:rsid w:val="00613FAC"/>
    <w:rsid w:val="00646C13"/>
    <w:rsid w:val="006673BA"/>
    <w:rsid w:val="00672BC3"/>
    <w:rsid w:val="006752EF"/>
    <w:rsid w:val="00685DF9"/>
    <w:rsid w:val="006F477D"/>
    <w:rsid w:val="00732015"/>
    <w:rsid w:val="007404D5"/>
    <w:rsid w:val="007444DC"/>
    <w:rsid w:val="00763FB1"/>
    <w:rsid w:val="00770ACD"/>
    <w:rsid w:val="0079592E"/>
    <w:rsid w:val="00796B7B"/>
    <w:rsid w:val="007E7029"/>
    <w:rsid w:val="0082333D"/>
    <w:rsid w:val="0083750F"/>
    <w:rsid w:val="008576EE"/>
    <w:rsid w:val="00874894"/>
    <w:rsid w:val="0089683C"/>
    <w:rsid w:val="008C69F0"/>
    <w:rsid w:val="00972CC5"/>
    <w:rsid w:val="00981F65"/>
    <w:rsid w:val="00985F42"/>
    <w:rsid w:val="009A34F4"/>
    <w:rsid w:val="009C3842"/>
    <w:rsid w:val="009C4991"/>
    <w:rsid w:val="00A01853"/>
    <w:rsid w:val="00A37502"/>
    <w:rsid w:val="00A73CF9"/>
    <w:rsid w:val="00A862A8"/>
    <w:rsid w:val="00A94467"/>
    <w:rsid w:val="00AB343F"/>
    <w:rsid w:val="00AC2A65"/>
    <w:rsid w:val="00AC63CA"/>
    <w:rsid w:val="00AC7CAB"/>
    <w:rsid w:val="00AE1C7E"/>
    <w:rsid w:val="00AE54E4"/>
    <w:rsid w:val="00B116A8"/>
    <w:rsid w:val="00B623FD"/>
    <w:rsid w:val="00B66E82"/>
    <w:rsid w:val="00BD72CC"/>
    <w:rsid w:val="00C05DD2"/>
    <w:rsid w:val="00C55C52"/>
    <w:rsid w:val="00C57E39"/>
    <w:rsid w:val="00C67114"/>
    <w:rsid w:val="00C8040E"/>
    <w:rsid w:val="00C97644"/>
    <w:rsid w:val="00CE06EF"/>
    <w:rsid w:val="00CE1756"/>
    <w:rsid w:val="00CF0856"/>
    <w:rsid w:val="00E17432"/>
    <w:rsid w:val="00E26B35"/>
    <w:rsid w:val="00E537DF"/>
    <w:rsid w:val="00E54DC6"/>
    <w:rsid w:val="00E66E2D"/>
    <w:rsid w:val="00E92E5E"/>
    <w:rsid w:val="00E93C00"/>
    <w:rsid w:val="00E93DD2"/>
    <w:rsid w:val="00EC297C"/>
    <w:rsid w:val="00ED4822"/>
    <w:rsid w:val="00EE5DEE"/>
    <w:rsid w:val="00EF34CA"/>
    <w:rsid w:val="00F06B93"/>
    <w:rsid w:val="00F54CA6"/>
    <w:rsid w:val="00F61421"/>
    <w:rsid w:val="00F62734"/>
    <w:rsid w:val="00F71041"/>
    <w:rsid w:val="00F91926"/>
    <w:rsid w:val="00FD662D"/>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E46BA-BF1C-4B1A-9AA3-75134D7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paragraph" w:styleId="Zkladntext">
    <w:name w:val="Body Text"/>
    <w:basedOn w:val="Normln"/>
    <w:link w:val="ZkladntextChar"/>
    <w:uiPriority w:val="99"/>
    <w:semiHidden/>
    <w:unhideWhenUsed/>
    <w:rsid w:val="00104BD7"/>
    <w:pPr>
      <w:spacing w:after="120"/>
    </w:pPr>
    <w:rPr>
      <w:szCs w:val="21"/>
    </w:rPr>
  </w:style>
  <w:style w:type="character" w:customStyle="1" w:styleId="ZkladntextChar">
    <w:name w:val="Základní text Char"/>
    <w:basedOn w:val="Standardnpsmoodstavce"/>
    <w:link w:val="Zkladntext"/>
    <w:uiPriority w:val="99"/>
    <w:semiHidden/>
    <w:rsid w:val="00104BD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1352</Words>
  <Characters>7977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Blanka Zagorská</cp:lastModifiedBy>
  <cp:revision>5</cp:revision>
  <cp:lastPrinted>2018-03-21T09:19:00Z</cp:lastPrinted>
  <dcterms:created xsi:type="dcterms:W3CDTF">2019-03-01T09:22:00Z</dcterms:created>
  <dcterms:modified xsi:type="dcterms:W3CDTF">2019-04-16T05:16:00Z</dcterms:modified>
</cp:coreProperties>
</file>