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781" w:rsidRDefault="00383781" w:rsidP="00D50DF3">
      <w:pPr>
        <w:pStyle w:val="2Nesltextvlevo"/>
        <w:rPr>
          <w:b/>
          <w:highlight w:val="lightGray"/>
        </w:rPr>
      </w:pPr>
    </w:p>
    <w:p w:rsidR="00383781" w:rsidRDefault="00383781" w:rsidP="007C6129">
      <w:pPr>
        <w:pStyle w:val="2Nesltextvlevo"/>
        <w:rPr>
          <w:b/>
          <w:highlight w:val="lightGray"/>
        </w:rPr>
      </w:pPr>
    </w:p>
    <w:p w:rsidR="00383781" w:rsidRDefault="00383781" w:rsidP="007C6129">
      <w:pPr>
        <w:pStyle w:val="2Nesltextvlevo"/>
        <w:rPr>
          <w:b/>
          <w:highlight w:val="lightGray"/>
        </w:rPr>
      </w:pPr>
    </w:p>
    <w:p w:rsidR="00383781" w:rsidRDefault="00383781" w:rsidP="007C6129">
      <w:pPr>
        <w:pStyle w:val="2Nesltextvlevo"/>
        <w:rPr>
          <w:b/>
          <w:highlight w:val="lightGray"/>
        </w:rPr>
      </w:pPr>
    </w:p>
    <w:p w:rsidR="00100361" w:rsidRPr="007C6129" w:rsidRDefault="00504A44" w:rsidP="007C6129">
      <w:pPr>
        <w:pStyle w:val="2Nesltextvlevo"/>
        <w:rPr>
          <w:b/>
          <w:bCs/>
        </w:rPr>
      </w:pPr>
      <w:r w:rsidRPr="00504A44">
        <w:rPr>
          <w:b/>
        </w:rPr>
        <w:t>Archeologické centrum Olomouc, příspěvková organizace</w:t>
      </w:r>
    </w:p>
    <w:p w:rsidR="007A3536" w:rsidRPr="00735CD6" w:rsidRDefault="00100361" w:rsidP="007C6129">
      <w:pPr>
        <w:pStyle w:val="2Nesltextvlevo"/>
      </w:pPr>
      <w:r w:rsidRPr="00735CD6">
        <w:t xml:space="preserve">IČO: </w:t>
      </w:r>
      <w:r w:rsidR="00504A44" w:rsidRPr="0070224F">
        <w:rPr>
          <w:rFonts w:eastAsia="Times New Roman"/>
          <w:lang w:bidi="en-US"/>
        </w:rPr>
        <w:t>75008271</w:t>
      </w:r>
    </w:p>
    <w:p w:rsidR="00100361" w:rsidRPr="00735CD6" w:rsidRDefault="00100361" w:rsidP="007C6129">
      <w:pPr>
        <w:pStyle w:val="2Nesltextvlevo"/>
      </w:pPr>
      <w:r w:rsidRPr="00735CD6">
        <w:t xml:space="preserve">se sídlem </w:t>
      </w:r>
      <w:r w:rsidR="00504A44" w:rsidRPr="0070224F">
        <w:rPr>
          <w:rFonts w:eastAsia="Times New Roman"/>
          <w:lang w:bidi="en-US"/>
        </w:rPr>
        <w:t>U Hradiska 42/6</w:t>
      </w:r>
      <w:r w:rsidR="00504A44">
        <w:rPr>
          <w:rFonts w:eastAsia="Times New Roman"/>
          <w:lang w:bidi="en-US"/>
        </w:rPr>
        <w:t xml:space="preserve">, </w:t>
      </w:r>
      <w:r w:rsidR="00504A44" w:rsidRPr="0070224F">
        <w:rPr>
          <w:rFonts w:eastAsia="Times New Roman"/>
          <w:lang w:bidi="en-US"/>
        </w:rPr>
        <w:t>Klášterní Hradisko</w:t>
      </w:r>
      <w:r w:rsidR="00504A44">
        <w:rPr>
          <w:rFonts w:eastAsia="Times New Roman"/>
          <w:lang w:bidi="en-US"/>
        </w:rPr>
        <w:t>,</w:t>
      </w:r>
      <w:r w:rsidR="00504A44" w:rsidRPr="0070224F">
        <w:rPr>
          <w:rFonts w:eastAsia="Times New Roman"/>
          <w:lang w:bidi="en-US"/>
        </w:rPr>
        <w:t xml:space="preserve"> 779 00</w:t>
      </w:r>
      <w:r w:rsidR="00504A44" w:rsidRPr="00504A44">
        <w:rPr>
          <w:rFonts w:eastAsia="Times New Roman"/>
          <w:lang w:bidi="en-US"/>
        </w:rPr>
        <w:t xml:space="preserve"> </w:t>
      </w:r>
      <w:r w:rsidR="00504A44" w:rsidRPr="0070224F">
        <w:rPr>
          <w:rFonts w:eastAsia="Times New Roman"/>
          <w:lang w:bidi="en-US"/>
        </w:rPr>
        <w:t>Olomouc</w:t>
      </w:r>
    </w:p>
    <w:p w:rsidR="006127E8" w:rsidRDefault="006127E8" w:rsidP="006127E8">
      <w:pPr>
        <w:pStyle w:val="2Nesltextvlevo"/>
        <w:contextualSpacing w:val="0"/>
      </w:pPr>
      <w:r w:rsidRPr="00735CD6">
        <w:t xml:space="preserve">zastoupená </w:t>
      </w:r>
      <w:r>
        <w:t>--------------------------------</w:t>
      </w:r>
    </w:p>
    <w:p w:rsidR="007C6129" w:rsidRPr="00B210B9" w:rsidRDefault="006127E8" w:rsidP="006127E8">
      <w:pPr>
        <w:pStyle w:val="2Nesltextvlevo"/>
        <w:spacing w:after="400"/>
        <w:contextualSpacing w:val="0"/>
        <w:rPr>
          <w:rFonts w:ascii="Calibri" w:hAnsi="Calibri"/>
        </w:rPr>
      </w:pPr>
      <w:r w:rsidRPr="00B210B9">
        <w:rPr>
          <w:rFonts w:ascii="Calibri" w:hAnsi="Calibri"/>
        </w:rPr>
        <w:t xml:space="preserve"> </w:t>
      </w:r>
      <w:r w:rsidR="007C6129" w:rsidRPr="00B210B9">
        <w:rPr>
          <w:rFonts w:ascii="Calibri" w:hAnsi="Calibri"/>
        </w:rPr>
        <w:t>(dále jen jako „</w:t>
      </w:r>
      <w:r w:rsidR="007C6129" w:rsidRPr="007C6129">
        <w:rPr>
          <w:rFonts w:ascii="Calibri" w:hAnsi="Calibri"/>
          <w:b/>
          <w:bCs/>
        </w:rPr>
        <w:t>klient</w:t>
      </w:r>
      <w:r w:rsidR="007C6129" w:rsidRPr="00B210B9">
        <w:rPr>
          <w:rFonts w:ascii="Calibri" w:hAnsi="Calibri"/>
        </w:rPr>
        <w:t>“ na straně jedné)</w:t>
      </w:r>
    </w:p>
    <w:p w:rsidR="007C6129" w:rsidRPr="007C6129" w:rsidRDefault="007C6129" w:rsidP="007C6129">
      <w:pPr>
        <w:pStyle w:val="2Nesltextvlevo"/>
        <w:spacing w:after="400"/>
        <w:contextualSpacing w:val="0"/>
      </w:pPr>
      <w:r w:rsidRPr="007C6129">
        <w:t>a</w:t>
      </w:r>
    </w:p>
    <w:p w:rsidR="00E32AF5" w:rsidRPr="007C6129" w:rsidRDefault="007C6129" w:rsidP="007C6129">
      <w:pPr>
        <w:pStyle w:val="2Nesltextvlevo"/>
        <w:rPr>
          <w:b/>
        </w:rPr>
      </w:pPr>
      <w:r w:rsidRPr="007C6129">
        <w:rPr>
          <w:b/>
        </w:rPr>
        <w:t>Fiala, Tejkal a partneři, advokátní kancelář, s.r.o.</w:t>
      </w:r>
    </w:p>
    <w:p w:rsidR="007C6129" w:rsidRPr="007C6129" w:rsidRDefault="007C6129" w:rsidP="007C6129">
      <w:pPr>
        <w:pStyle w:val="2Nesltextvlevo"/>
      </w:pPr>
      <w:r w:rsidRPr="007C6129">
        <w:t>IČO: 28360125</w:t>
      </w:r>
    </w:p>
    <w:p w:rsidR="007C6129" w:rsidRPr="007C6129" w:rsidRDefault="007C6129" w:rsidP="007C6129">
      <w:pPr>
        <w:pStyle w:val="2Nesltextvlevo"/>
      </w:pPr>
      <w:r w:rsidRPr="007C6129">
        <w:t>se sídlem Helfertova 2040/13, Černá Pole, 613 00 Brno</w:t>
      </w:r>
    </w:p>
    <w:p w:rsidR="007C6129" w:rsidRPr="007C6129" w:rsidRDefault="007C6129" w:rsidP="007C6129">
      <w:pPr>
        <w:pStyle w:val="2Nesltextvlevo"/>
      </w:pPr>
      <w:r w:rsidRPr="007C6129">
        <w:t xml:space="preserve">zapsaná v obchodním rejstříku vedeném Krajským soudem v Brně, </w:t>
      </w:r>
      <w:proofErr w:type="spellStart"/>
      <w:r w:rsidRPr="007C6129">
        <w:t>sp</w:t>
      </w:r>
      <w:proofErr w:type="spellEnd"/>
      <w:r w:rsidRPr="007C6129">
        <w:t>. zn. C 63681</w:t>
      </w:r>
    </w:p>
    <w:p w:rsidR="006127E8" w:rsidRDefault="006127E8" w:rsidP="006127E8">
      <w:pPr>
        <w:pStyle w:val="2Nesltextvlevo"/>
        <w:contextualSpacing w:val="0"/>
      </w:pPr>
      <w:r w:rsidRPr="00735CD6">
        <w:t xml:space="preserve">zastoupená </w:t>
      </w:r>
      <w:r>
        <w:t>--------------------------------</w:t>
      </w:r>
    </w:p>
    <w:p w:rsidR="007C6129" w:rsidRPr="00B210B9" w:rsidRDefault="006127E8" w:rsidP="006127E8">
      <w:pPr>
        <w:spacing w:after="400"/>
        <w:rPr>
          <w:rFonts w:ascii="Calibri" w:hAnsi="Calibri"/>
          <w:sz w:val="22"/>
          <w:szCs w:val="22"/>
        </w:rPr>
      </w:pPr>
      <w:r w:rsidRPr="00B210B9">
        <w:rPr>
          <w:rFonts w:ascii="Calibri" w:hAnsi="Calibri"/>
          <w:sz w:val="22"/>
          <w:szCs w:val="22"/>
        </w:rPr>
        <w:t xml:space="preserve"> </w:t>
      </w:r>
      <w:r w:rsidR="007C6129" w:rsidRPr="00B210B9">
        <w:rPr>
          <w:rFonts w:ascii="Calibri" w:hAnsi="Calibri"/>
          <w:sz w:val="22"/>
          <w:szCs w:val="22"/>
        </w:rPr>
        <w:t>(dále jen jako „</w:t>
      </w:r>
      <w:r w:rsidR="007C6129" w:rsidRPr="00B210B9">
        <w:rPr>
          <w:rFonts w:ascii="Calibri" w:hAnsi="Calibri"/>
          <w:b/>
          <w:sz w:val="22"/>
          <w:szCs w:val="22"/>
        </w:rPr>
        <w:t>a</w:t>
      </w:r>
      <w:r w:rsidR="007C6129" w:rsidRPr="00B210B9">
        <w:rPr>
          <w:rFonts w:ascii="Calibri" w:hAnsi="Calibri"/>
          <w:b/>
          <w:bCs/>
          <w:sz w:val="22"/>
          <w:szCs w:val="22"/>
        </w:rPr>
        <w:t>dvokátní kancelář</w:t>
      </w:r>
      <w:r w:rsidR="007C6129" w:rsidRPr="00B210B9">
        <w:rPr>
          <w:rFonts w:ascii="Calibri" w:hAnsi="Calibri"/>
          <w:sz w:val="22"/>
          <w:szCs w:val="22"/>
        </w:rPr>
        <w:t>“ na straně druhé)</w:t>
      </w:r>
    </w:p>
    <w:p w:rsidR="007C6129" w:rsidRPr="00B210B9" w:rsidRDefault="007C6129" w:rsidP="007C6129">
      <w:pPr>
        <w:jc w:val="center"/>
        <w:rPr>
          <w:rFonts w:ascii="Calibri" w:hAnsi="Calibri"/>
          <w:sz w:val="22"/>
          <w:szCs w:val="22"/>
        </w:rPr>
      </w:pPr>
      <w:r w:rsidRPr="00B210B9">
        <w:rPr>
          <w:rFonts w:ascii="Calibri" w:hAnsi="Calibri"/>
          <w:sz w:val="22"/>
          <w:szCs w:val="22"/>
        </w:rPr>
        <w:t xml:space="preserve">(klient a advokátní kancelář jsou dále označováni společně také jako </w:t>
      </w:r>
      <w:r w:rsidRPr="00B210B9">
        <w:rPr>
          <w:rFonts w:ascii="Calibri" w:hAnsi="Calibri"/>
          <w:b/>
          <w:bCs/>
          <w:sz w:val="22"/>
          <w:szCs w:val="22"/>
        </w:rPr>
        <w:t>„smluvní strany“</w:t>
      </w:r>
      <w:r w:rsidRPr="00B210B9">
        <w:rPr>
          <w:rFonts w:ascii="Calibri" w:hAnsi="Calibri"/>
          <w:sz w:val="22"/>
          <w:szCs w:val="22"/>
        </w:rPr>
        <w:t xml:space="preserve"> a jednotlivě jako</w:t>
      </w:r>
      <w:r w:rsidRPr="00B210B9">
        <w:rPr>
          <w:rFonts w:ascii="Calibri" w:hAnsi="Calibri"/>
          <w:b/>
          <w:bCs/>
          <w:sz w:val="22"/>
          <w:szCs w:val="22"/>
        </w:rPr>
        <w:t xml:space="preserve"> „smluvní strana</w:t>
      </w:r>
      <w:r w:rsidRPr="00B210B9">
        <w:rPr>
          <w:rFonts w:ascii="Calibri" w:hAnsi="Calibri"/>
          <w:sz w:val="22"/>
          <w:szCs w:val="22"/>
        </w:rPr>
        <w:t>“ a</w:t>
      </w:r>
      <w:r w:rsidR="00D50DF3">
        <w:rPr>
          <w:rFonts w:ascii="Calibri" w:hAnsi="Calibri"/>
          <w:sz w:val="22"/>
          <w:szCs w:val="22"/>
        </w:rPr>
        <w:t xml:space="preserve"> tento dodatek</w:t>
      </w:r>
      <w:r w:rsidRPr="00B210B9">
        <w:rPr>
          <w:rFonts w:ascii="Calibri" w:hAnsi="Calibri"/>
          <w:sz w:val="22"/>
          <w:szCs w:val="22"/>
        </w:rPr>
        <w:t xml:space="preserve"> dále jako </w:t>
      </w:r>
      <w:r w:rsidRPr="00B210B9">
        <w:rPr>
          <w:rFonts w:ascii="Calibri" w:hAnsi="Calibri"/>
          <w:b/>
          <w:bCs/>
          <w:sz w:val="22"/>
          <w:szCs w:val="22"/>
        </w:rPr>
        <w:t>„</w:t>
      </w:r>
      <w:r w:rsidR="00D50DF3">
        <w:rPr>
          <w:rFonts w:ascii="Calibri" w:hAnsi="Calibri"/>
          <w:b/>
          <w:bCs/>
          <w:sz w:val="22"/>
          <w:szCs w:val="22"/>
        </w:rPr>
        <w:t>dodatek</w:t>
      </w:r>
      <w:r w:rsidRPr="00B210B9">
        <w:rPr>
          <w:rFonts w:ascii="Calibri" w:hAnsi="Calibri"/>
          <w:b/>
          <w:bCs/>
          <w:sz w:val="22"/>
          <w:szCs w:val="22"/>
        </w:rPr>
        <w:t>“</w:t>
      </w:r>
      <w:r w:rsidRPr="00B210B9">
        <w:rPr>
          <w:rFonts w:ascii="Calibri" w:hAnsi="Calibri"/>
          <w:sz w:val="22"/>
          <w:szCs w:val="22"/>
        </w:rPr>
        <w:t>)</w:t>
      </w:r>
    </w:p>
    <w:p w:rsidR="007C6129" w:rsidRPr="00B210B9" w:rsidRDefault="00D50DF3" w:rsidP="007C6129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uzavírají tento</w:t>
      </w:r>
    </w:p>
    <w:p w:rsidR="00D50DF3" w:rsidRDefault="00D50DF3" w:rsidP="00D50DF3">
      <w:pPr>
        <w:spacing w:after="120"/>
        <w:contextualSpacing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dodatek č. 1 </w:t>
      </w:r>
    </w:p>
    <w:p w:rsidR="007C6129" w:rsidRPr="00D50DF3" w:rsidRDefault="00D50DF3" w:rsidP="00D50DF3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ke smlouvě o poskytování právních služeb</w:t>
      </w:r>
      <w:r w:rsidR="005579FD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ze dne 02.01.2019</w:t>
      </w:r>
      <w:r w:rsidR="007C6129" w:rsidRPr="00B210B9">
        <w:rPr>
          <w:rFonts w:ascii="Calibri" w:hAnsi="Calibri"/>
          <w:b/>
          <w:bCs/>
          <w:sz w:val="22"/>
          <w:szCs w:val="22"/>
        </w:rPr>
        <w:t>:</w:t>
      </w:r>
    </w:p>
    <w:p w:rsidR="001F5C0A" w:rsidRPr="00037178" w:rsidRDefault="001F5C0A" w:rsidP="001F5C0A">
      <w:pPr>
        <w:pStyle w:val="2Nesltextvlevo"/>
        <w:spacing w:after="400"/>
        <w:rPr>
          <w:b/>
        </w:rPr>
      </w:pPr>
      <w:r w:rsidRPr="00037178">
        <w:rPr>
          <w:b/>
        </w:rPr>
        <w:t xml:space="preserve">I. </w:t>
      </w:r>
      <w:r w:rsidR="00D50DF3">
        <w:rPr>
          <w:b/>
        </w:rPr>
        <w:t>Změna smlouvy</w:t>
      </w:r>
    </w:p>
    <w:p w:rsidR="001F5C0A" w:rsidRPr="001F5C0A" w:rsidRDefault="001F5C0A" w:rsidP="001F5C0A">
      <w:pPr>
        <w:pStyle w:val="2Nesltextvlevo"/>
        <w:spacing w:after="400"/>
        <w:rPr>
          <w:bCs/>
        </w:rPr>
      </w:pPr>
    </w:p>
    <w:p w:rsidR="005579FD" w:rsidRDefault="001F5C0A" w:rsidP="001F5C0A">
      <w:pPr>
        <w:pStyle w:val="2Nesltextvlevo"/>
        <w:spacing w:after="400"/>
        <w:rPr>
          <w:bCs/>
        </w:rPr>
      </w:pPr>
      <w:r w:rsidRPr="001F5C0A">
        <w:rPr>
          <w:bCs/>
        </w:rPr>
        <w:t>1.</w:t>
      </w:r>
      <w:r w:rsidRPr="001F5C0A">
        <w:rPr>
          <w:bCs/>
        </w:rPr>
        <w:tab/>
      </w:r>
      <w:r w:rsidR="005579FD">
        <w:rPr>
          <w:bCs/>
        </w:rPr>
        <w:t>Smluvní strany se dohodly, že na základě tohoto dodatku upraví předmět plnění smlouvy o poskytování právních služeb ze dne 02.01.2019 týkající se poskytování právních služeb v souvislosti s GDPR (dále jen „</w:t>
      </w:r>
      <w:r w:rsidR="005579FD" w:rsidRPr="005579FD">
        <w:rPr>
          <w:b/>
          <w:bCs/>
          <w:i/>
        </w:rPr>
        <w:t>Smlouva</w:t>
      </w:r>
      <w:r w:rsidR="005579FD">
        <w:rPr>
          <w:bCs/>
        </w:rPr>
        <w:t>“).</w:t>
      </w:r>
    </w:p>
    <w:p w:rsidR="005579FD" w:rsidRDefault="005579FD" w:rsidP="001F5C0A">
      <w:pPr>
        <w:pStyle w:val="2Nesltextvlevo"/>
        <w:spacing w:after="400"/>
        <w:rPr>
          <w:bCs/>
        </w:rPr>
      </w:pPr>
    </w:p>
    <w:p w:rsidR="00D50DF3" w:rsidRDefault="005579FD" w:rsidP="004F57C8">
      <w:pPr>
        <w:pStyle w:val="2Nesltextvlevo"/>
        <w:keepNext/>
        <w:spacing w:after="400"/>
        <w:rPr>
          <w:bCs/>
        </w:rPr>
      </w:pPr>
      <w:r>
        <w:rPr>
          <w:bCs/>
        </w:rPr>
        <w:lastRenderedPageBreak/>
        <w:t>2.</w:t>
      </w:r>
      <w:r>
        <w:rPr>
          <w:bCs/>
        </w:rPr>
        <w:tab/>
      </w:r>
      <w:r w:rsidR="00D50DF3">
        <w:rPr>
          <w:bCs/>
        </w:rPr>
        <w:t>Smluvní strany se dohodly</w:t>
      </w:r>
      <w:r>
        <w:rPr>
          <w:bCs/>
        </w:rPr>
        <w:t xml:space="preserve"> na úpravě článku I odst. 2 Smlouvy, přičemž původní znění článku I odst. 2 Smlouvy je nahrazováno tímto zněním:</w:t>
      </w:r>
    </w:p>
    <w:p w:rsidR="00D50DF3" w:rsidRDefault="00D50DF3" w:rsidP="001F5C0A">
      <w:pPr>
        <w:pStyle w:val="2Nesltextvlevo"/>
        <w:spacing w:after="400"/>
        <w:rPr>
          <w:bCs/>
        </w:rPr>
      </w:pPr>
    </w:p>
    <w:p w:rsidR="00D50DF3" w:rsidRDefault="005579FD" w:rsidP="005579FD">
      <w:pPr>
        <w:pStyle w:val="2Nesltextvlevo"/>
        <w:spacing w:after="400"/>
        <w:rPr>
          <w:bCs/>
          <w:i/>
        </w:rPr>
      </w:pPr>
      <w:r>
        <w:rPr>
          <w:bCs/>
          <w:i/>
        </w:rPr>
        <w:t>„</w:t>
      </w:r>
      <w:r w:rsidR="00D50DF3">
        <w:rPr>
          <w:bCs/>
          <w:i/>
        </w:rPr>
        <w:t xml:space="preserve">2. </w:t>
      </w:r>
      <w:r w:rsidR="00D50DF3">
        <w:rPr>
          <w:bCs/>
          <w:i/>
        </w:rPr>
        <w:tab/>
      </w:r>
      <w:r w:rsidR="00D50DF3" w:rsidRPr="00D50DF3">
        <w:rPr>
          <w:bCs/>
          <w:i/>
        </w:rPr>
        <w:t xml:space="preserve">Předmětem této </w:t>
      </w:r>
      <w:r w:rsidR="00D50DF3" w:rsidRPr="005579FD">
        <w:rPr>
          <w:bCs/>
          <w:i/>
        </w:rPr>
        <w:t xml:space="preserve">smlouvy je poskytování právních služeb advokátní kanceláří na základě příkazu klienta, přičemž poskytováním právních služeb se rozumí zejména </w:t>
      </w:r>
      <w:r w:rsidR="0058208F">
        <w:rPr>
          <w:bCs/>
          <w:i/>
        </w:rPr>
        <w:t xml:space="preserve">poskytování </w:t>
      </w:r>
      <w:r w:rsidR="00D50DF3" w:rsidRPr="005579FD">
        <w:rPr>
          <w:bCs/>
          <w:i/>
        </w:rPr>
        <w:t>právní</w:t>
      </w:r>
      <w:r w:rsidR="0058208F">
        <w:rPr>
          <w:bCs/>
          <w:i/>
        </w:rPr>
        <w:t>ho</w:t>
      </w:r>
      <w:r w:rsidR="00D50DF3" w:rsidRPr="005579FD">
        <w:rPr>
          <w:bCs/>
          <w:i/>
        </w:rPr>
        <w:t xml:space="preserve"> poradenství</w:t>
      </w:r>
      <w:r w:rsidRPr="005579FD">
        <w:rPr>
          <w:bCs/>
          <w:i/>
        </w:rPr>
        <w:t xml:space="preserve"> v souvislosti s dodržováním povinností dle nařízení Evropského parlamentu a Rady (EU) 2016/679 ze dne 27.</w:t>
      </w:r>
      <w:r w:rsidR="004F57C8">
        <w:rPr>
          <w:bCs/>
          <w:i/>
        </w:rPr>
        <w:t> </w:t>
      </w:r>
      <w:r w:rsidRPr="005579FD">
        <w:rPr>
          <w:bCs/>
          <w:i/>
        </w:rPr>
        <w:t>dubna 2016, o ochraně fyzických osob v souvislosti se zpracováním osobních údajů a o volném pohybu těchto údajů a o zrušení směrnice 95/46 ES (obecné zařízení o ochraně osobních údajů) (dále jen „</w:t>
      </w:r>
      <w:r w:rsidRPr="005579FD">
        <w:rPr>
          <w:b/>
          <w:bCs/>
          <w:i/>
        </w:rPr>
        <w:t>nařízení GDPR</w:t>
      </w:r>
      <w:r w:rsidRPr="005579FD">
        <w:rPr>
          <w:bCs/>
          <w:i/>
        </w:rPr>
        <w:t>“)</w:t>
      </w:r>
      <w:r w:rsidR="00D50DF3" w:rsidRPr="005579FD">
        <w:rPr>
          <w:bCs/>
          <w:i/>
        </w:rPr>
        <w:t>, to vše za úplatu. Konkrétní rozsah poskytovaných právních</w:t>
      </w:r>
      <w:r w:rsidR="00D50DF3" w:rsidRPr="00D50DF3">
        <w:rPr>
          <w:bCs/>
          <w:i/>
        </w:rPr>
        <w:t xml:space="preserve"> služeb se řídí požadavky klienta. Právní služby bude advokátní kancelář poskytovat klientovi ve svém sídle, případně v jiném místě podle dohody obou smluvních stran.</w:t>
      </w:r>
      <w:r>
        <w:rPr>
          <w:bCs/>
          <w:i/>
        </w:rPr>
        <w:t>“</w:t>
      </w:r>
    </w:p>
    <w:p w:rsidR="0058208F" w:rsidRDefault="0058208F" w:rsidP="005579FD">
      <w:pPr>
        <w:pStyle w:val="2Nesltextvlevo"/>
        <w:spacing w:after="400"/>
        <w:rPr>
          <w:bCs/>
          <w:i/>
        </w:rPr>
      </w:pPr>
    </w:p>
    <w:p w:rsidR="0058208F" w:rsidRDefault="0058208F" w:rsidP="005579FD">
      <w:pPr>
        <w:pStyle w:val="2Nesltextvlevo"/>
        <w:spacing w:after="400"/>
        <w:rPr>
          <w:bCs/>
        </w:rPr>
      </w:pPr>
      <w:r>
        <w:rPr>
          <w:bCs/>
        </w:rPr>
        <w:t>3.</w:t>
      </w:r>
      <w:r>
        <w:rPr>
          <w:bCs/>
        </w:rPr>
        <w:tab/>
        <w:t>Smluvní strany se dále dohodly na úpravě článku VII odst. 2 Smlouvy, přičemž původní znění článku VII odst. 2 Smlouvy je nahrazováno tímto zněním:</w:t>
      </w:r>
    </w:p>
    <w:p w:rsidR="0058208F" w:rsidRDefault="0058208F" w:rsidP="005579FD">
      <w:pPr>
        <w:pStyle w:val="2Nesltextvlevo"/>
        <w:spacing w:after="400"/>
        <w:rPr>
          <w:bCs/>
        </w:rPr>
      </w:pPr>
    </w:p>
    <w:p w:rsidR="0058208F" w:rsidRPr="0058208F" w:rsidRDefault="0058208F" w:rsidP="005579FD">
      <w:pPr>
        <w:pStyle w:val="2Nesltextvlevo"/>
        <w:spacing w:after="400"/>
        <w:rPr>
          <w:bCs/>
        </w:rPr>
      </w:pPr>
      <w:r>
        <w:rPr>
          <w:bCs/>
        </w:rPr>
        <w:t>„</w:t>
      </w:r>
      <w:r w:rsidRPr="0058208F">
        <w:rPr>
          <w:bCs/>
          <w:i/>
        </w:rPr>
        <w:t>2.</w:t>
      </w:r>
      <w:r w:rsidRPr="0058208F">
        <w:rPr>
          <w:bCs/>
          <w:i/>
        </w:rPr>
        <w:tab/>
        <w:t xml:space="preserve">Advokátní kanceláři přísluší za poskytování těchto právních služeb odměna ve výši </w:t>
      </w:r>
      <w:proofErr w:type="gramStart"/>
      <w:r w:rsidRPr="0058208F">
        <w:rPr>
          <w:bCs/>
          <w:i/>
        </w:rPr>
        <w:t>1.400,-</w:t>
      </w:r>
      <w:proofErr w:type="gramEnd"/>
      <w:r w:rsidRPr="0058208F">
        <w:rPr>
          <w:bCs/>
          <w:i/>
        </w:rPr>
        <w:t xml:space="preserve"> Kč (slovy: jeden tisíc čtyři sta korun českých) + DPH v zákonné výši za každou hodinu poskytování právních služeb spočívajících v</w:t>
      </w:r>
      <w:r>
        <w:rPr>
          <w:bCs/>
          <w:i/>
        </w:rPr>
        <w:t> </w:t>
      </w:r>
      <w:r w:rsidRPr="0058208F">
        <w:rPr>
          <w:bCs/>
          <w:i/>
        </w:rPr>
        <w:t xml:space="preserve">poskytování právního poradenství v souvislosti s dodržováním povinností dle nařízení GDPR. Cena za veškeré poskytnuté právní služby dle této smlouvy nepřesáhne </w:t>
      </w:r>
      <w:proofErr w:type="gramStart"/>
      <w:r w:rsidRPr="0058208F">
        <w:rPr>
          <w:bCs/>
          <w:i/>
        </w:rPr>
        <w:t>400.000,-</w:t>
      </w:r>
      <w:proofErr w:type="gramEnd"/>
      <w:r w:rsidRPr="0058208F">
        <w:rPr>
          <w:bCs/>
          <w:i/>
        </w:rPr>
        <w:t xml:space="preserve"> Kč (slovy: čtyři sta tisíc korun českých) + DPH v zákonné výši.</w:t>
      </w:r>
      <w:r>
        <w:rPr>
          <w:bCs/>
        </w:rPr>
        <w:t>“</w:t>
      </w:r>
    </w:p>
    <w:p w:rsidR="001F5C0A" w:rsidRDefault="001F5C0A" w:rsidP="001F5C0A">
      <w:pPr>
        <w:pStyle w:val="2Nesltextvlevo"/>
        <w:spacing w:after="400"/>
        <w:rPr>
          <w:bCs/>
        </w:rPr>
      </w:pPr>
    </w:p>
    <w:p w:rsidR="0058208F" w:rsidRDefault="0058208F" w:rsidP="0058208F">
      <w:pPr>
        <w:pStyle w:val="2Nesltextvlevo"/>
        <w:spacing w:after="400"/>
        <w:rPr>
          <w:b/>
        </w:rPr>
      </w:pPr>
      <w:r>
        <w:rPr>
          <w:b/>
        </w:rPr>
        <w:t>II. Závěrečná ustanovení</w:t>
      </w:r>
    </w:p>
    <w:p w:rsidR="0058208F" w:rsidRDefault="0058208F" w:rsidP="0058208F">
      <w:pPr>
        <w:pStyle w:val="2Nesltextvlevo"/>
        <w:spacing w:after="400"/>
        <w:rPr>
          <w:b/>
        </w:rPr>
      </w:pPr>
    </w:p>
    <w:p w:rsidR="0058208F" w:rsidRDefault="0058208F" w:rsidP="0058208F">
      <w:pPr>
        <w:pStyle w:val="2Nesltextvlevo"/>
        <w:spacing w:after="400"/>
      </w:pPr>
      <w:r w:rsidRPr="0058208F">
        <w:t>1.</w:t>
      </w:r>
      <w:r>
        <w:tab/>
        <w:t>Ostatní ujednání Smlouvy zůstávají tímto dodatkem nedotčena.</w:t>
      </w:r>
    </w:p>
    <w:p w:rsidR="0058208F" w:rsidRDefault="0058208F" w:rsidP="0058208F">
      <w:pPr>
        <w:pStyle w:val="2Nesltextvlevo"/>
        <w:spacing w:after="400"/>
      </w:pPr>
    </w:p>
    <w:p w:rsidR="0058208F" w:rsidRDefault="0058208F" w:rsidP="0058208F">
      <w:pPr>
        <w:pStyle w:val="2Nesltextvlevo"/>
        <w:spacing w:after="400"/>
      </w:pPr>
      <w:r>
        <w:t>2.</w:t>
      </w:r>
      <w:r>
        <w:tab/>
        <w:t xml:space="preserve">Tento </w:t>
      </w:r>
      <w:r w:rsidR="004F57C8">
        <w:t>dodatek</w:t>
      </w:r>
      <w:r>
        <w:t xml:space="preserve"> je vyhotoven ve dvou stejnopisech s platností originálu, z nichž každá ze smluvních stran obdrží po jednom stejnopisu.</w:t>
      </w:r>
    </w:p>
    <w:p w:rsidR="0058208F" w:rsidRDefault="0058208F" w:rsidP="0058208F">
      <w:pPr>
        <w:pStyle w:val="2Nesltextvlevo"/>
        <w:spacing w:after="400"/>
      </w:pPr>
    </w:p>
    <w:p w:rsidR="0058208F" w:rsidRPr="0058208F" w:rsidRDefault="0058208F" w:rsidP="0058208F">
      <w:pPr>
        <w:pStyle w:val="2Nesltextvlevo"/>
        <w:spacing w:after="400"/>
      </w:pPr>
      <w:r>
        <w:t>3.</w:t>
      </w:r>
      <w:r>
        <w:tab/>
        <w:t xml:space="preserve">Tento dodatek je platný ode dne jeho podpisu oběma smluvními stranami a účinný ode dne jeho uveřejnění v registru smluv v souladu se zákonem č. </w:t>
      </w:r>
      <w:r>
        <w:rPr>
          <w:bCs/>
        </w:rPr>
        <w:t>340/2015 Sb., o zvláštních podmínkách účinnosti některých smluv, uveřejňování těchto smluv a o registru smluv (zákon o registru smluv), ve znění pozdějších předpisů</w:t>
      </w:r>
      <w:r w:rsidRPr="006D0E8B">
        <w:rPr>
          <w:bCs/>
        </w:rPr>
        <w:t>.</w:t>
      </w:r>
    </w:p>
    <w:p w:rsidR="0058208F" w:rsidRPr="001F5C0A" w:rsidRDefault="0058208F" w:rsidP="001F5C0A">
      <w:pPr>
        <w:pStyle w:val="2Nesltextvlevo"/>
        <w:spacing w:after="400"/>
        <w:rPr>
          <w:bCs/>
        </w:rPr>
      </w:pPr>
    </w:p>
    <w:p w:rsidR="001F5C0A" w:rsidRPr="001F5C0A" w:rsidRDefault="001F5C0A" w:rsidP="001832FD">
      <w:pPr>
        <w:pStyle w:val="2Nesltextvlev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400"/>
        <w:rPr>
          <w:bCs/>
        </w:rPr>
      </w:pPr>
      <w:r w:rsidRPr="001F5C0A">
        <w:rPr>
          <w:bCs/>
        </w:rPr>
        <w:t xml:space="preserve">V </w:t>
      </w:r>
      <w:r w:rsidR="00503300">
        <w:rPr>
          <w:lang w:bidi="en-US"/>
        </w:rPr>
        <w:t>Olomouci</w:t>
      </w:r>
      <w:r w:rsidR="00383781">
        <w:rPr>
          <w:lang w:bidi="en-US"/>
        </w:rPr>
        <w:t xml:space="preserve"> </w:t>
      </w:r>
      <w:r w:rsidRPr="001F5C0A">
        <w:rPr>
          <w:bCs/>
        </w:rPr>
        <w:t>dne</w:t>
      </w:r>
      <w:r w:rsidR="001832FD">
        <w:rPr>
          <w:bCs/>
        </w:rPr>
        <w:t xml:space="preserve"> </w:t>
      </w:r>
      <w:r w:rsidR="0058208F">
        <w:rPr>
          <w:bCs/>
        </w:rPr>
        <w:t>08.04.</w:t>
      </w:r>
      <w:r w:rsidR="009E0621">
        <w:rPr>
          <w:bCs/>
        </w:rPr>
        <w:t>2019</w:t>
      </w:r>
      <w:r w:rsidR="009E0621">
        <w:rPr>
          <w:bCs/>
        </w:rPr>
        <w:tab/>
      </w:r>
      <w:r w:rsidR="00383781">
        <w:rPr>
          <w:lang w:bidi="en-US"/>
        </w:rPr>
        <w:tab/>
      </w:r>
      <w:r w:rsidR="00383781">
        <w:rPr>
          <w:lang w:bidi="en-US"/>
        </w:rPr>
        <w:tab/>
      </w:r>
      <w:r w:rsidR="00503300">
        <w:rPr>
          <w:bCs/>
        </w:rPr>
        <w:tab/>
      </w:r>
      <w:r w:rsidR="00503300">
        <w:rPr>
          <w:bCs/>
        </w:rPr>
        <w:tab/>
      </w:r>
      <w:r w:rsidRPr="001F5C0A">
        <w:rPr>
          <w:bCs/>
        </w:rPr>
        <w:t xml:space="preserve">V Brně </w:t>
      </w:r>
      <w:r w:rsidRPr="0058208F">
        <w:rPr>
          <w:bCs/>
        </w:rPr>
        <w:t xml:space="preserve">dne </w:t>
      </w:r>
      <w:r w:rsidR="0058208F" w:rsidRPr="0058208F">
        <w:rPr>
          <w:bCs/>
        </w:rPr>
        <w:t>08.04.</w:t>
      </w:r>
      <w:r w:rsidR="001832FD" w:rsidRPr="0058208F">
        <w:rPr>
          <w:bCs/>
        </w:rPr>
        <w:t>2019</w:t>
      </w:r>
      <w:r w:rsidR="001832FD">
        <w:rPr>
          <w:bCs/>
        </w:rPr>
        <w:tab/>
      </w:r>
    </w:p>
    <w:p w:rsidR="001F5C0A" w:rsidRPr="001F5C0A" w:rsidRDefault="001F5C0A" w:rsidP="001F5C0A">
      <w:pPr>
        <w:pStyle w:val="2Nesltextvlevo"/>
        <w:spacing w:after="400"/>
        <w:rPr>
          <w:bCs/>
        </w:rPr>
      </w:pPr>
    </w:p>
    <w:p w:rsidR="001F5C0A" w:rsidRPr="001F5C0A" w:rsidRDefault="001F5C0A" w:rsidP="001F5C0A">
      <w:pPr>
        <w:pStyle w:val="2Nesltextvlevo"/>
        <w:spacing w:after="400"/>
        <w:rPr>
          <w:bCs/>
        </w:rPr>
      </w:pPr>
    </w:p>
    <w:p w:rsidR="001F5C0A" w:rsidRPr="001F5C0A" w:rsidRDefault="001F5C0A" w:rsidP="001F5C0A">
      <w:pPr>
        <w:pStyle w:val="2Nesltextvlevo"/>
        <w:spacing w:after="400"/>
        <w:rPr>
          <w:bCs/>
        </w:rPr>
      </w:pPr>
    </w:p>
    <w:p w:rsidR="0058208F" w:rsidRPr="001F5C0A" w:rsidRDefault="0058208F" w:rsidP="0058208F">
      <w:pPr>
        <w:pStyle w:val="2Nesltextvlevo"/>
        <w:spacing w:after="400"/>
        <w:rPr>
          <w:bCs/>
        </w:rPr>
      </w:pPr>
      <w:r>
        <w:rPr>
          <w:bCs/>
        </w:rPr>
        <w:t>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F5C0A">
        <w:rPr>
          <w:bCs/>
        </w:rPr>
        <w:t>___________________________</w:t>
      </w:r>
    </w:p>
    <w:p w:rsidR="0058208F" w:rsidRPr="00037178" w:rsidRDefault="0058208F" w:rsidP="0058208F">
      <w:pPr>
        <w:pStyle w:val="2Nesltextvlevo"/>
        <w:spacing w:after="400"/>
        <w:rPr>
          <w:b/>
        </w:rPr>
      </w:pPr>
      <w:r w:rsidRPr="00504A44">
        <w:rPr>
          <w:b/>
        </w:rPr>
        <w:t xml:space="preserve">Archeologické centrum Olomouc, </w:t>
      </w:r>
      <w:r w:rsidRPr="00037178">
        <w:rPr>
          <w:b/>
        </w:rPr>
        <w:tab/>
      </w:r>
      <w:r w:rsidRPr="00037178">
        <w:rPr>
          <w:b/>
        </w:rPr>
        <w:tab/>
      </w:r>
      <w:r w:rsidRPr="00037178">
        <w:rPr>
          <w:b/>
        </w:rPr>
        <w:tab/>
      </w:r>
      <w:r w:rsidRPr="00037178">
        <w:rPr>
          <w:b/>
        </w:rPr>
        <w:tab/>
        <w:t>Fiala, Tejkal a partneři,</w:t>
      </w:r>
    </w:p>
    <w:p w:rsidR="0058208F" w:rsidRPr="00037178" w:rsidRDefault="0058208F" w:rsidP="0058208F">
      <w:pPr>
        <w:pStyle w:val="2Nesltextvlevo"/>
        <w:spacing w:after="400"/>
        <w:rPr>
          <w:b/>
        </w:rPr>
      </w:pPr>
      <w:r w:rsidRPr="00504A44">
        <w:rPr>
          <w:b/>
        </w:rPr>
        <w:t>příspěvková organizace</w:t>
      </w:r>
      <w:r w:rsidRPr="001F5C0A">
        <w:rPr>
          <w:bCs/>
        </w:rPr>
        <w:tab/>
      </w:r>
      <w:r w:rsidRPr="001F5C0A">
        <w:rPr>
          <w:bCs/>
        </w:rPr>
        <w:tab/>
      </w:r>
      <w:r w:rsidRPr="00037178">
        <w:rPr>
          <w:b/>
        </w:rPr>
        <w:tab/>
      </w:r>
      <w:r w:rsidRPr="00037178">
        <w:rPr>
          <w:b/>
        </w:rPr>
        <w:tab/>
      </w:r>
      <w:r w:rsidRPr="00037178">
        <w:rPr>
          <w:b/>
        </w:rPr>
        <w:tab/>
        <w:t>advokátní kancelář, s.r.o.</w:t>
      </w:r>
    </w:p>
    <w:p w:rsidR="006127E8" w:rsidRDefault="006127E8" w:rsidP="006127E8">
      <w:pPr>
        <w:pStyle w:val="2Nesltextvlevo"/>
        <w:contextualSpacing w:val="0"/>
      </w:pPr>
      <w:r>
        <w:t>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>--------------------------------</w:t>
      </w:r>
    </w:p>
    <w:p w:rsidR="007C6129" w:rsidRPr="0058208F" w:rsidRDefault="001F5C0A" w:rsidP="001F5C0A">
      <w:pPr>
        <w:pStyle w:val="2Nesltextvlevo"/>
        <w:spacing w:after="400"/>
        <w:rPr>
          <w:b/>
          <w:bCs/>
        </w:rPr>
      </w:pPr>
      <w:r w:rsidRPr="001F5C0A">
        <w:rPr>
          <w:bCs/>
        </w:rPr>
        <w:tab/>
      </w:r>
      <w:r w:rsidRPr="001F5C0A">
        <w:rPr>
          <w:bCs/>
        </w:rPr>
        <w:tab/>
      </w:r>
      <w:r w:rsidRPr="001F5C0A">
        <w:rPr>
          <w:bCs/>
        </w:rPr>
        <w:tab/>
      </w:r>
      <w:r w:rsidRPr="001F5C0A">
        <w:rPr>
          <w:bCs/>
        </w:rPr>
        <w:tab/>
      </w:r>
      <w:bookmarkStart w:id="0" w:name="_GoBack"/>
      <w:bookmarkEnd w:id="0"/>
      <w:r w:rsidRPr="001F5C0A">
        <w:rPr>
          <w:bCs/>
        </w:rPr>
        <w:tab/>
      </w:r>
      <w:r w:rsidRPr="001F5C0A">
        <w:rPr>
          <w:bCs/>
        </w:rPr>
        <w:tab/>
      </w:r>
      <w:r w:rsidRPr="001F5C0A">
        <w:rPr>
          <w:bCs/>
        </w:rPr>
        <w:tab/>
      </w:r>
      <w:r w:rsidRPr="001F5C0A">
        <w:rPr>
          <w:bCs/>
        </w:rPr>
        <w:tab/>
      </w:r>
      <w:r w:rsidRPr="001F5C0A">
        <w:rPr>
          <w:bCs/>
        </w:rPr>
        <w:tab/>
      </w:r>
    </w:p>
    <w:sectPr w:rsidR="007C6129" w:rsidRPr="0058208F" w:rsidSect="00383781">
      <w:footerReference w:type="default" r:id="rId9"/>
      <w:headerReference w:type="first" r:id="rId10"/>
      <w:footerReference w:type="first" r:id="rId11"/>
      <w:pgSz w:w="11906" w:h="16838" w:code="9"/>
      <w:pgMar w:top="2219" w:right="1134" w:bottom="1418" w:left="1134" w:header="822" w:footer="9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DF3" w:rsidRDefault="00D50DF3" w:rsidP="00FC3787">
      <w:pPr>
        <w:spacing w:after="0" w:line="240" w:lineRule="auto"/>
      </w:pPr>
      <w:r>
        <w:separator/>
      </w:r>
    </w:p>
  </w:endnote>
  <w:endnote w:type="continuationSeparator" w:id="0">
    <w:p w:rsidR="00D50DF3" w:rsidRDefault="00D50DF3" w:rsidP="00FC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DF3" w:rsidRPr="00795566" w:rsidRDefault="00D50DF3" w:rsidP="008C45CE">
    <w:pPr>
      <w:pStyle w:val="Zpat"/>
      <w:tabs>
        <w:tab w:val="clear" w:pos="4536"/>
        <w:tab w:val="clear" w:pos="9072"/>
      </w:tabs>
      <w:spacing w:after="80"/>
      <w:jc w:val="right"/>
      <w:rPr>
        <w:rFonts w:asciiTheme="minorHAnsi" w:hAnsiTheme="minorHAnsi"/>
        <w:color w:val="24273A"/>
        <w:spacing w:val="6"/>
      </w:rPr>
    </w:pPr>
    <w:r w:rsidRPr="00795566">
      <w:rPr>
        <w:rFonts w:ascii="Calibri" w:hAnsi="Calibri"/>
        <w:noProof/>
        <w:color w:val="24273A"/>
      </w:rPr>
      <w:fldChar w:fldCharType="begin"/>
    </w:r>
    <w:r w:rsidRPr="00795566">
      <w:rPr>
        <w:rFonts w:ascii="Calibri" w:hAnsi="Calibri"/>
        <w:noProof/>
        <w:color w:val="24273A"/>
      </w:rPr>
      <w:instrText xml:space="preserve"> PAGE  \* Arabic  \* MERGEFORMAT </w:instrText>
    </w:r>
    <w:r w:rsidRPr="00795566">
      <w:rPr>
        <w:rFonts w:ascii="Calibri" w:hAnsi="Calibri"/>
        <w:noProof/>
        <w:color w:val="24273A"/>
      </w:rPr>
      <w:fldChar w:fldCharType="separate"/>
    </w:r>
    <w:r w:rsidR="001832FD">
      <w:rPr>
        <w:rFonts w:ascii="Calibri" w:hAnsi="Calibri"/>
        <w:noProof/>
        <w:color w:val="24273A"/>
      </w:rPr>
      <w:t>2</w:t>
    </w:r>
    <w:r w:rsidRPr="00795566">
      <w:rPr>
        <w:rFonts w:ascii="Calibri" w:hAnsi="Calibri"/>
        <w:noProof/>
        <w:color w:val="24273A"/>
      </w:rPr>
      <w:fldChar w:fldCharType="end"/>
    </w:r>
    <w:r w:rsidRPr="00795566">
      <w:rPr>
        <w:rFonts w:ascii="Calibri" w:hAnsi="Calibri"/>
        <w:noProof/>
        <w:color w:val="24273A"/>
      </w:rPr>
      <w:t xml:space="preserve"> I </w:t>
    </w:r>
    <w:r w:rsidRPr="00795566">
      <w:rPr>
        <w:rFonts w:ascii="Calibri" w:hAnsi="Calibri"/>
        <w:noProof/>
        <w:color w:val="24273A"/>
      </w:rPr>
      <w:fldChar w:fldCharType="begin"/>
    </w:r>
    <w:r w:rsidRPr="00795566">
      <w:rPr>
        <w:rFonts w:ascii="Calibri" w:hAnsi="Calibri"/>
        <w:noProof/>
        <w:color w:val="24273A"/>
      </w:rPr>
      <w:instrText xml:space="preserve"> NUMPAGES  \# "00" \* Arabic  \* MERGEFORMAT </w:instrText>
    </w:r>
    <w:r w:rsidRPr="00795566">
      <w:rPr>
        <w:rFonts w:ascii="Calibri" w:hAnsi="Calibri"/>
        <w:noProof/>
        <w:color w:val="24273A"/>
      </w:rPr>
      <w:fldChar w:fldCharType="separate"/>
    </w:r>
    <w:r w:rsidR="001832FD">
      <w:rPr>
        <w:rFonts w:ascii="Calibri" w:hAnsi="Calibri"/>
        <w:noProof/>
        <w:color w:val="24273A"/>
      </w:rPr>
      <w:t>2</w:t>
    </w:r>
    <w:r w:rsidRPr="00795566">
      <w:rPr>
        <w:rFonts w:ascii="Calibri" w:hAnsi="Calibri"/>
        <w:noProof/>
        <w:color w:val="24273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DF3" w:rsidRDefault="00D50DF3" w:rsidP="00383781">
    <w:pPr>
      <w:pStyle w:val="Zpat"/>
      <w:tabs>
        <w:tab w:val="clear" w:pos="9072"/>
        <w:tab w:val="right" w:pos="8504"/>
      </w:tabs>
      <w:spacing w:after="80"/>
      <w:rPr>
        <w:rFonts w:ascii="Calibri" w:hAnsi="Calibri"/>
        <w:color w:val="24273A"/>
        <w:spacing w:val="6"/>
      </w:rPr>
    </w:pPr>
  </w:p>
  <w:p w:rsidR="00D50DF3" w:rsidRDefault="00D50DF3" w:rsidP="0014650C">
    <w:pPr>
      <w:pStyle w:val="Zpat"/>
      <w:tabs>
        <w:tab w:val="clear" w:pos="9072"/>
        <w:tab w:val="right" w:pos="8504"/>
      </w:tabs>
      <w:spacing w:after="80"/>
      <w:rPr>
        <w:rFonts w:ascii="Calibri" w:hAnsi="Calibri"/>
        <w:color w:val="001E41"/>
        <w:spacing w:val="6"/>
      </w:rPr>
    </w:pPr>
    <w:r w:rsidRPr="00565F10">
      <w:rPr>
        <w:rFonts w:ascii="Calibri" w:hAnsi="Calibri"/>
        <w:color w:val="001E41"/>
        <w:spacing w:val="6"/>
      </w:rPr>
      <w:t xml:space="preserve">Fiala, Tejkal a partneři, advokátní </w:t>
    </w:r>
    <w:r>
      <w:rPr>
        <w:rFonts w:ascii="Calibri" w:hAnsi="Calibri"/>
        <w:color w:val="001E41"/>
        <w:spacing w:val="6"/>
      </w:rPr>
      <w:t>kancelář, s. r. o.</w:t>
    </w:r>
  </w:p>
  <w:p w:rsidR="00D50DF3" w:rsidRPr="00565F10" w:rsidRDefault="00D50DF3" w:rsidP="0014650C">
    <w:pPr>
      <w:pStyle w:val="Zpat"/>
      <w:tabs>
        <w:tab w:val="clear" w:pos="9072"/>
        <w:tab w:val="right" w:pos="8504"/>
      </w:tabs>
      <w:spacing w:after="80"/>
      <w:rPr>
        <w:rFonts w:ascii="Calibri" w:hAnsi="Calibri"/>
        <w:i/>
        <w:color w:val="001E41"/>
      </w:rPr>
    </w:pPr>
    <w:r w:rsidRPr="00565F10">
      <w:rPr>
        <w:rFonts w:ascii="Calibri" w:hAnsi="Calibri"/>
        <w:color w:val="001E41"/>
        <w:spacing w:val="6"/>
      </w:rPr>
      <w:t xml:space="preserve">Helfertova 2040/13, 613 00 </w:t>
    </w:r>
    <w:proofErr w:type="gramStart"/>
    <w:r w:rsidRPr="00565F10">
      <w:rPr>
        <w:rFonts w:ascii="Calibri" w:hAnsi="Calibri"/>
        <w:color w:val="001E41"/>
        <w:spacing w:val="6"/>
      </w:rPr>
      <w:t>Brno</w:t>
    </w:r>
    <w:r>
      <w:rPr>
        <w:rFonts w:ascii="Calibri" w:hAnsi="Calibri"/>
        <w:color w:val="001E41"/>
        <w:spacing w:val="6"/>
      </w:rPr>
      <w:t xml:space="preserve"> </w:t>
    </w:r>
    <w:r w:rsidRPr="00565F10">
      <w:rPr>
        <w:rFonts w:ascii="Calibri" w:hAnsi="Calibri"/>
        <w:color w:val="001E41"/>
        <w:spacing w:val="6"/>
      </w:rPr>
      <w:t>-</w:t>
    </w:r>
    <w:r>
      <w:rPr>
        <w:rFonts w:ascii="Calibri" w:hAnsi="Calibri"/>
        <w:color w:val="001E41"/>
        <w:spacing w:val="6"/>
      </w:rPr>
      <w:t xml:space="preserve"> </w:t>
    </w:r>
    <w:r w:rsidRPr="00565F10">
      <w:rPr>
        <w:rFonts w:ascii="Calibri" w:hAnsi="Calibri"/>
        <w:color w:val="001E41"/>
        <w:spacing w:val="6"/>
      </w:rPr>
      <w:t>Černá</w:t>
    </w:r>
    <w:proofErr w:type="gramEnd"/>
    <w:r w:rsidRPr="00565F10">
      <w:rPr>
        <w:rFonts w:ascii="Calibri" w:hAnsi="Calibri"/>
        <w:color w:val="001E41"/>
        <w:spacing w:val="6"/>
      </w:rPr>
      <w:t xml:space="preserve"> Pole    I    </w:t>
    </w:r>
    <w:r w:rsidRPr="00B16016">
      <w:rPr>
        <w:rFonts w:ascii="Calibri" w:hAnsi="Calibri"/>
        <w:color w:val="001E41"/>
        <w:spacing w:val="6"/>
      </w:rPr>
      <w:t>Na Pankráci 1062/58, 140 00 Praha 4 - Nusle</w:t>
    </w:r>
  </w:p>
  <w:p w:rsidR="00D50DF3" w:rsidRPr="00565F10" w:rsidRDefault="00D50DF3" w:rsidP="0014650C">
    <w:pPr>
      <w:pStyle w:val="Zpat"/>
      <w:spacing w:after="80"/>
      <w:rPr>
        <w:rFonts w:ascii="Calibri" w:hAnsi="Calibri"/>
        <w:color w:val="001E41"/>
        <w:spacing w:val="6"/>
      </w:rPr>
    </w:pPr>
    <w:r w:rsidRPr="00565F10">
      <w:rPr>
        <w:rFonts w:ascii="Calibri" w:hAnsi="Calibri"/>
        <w:color w:val="001E41"/>
        <w:spacing w:val="6"/>
      </w:rPr>
      <w:t>+420 541 211 528    I    recepce@akfiala.cz    I    www.akfiala.cz</w:t>
    </w:r>
  </w:p>
  <w:p w:rsidR="00D50DF3" w:rsidRPr="00383781" w:rsidRDefault="00D50DF3" w:rsidP="0014650C">
    <w:pPr>
      <w:pStyle w:val="Zpat"/>
      <w:tabs>
        <w:tab w:val="clear" w:pos="9072"/>
        <w:tab w:val="right" w:pos="8504"/>
      </w:tabs>
      <w:spacing w:after="80"/>
      <w:rPr>
        <w:rFonts w:ascii="Calibri" w:hAnsi="Calibri"/>
        <w:color w:val="24273A"/>
        <w:spacing w:val="6"/>
      </w:rPr>
    </w:pPr>
    <w:r w:rsidRPr="00565F10">
      <w:rPr>
        <w:rFonts w:ascii="Calibri" w:hAnsi="Calibri"/>
        <w:color w:val="001E41"/>
        <w:spacing w:val="6"/>
      </w:rPr>
      <w:t>IČO: 28360125    I    DIČ: CZ28360125</w:t>
    </w:r>
    <w:r w:rsidRPr="00565F10">
      <w:rPr>
        <w:rFonts w:ascii="Calibri" w:hAnsi="Calibri"/>
        <w:color w:val="001E41"/>
        <w:spacing w:val="6"/>
      </w:rPr>
      <w:tab/>
    </w:r>
    <w:r w:rsidRPr="00565F10">
      <w:rPr>
        <w:rFonts w:ascii="Calibri" w:hAnsi="Calibri"/>
        <w:color w:val="001E41"/>
        <w:spacing w:val="6"/>
      </w:rPr>
      <w:tab/>
    </w:r>
    <w:r>
      <w:rPr>
        <w:rFonts w:ascii="Calibri" w:hAnsi="Calibri"/>
        <w:color w:val="001E41"/>
        <w:spacing w:val="6"/>
      </w:rPr>
      <w:tab/>
    </w:r>
    <w:r>
      <w:rPr>
        <w:rFonts w:ascii="Calibri" w:hAnsi="Calibri"/>
        <w:color w:val="001E41"/>
        <w:spacing w:val="6"/>
      </w:rPr>
      <w:tab/>
    </w:r>
    <w:r w:rsidRPr="00565F10">
      <w:rPr>
        <w:rFonts w:ascii="Calibri" w:hAnsi="Calibri"/>
        <w:noProof/>
        <w:color w:val="001E41"/>
      </w:rPr>
      <w:fldChar w:fldCharType="begin"/>
    </w:r>
    <w:r w:rsidRPr="00565F10">
      <w:rPr>
        <w:rFonts w:ascii="Calibri" w:hAnsi="Calibri"/>
        <w:noProof/>
        <w:color w:val="001E41"/>
      </w:rPr>
      <w:instrText xml:space="preserve"> PAGE  \* Arabic  \* MERGEFORMAT </w:instrText>
    </w:r>
    <w:r w:rsidRPr="00565F10">
      <w:rPr>
        <w:rFonts w:ascii="Calibri" w:hAnsi="Calibri"/>
        <w:noProof/>
        <w:color w:val="001E41"/>
      </w:rPr>
      <w:fldChar w:fldCharType="separate"/>
    </w:r>
    <w:r w:rsidR="001832FD">
      <w:rPr>
        <w:rFonts w:ascii="Calibri" w:hAnsi="Calibri"/>
        <w:noProof/>
        <w:color w:val="001E41"/>
      </w:rPr>
      <w:t>1</w:t>
    </w:r>
    <w:r w:rsidRPr="00565F10">
      <w:rPr>
        <w:rFonts w:ascii="Calibri" w:hAnsi="Calibri"/>
        <w:noProof/>
        <w:color w:val="001E41"/>
      </w:rPr>
      <w:fldChar w:fldCharType="end"/>
    </w:r>
    <w:r w:rsidRPr="00565F10">
      <w:rPr>
        <w:rFonts w:ascii="Calibri" w:hAnsi="Calibri"/>
        <w:noProof/>
        <w:color w:val="001E41"/>
      </w:rPr>
      <w:t xml:space="preserve"> I </w:t>
    </w:r>
    <w:r w:rsidR="004F57C8">
      <w:rPr>
        <w:rFonts w:ascii="Calibri" w:hAnsi="Calibri"/>
        <w:noProof/>
        <w:color w:val="001E41"/>
      </w:rPr>
      <w:fldChar w:fldCharType="begin"/>
    </w:r>
    <w:r w:rsidR="004F57C8">
      <w:rPr>
        <w:rFonts w:ascii="Calibri" w:hAnsi="Calibri"/>
        <w:noProof/>
        <w:color w:val="001E41"/>
      </w:rPr>
      <w:instrText xml:space="preserve"> NUMPAGES  \# "0" \* Arabic  \* MERGEFORMAT </w:instrText>
    </w:r>
    <w:r w:rsidR="004F57C8">
      <w:rPr>
        <w:rFonts w:ascii="Calibri" w:hAnsi="Calibri"/>
        <w:noProof/>
        <w:color w:val="001E41"/>
      </w:rPr>
      <w:fldChar w:fldCharType="separate"/>
    </w:r>
    <w:r w:rsidR="004F57C8">
      <w:rPr>
        <w:rFonts w:ascii="Calibri" w:hAnsi="Calibri"/>
        <w:noProof/>
        <w:color w:val="001E41"/>
      </w:rPr>
      <w:t>2</w:t>
    </w:r>
    <w:r w:rsidR="004F57C8">
      <w:rPr>
        <w:rFonts w:ascii="Calibri" w:hAnsi="Calibri"/>
        <w:noProof/>
        <w:color w:val="001E4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DF3" w:rsidRDefault="00D50DF3" w:rsidP="00FC3787">
      <w:pPr>
        <w:spacing w:after="0" w:line="240" w:lineRule="auto"/>
      </w:pPr>
      <w:r>
        <w:separator/>
      </w:r>
    </w:p>
  </w:footnote>
  <w:footnote w:type="continuationSeparator" w:id="0">
    <w:p w:rsidR="00D50DF3" w:rsidRDefault="00D50DF3" w:rsidP="00FC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DF3" w:rsidRDefault="00D50DF3" w:rsidP="00383781">
    <w:pPr>
      <w:pStyle w:val="Zhlav"/>
      <w:tabs>
        <w:tab w:val="clear" w:pos="4536"/>
        <w:tab w:val="clear" w:pos="9072"/>
        <w:tab w:val="center" w:pos="481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044000" cy="1004400"/>
          <wp:effectExtent l="0" t="0" r="3810" b="571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T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100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27E8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12289" type="#_x0000_t202" style="position:absolute;left:0;text-align:left;margin-left:188.15pt;margin-top:119.55pt;width:343.7pt;height:26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" filled="f" stroked="f" strokeweight=".5pt">
          <v:path arrowok="t"/>
          <v:textbox style="mso-next-textbox:#Textové pole 3" inset="1mm,0,0,0">
            <w:txbxContent>
              <w:p w:rsidR="00D50DF3" w:rsidRPr="00795566" w:rsidRDefault="00D50DF3" w:rsidP="00383781">
                <w:pPr>
                  <w:jc w:val="right"/>
                  <w:rPr>
                    <w:rFonts w:asciiTheme="minorHAnsi" w:hAnsiTheme="minorHAnsi"/>
                    <w:b/>
                    <w:caps/>
                    <w:color w:val="24273A"/>
                    <w:sz w:val="28"/>
                    <w:szCs w:val="27"/>
                  </w:rPr>
                </w:pPr>
                <w:r>
                  <w:rPr>
                    <w:rFonts w:asciiTheme="minorHAnsi" w:hAnsiTheme="minorHAnsi"/>
                    <w:b/>
                    <w:caps/>
                    <w:color w:val="24273A"/>
                    <w:sz w:val="28"/>
                    <w:szCs w:val="27"/>
                  </w:rPr>
                  <w:t>DODATEK Č. 1</w:t>
                </w:r>
              </w:p>
            </w:txbxContent>
          </v:textbox>
          <w10:wrap anchorx="page" anchory="page"/>
        </v:shape>
      </w:pict>
    </w:r>
    <w:r>
      <w:tab/>
    </w:r>
  </w:p>
  <w:p w:rsidR="00D50DF3" w:rsidRDefault="00D50DF3" w:rsidP="00383781"/>
  <w:p w:rsidR="00D50DF3" w:rsidRPr="000A0F5F" w:rsidRDefault="00D50DF3" w:rsidP="000A0F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03101"/>
    <w:multiLevelType w:val="multilevel"/>
    <w:tmpl w:val="A3DC9B58"/>
    <w:lvl w:ilvl="0">
      <w:start w:val="1"/>
      <w:numFmt w:val="ordinal"/>
      <w:pStyle w:val="3Text10b"/>
      <w:lvlText w:val="%1"/>
      <w:lvlJc w:val="right"/>
      <w:pPr>
        <w:tabs>
          <w:tab w:val="num" w:pos="360"/>
        </w:tabs>
        <w:ind w:left="360" w:hanging="76"/>
      </w:pPr>
      <w:rPr>
        <w:rFonts w:hint="default"/>
        <w:i w:val="0"/>
      </w:rPr>
    </w:lvl>
    <w:lvl w:ilvl="1">
      <w:start w:val="1"/>
      <w:numFmt w:val="decimal"/>
      <w:pStyle w:val="4Textvnoen10b"/>
      <w:lvlText w:val="%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C6A408D"/>
    <w:multiLevelType w:val="hybridMultilevel"/>
    <w:tmpl w:val="E2A22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01474"/>
    <w:multiLevelType w:val="hybridMultilevel"/>
    <w:tmpl w:val="36282DA2"/>
    <w:lvl w:ilvl="0" w:tplc="F46A158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4116"/>
    <w:multiLevelType w:val="multilevel"/>
    <w:tmpl w:val="E788F00A"/>
    <w:lvl w:ilvl="0">
      <w:start w:val="2"/>
      <w:numFmt w:val="decimal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CBC2878"/>
    <w:multiLevelType w:val="hybridMultilevel"/>
    <w:tmpl w:val="76DA0A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06D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A375F39"/>
    <w:multiLevelType w:val="multilevel"/>
    <w:tmpl w:val="8CE83B7C"/>
    <w:lvl w:ilvl="0">
      <w:start w:val="1"/>
      <w:numFmt w:val="ordinal"/>
      <w:lvlText w:val="%1"/>
      <w:lvlJc w:val="righ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8866EA"/>
    <w:multiLevelType w:val="multilevel"/>
    <w:tmpl w:val="DCC63988"/>
    <w:lvl w:ilvl="0">
      <w:start w:val="1"/>
      <w:numFmt w:val="upperRoman"/>
      <w:pStyle w:val="5slovannadpis"/>
      <w:suff w:val="nothing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drawingGridHorizontalSpacing w:val="80"/>
  <w:displayHorizontalDrawingGridEvery w:val="2"/>
  <w:displayVerticalDrawingGridEvery w:val="2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99D"/>
    <w:rsid w:val="00010BBC"/>
    <w:rsid w:val="00037178"/>
    <w:rsid w:val="00062E47"/>
    <w:rsid w:val="00076E7E"/>
    <w:rsid w:val="000834A5"/>
    <w:rsid w:val="000A0163"/>
    <w:rsid w:val="000A0F5F"/>
    <w:rsid w:val="000A282F"/>
    <w:rsid w:val="000A6D08"/>
    <w:rsid w:val="000B1E83"/>
    <w:rsid w:val="000C5165"/>
    <w:rsid w:val="000C714C"/>
    <w:rsid w:val="000D18F7"/>
    <w:rsid w:val="000D75FF"/>
    <w:rsid w:val="000D7A4D"/>
    <w:rsid w:val="00100361"/>
    <w:rsid w:val="00110FAF"/>
    <w:rsid w:val="001370C7"/>
    <w:rsid w:val="0014137C"/>
    <w:rsid w:val="0014650C"/>
    <w:rsid w:val="0015336A"/>
    <w:rsid w:val="00161F78"/>
    <w:rsid w:val="00170130"/>
    <w:rsid w:val="001832FD"/>
    <w:rsid w:val="001A6FD6"/>
    <w:rsid w:val="001B52BA"/>
    <w:rsid w:val="001F5C0A"/>
    <w:rsid w:val="00231F0E"/>
    <w:rsid w:val="0024429A"/>
    <w:rsid w:val="00253491"/>
    <w:rsid w:val="0026465D"/>
    <w:rsid w:val="002802ED"/>
    <w:rsid w:val="002A5C89"/>
    <w:rsid w:val="002A6B69"/>
    <w:rsid w:val="002C4A38"/>
    <w:rsid w:val="003069FE"/>
    <w:rsid w:val="00331931"/>
    <w:rsid w:val="0034648D"/>
    <w:rsid w:val="00360701"/>
    <w:rsid w:val="00383781"/>
    <w:rsid w:val="0039404B"/>
    <w:rsid w:val="003A2040"/>
    <w:rsid w:val="003A6D66"/>
    <w:rsid w:val="003A72EC"/>
    <w:rsid w:val="003B06E9"/>
    <w:rsid w:val="003E1232"/>
    <w:rsid w:val="004147EA"/>
    <w:rsid w:val="004308B4"/>
    <w:rsid w:val="00435000"/>
    <w:rsid w:val="004550A8"/>
    <w:rsid w:val="00461075"/>
    <w:rsid w:val="004914F2"/>
    <w:rsid w:val="004A5100"/>
    <w:rsid w:val="004D39C9"/>
    <w:rsid w:val="004E7BD3"/>
    <w:rsid w:val="004F57C8"/>
    <w:rsid w:val="0050021D"/>
    <w:rsid w:val="00503300"/>
    <w:rsid w:val="00504A44"/>
    <w:rsid w:val="00505A04"/>
    <w:rsid w:val="00526868"/>
    <w:rsid w:val="005479D6"/>
    <w:rsid w:val="005579FD"/>
    <w:rsid w:val="0058208F"/>
    <w:rsid w:val="005C00FE"/>
    <w:rsid w:val="005C491E"/>
    <w:rsid w:val="006127E8"/>
    <w:rsid w:val="00623DD9"/>
    <w:rsid w:val="00630632"/>
    <w:rsid w:val="00641B0E"/>
    <w:rsid w:val="00641FB1"/>
    <w:rsid w:val="00644E89"/>
    <w:rsid w:val="00660613"/>
    <w:rsid w:val="00667111"/>
    <w:rsid w:val="006810B0"/>
    <w:rsid w:val="00682AA1"/>
    <w:rsid w:val="0069734C"/>
    <w:rsid w:val="006D5873"/>
    <w:rsid w:val="00710196"/>
    <w:rsid w:val="00733FCF"/>
    <w:rsid w:val="00735CD6"/>
    <w:rsid w:val="00795566"/>
    <w:rsid w:val="007A3536"/>
    <w:rsid w:val="007C6129"/>
    <w:rsid w:val="007D17CF"/>
    <w:rsid w:val="00814477"/>
    <w:rsid w:val="00840670"/>
    <w:rsid w:val="008425BC"/>
    <w:rsid w:val="00853BD6"/>
    <w:rsid w:val="00872913"/>
    <w:rsid w:val="0087718E"/>
    <w:rsid w:val="00891F35"/>
    <w:rsid w:val="00895596"/>
    <w:rsid w:val="008C45CE"/>
    <w:rsid w:val="008C46A3"/>
    <w:rsid w:val="008C6A5B"/>
    <w:rsid w:val="008C7516"/>
    <w:rsid w:val="008E6DED"/>
    <w:rsid w:val="0091207F"/>
    <w:rsid w:val="00913EDC"/>
    <w:rsid w:val="00914101"/>
    <w:rsid w:val="00916B12"/>
    <w:rsid w:val="00956659"/>
    <w:rsid w:val="00961EB6"/>
    <w:rsid w:val="0096783B"/>
    <w:rsid w:val="009B6F74"/>
    <w:rsid w:val="009B7B77"/>
    <w:rsid w:val="009C021E"/>
    <w:rsid w:val="009E0621"/>
    <w:rsid w:val="00A34645"/>
    <w:rsid w:val="00A57F64"/>
    <w:rsid w:val="00A72A24"/>
    <w:rsid w:val="00A9216B"/>
    <w:rsid w:val="00AA4400"/>
    <w:rsid w:val="00AA69FE"/>
    <w:rsid w:val="00AA7A80"/>
    <w:rsid w:val="00AC7CF8"/>
    <w:rsid w:val="00AD237F"/>
    <w:rsid w:val="00AE1987"/>
    <w:rsid w:val="00AE73D6"/>
    <w:rsid w:val="00B02F83"/>
    <w:rsid w:val="00B13D09"/>
    <w:rsid w:val="00B3099D"/>
    <w:rsid w:val="00B400C9"/>
    <w:rsid w:val="00B563D8"/>
    <w:rsid w:val="00B67497"/>
    <w:rsid w:val="00B963B9"/>
    <w:rsid w:val="00BB4573"/>
    <w:rsid w:val="00BD4004"/>
    <w:rsid w:val="00BE237F"/>
    <w:rsid w:val="00BE333A"/>
    <w:rsid w:val="00C3127F"/>
    <w:rsid w:val="00C34553"/>
    <w:rsid w:val="00C725DD"/>
    <w:rsid w:val="00CA5A44"/>
    <w:rsid w:val="00CC01ED"/>
    <w:rsid w:val="00CD724D"/>
    <w:rsid w:val="00D07C07"/>
    <w:rsid w:val="00D32D7D"/>
    <w:rsid w:val="00D50DF3"/>
    <w:rsid w:val="00D57D87"/>
    <w:rsid w:val="00D67112"/>
    <w:rsid w:val="00D9251B"/>
    <w:rsid w:val="00DE19BB"/>
    <w:rsid w:val="00DF1988"/>
    <w:rsid w:val="00DF676D"/>
    <w:rsid w:val="00DF7F12"/>
    <w:rsid w:val="00E12E02"/>
    <w:rsid w:val="00E15BD5"/>
    <w:rsid w:val="00E32AF5"/>
    <w:rsid w:val="00E72BF0"/>
    <w:rsid w:val="00E755C1"/>
    <w:rsid w:val="00E83711"/>
    <w:rsid w:val="00EC18DF"/>
    <w:rsid w:val="00F05FF7"/>
    <w:rsid w:val="00F149AA"/>
    <w:rsid w:val="00F24AF3"/>
    <w:rsid w:val="00F65DFE"/>
    <w:rsid w:val="00F933E9"/>
    <w:rsid w:val="00FB2887"/>
    <w:rsid w:val="00FC3787"/>
    <w:rsid w:val="00FC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0F26C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16"/>
        <w:szCs w:val="16"/>
        <w:lang w:val="cs-CZ" w:eastAsia="en-US" w:bidi="ar-SA"/>
      </w:rPr>
    </w:rPrDefault>
    <w:pPrDefault>
      <w:pPr>
        <w:spacing w:after="3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9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7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787"/>
  </w:style>
  <w:style w:type="paragraph" w:styleId="Zpat">
    <w:name w:val="footer"/>
    <w:basedOn w:val="Normln"/>
    <w:link w:val="ZpatChar"/>
    <w:uiPriority w:val="99"/>
    <w:unhideWhenUsed/>
    <w:rsid w:val="00FC37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787"/>
  </w:style>
  <w:style w:type="paragraph" w:styleId="Textbubliny">
    <w:name w:val="Balloon Text"/>
    <w:basedOn w:val="Normln"/>
    <w:link w:val="TextbublinyChar"/>
    <w:uiPriority w:val="99"/>
    <w:semiHidden/>
    <w:unhideWhenUsed/>
    <w:rsid w:val="00A5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F64"/>
    <w:rPr>
      <w:rFonts w:ascii="Segoe UI" w:hAnsi="Segoe UI" w:cs="Segoe UI"/>
      <w:sz w:val="18"/>
      <w:szCs w:val="18"/>
    </w:rPr>
  </w:style>
  <w:style w:type="paragraph" w:customStyle="1" w:styleId="Normlnslovan">
    <w:name w:val="Normální číslovaný"/>
    <w:basedOn w:val="Normln"/>
    <w:qFormat/>
    <w:rsid w:val="000A0F5F"/>
    <w:pPr>
      <w:spacing w:before="360" w:after="120" w:line="240" w:lineRule="auto"/>
    </w:pPr>
    <w:rPr>
      <w:rFonts w:ascii="Calibri" w:eastAsia="SimSun" w:hAnsi="Calibri" w:cs="Times New Roman"/>
      <w:sz w:val="2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72EC"/>
    <w:pPr>
      <w:ind w:left="720"/>
      <w:contextualSpacing/>
    </w:pPr>
  </w:style>
  <w:style w:type="paragraph" w:customStyle="1" w:styleId="1nesltextvpravo">
    <w:name w:val="1. nečísl. text vpravo"/>
    <w:basedOn w:val="Normln"/>
    <w:qFormat/>
    <w:rsid w:val="00AA4400"/>
    <w:pPr>
      <w:spacing w:after="0" w:line="276" w:lineRule="auto"/>
      <w:jc w:val="right"/>
    </w:pPr>
    <w:rPr>
      <w:rFonts w:asciiTheme="minorHAnsi" w:hAnsiTheme="minorHAnsi"/>
      <w:sz w:val="22"/>
    </w:rPr>
  </w:style>
  <w:style w:type="character" w:styleId="Zstupntext">
    <w:name w:val="Placeholder Text"/>
    <w:basedOn w:val="Standardnpsmoodstavce"/>
    <w:uiPriority w:val="99"/>
    <w:semiHidden/>
    <w:rsid w:val="00BE333A"/>
    <w:rPr>
      <w:color w:val="808080"/>
    </w:rPr>
  </w:style>
  <w:style w:type="paragraph" w:customStyle="1" w:styleId="2Nesltextvlevo">
    <w:name w:val="2. Nečísl. text vlevo"/>
    <w:basedOn w:val="Normln"/>
    <w:qFormat/>
    <w:rsid w:val="00DE19BB"/>
    <w:pPr>
      <w:spacing w:after="200" w:line="276" w:lineRule="auto"/>
      <w:contextualSpacing/>
    </w:pPr>
    <w:rPr>
      <w:rFonts w:asciiTheme="minorHAnsi" w:hAnsiTheme="minorHAnsi"/>
      <w:sz w:val="22"/>
      <w:szCs w:val="22"/>
    </w:rPr>
  </w:style>
  <w:style w:type="paragraph" w:customStyle="1" w:styleId="3Text10b">
    <w:name w:val="3. Text 10 b."/>
    <w:basedOn w:val="Normlnslovan"/>
    <w:qFormat/>
    <w:rsid w:val="00A34645"/>
    <w:pPr>
      <w:numPr>
        <w:numId w:val="1"/>
      </w:numPr>
      <w:tabs>
        <w:tab w:val="clear" w:pos="360"/>
        <w:tab w:val="num" w:pos="0"/>
      </w:tabs>
      <w:spacing w:before="0" w:after="200" w:line="276" w:lineRule="auto"/>
      <w:ind w:left="0" w:hanging="284"/>
    </w:pPr>
    <w:rPr>
      <w:szCs w:val="22"/>
    </w:rPr>
  </w:style>
  <w:style w:type="paragraph" w:customStyle="1" w:styleId="6Podpis">
    <w:name w:val="6. Podpis"/>
    <w:basedOn w:val="Normln"/>
    <w:qFormat/>
    <w:rsid w:val="00435000"/>
    <w:pPr>
      <w:spacing w:before="800" w:after="0" w:line="276" w:lineRule="auto"/>
      <w:jc w:val="right"/>
    </w:pPr>
    <w:rPr>
      <w:rFonts w:asciiTheme="minorHAnsi" w:hAnsiTheme="minorHAnsi"/>
      <w:b/>
      <w:sz w:val="22"/>
      <w:szCs w:val="22"/>
    </w:rPr>
  </w:style>
  <w:style w:type="paragraph" w:customStyle="1" w:styleId="5slovannadpis">
    <w:name w:val="5. Číslovaný nadpis"/>
    <w:basedOn w:val="Odstavecseseznamem"/>
    <w:qFormat/>
    <w:rsid w:val="00DE19BB"/>
    <w:pPr>
      <w:keepNext/>
      <w:numPr>
        <w:numId w:val="2"/>
      </w:numPr>
      <w:tabs>
        <w:tab w:val="num" w:pos="0"/>
      </w:tabs>
      <w:spacing w:before="400" w:after="200" w:line="276" w:lineRule="auto"/>
      <w:ind w:left="0" w:firstLine="0"/>
      <w:jc w:val="center"/>
    </w:pPr>
    <w:rPr>
      <w:rFonts w:asciiTheme="minorHAnsi" w:eastAsia="SimSun" w:hAnsiTheme="minorHAnsi"/>
      <w:b/>
      <w:bCs/>
      <w:sz w:val="22"/>
      <w:szCs w:val="22"/>
    </w:rPr>
  </w:style>
  <w:style w:type="paragraph" w:customStyle="1" w:styleId="4Textvnoen10b">
    <w:name w:val="4. Text vnořený 10 b."/>
    <w:basedOn w:val="Normln"/>
    <w:qFormat/>
    <w:rsid w:val="00DE19BB"/>
    <w:pPr>
      <w:numPr>
        <w:ilvl w:val="1"/>
        <w:numId w:val="1"/>
      </w:numPr>
      <w:spacing w:after="200" w:line="276" w:lineRule="auto"/>
      <w:ind w:left="431" w:hanging="431"/>
    </w:pPr>
    <w:rPr>
      <w:rFonts w:ascii="Calibri" w:eastAsia="SimSun" w:hAnsi="Calibri" w:cs="Times New Roman"/>
      <w:sz w:val="22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AE1987"/>
    <w:pPr>
      <w:tabs>
        <w:tab w:val="left" w:pos="5103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1987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73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1F5C0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5C0A"/>
  </w:style>
  <w:style w:type="paragraph" w:styleId="Revize">
    <w:name w:val="Revision"/>
    <w:hidden/>
    <w:uiPriority w:val="99"/>
    <w:semiHidden/>
    <w:rsid w:val="00682AA1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CE882-FDFC-4947-BC46-33D967AD66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2409D3-BD3C-4CEC-8FF6-1DC95500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2019-03-18T09:18:00Z</dcterms:created>
  <dcterms:modified xsi:type="dcterms:W3CDTF">2019-04-12T07:52:00Z</dcterms:modified>
</cp:coreProperties>
</file>