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2E" w:rsidRDefault="00A967EB">
      <w:pPr>
        <w:pStyle w:val="Nzev"/>
        <w:rPr>
          <w:color w:val="000000"/>
          <w:sz w:val="28"/>
          <w:szCs w:val="28"/>
        </w:rPr>
      </w:pPr>
      <w:bookmarkStart w:id="0" w:name="_gjdgxs"/>
      <w:bookmarkEnd w:id="0"/>
      <w:r>
        <w:rPr>
          <w:color w:val="000000"/>
          <w:sz w:val="28"/>
          <w:szCs w:val="28"/>
        </w:rPr>
        <w:t xml:space="preserve">Smlouva o poskytování </w:t>
      </w:r>
      <w:proofErr w:type="spellStart"/>
      <w:r>
        <w:rPr>
          <w:color w:val="000000"/>
          <w:sz w:val="28"/>
          <w:szCs w:val="28"/>
        </w:rPr>
        <w:t>hostingu</w:t>
      </w:r>
      <w:proofErr w:type="spellEnd"/>
    </w:p>
    <w:p w:rsidR="00C3242E" w:rsidRDefault="00A967EB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Objednatel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Knihovna Kroměřížska - příspěvková organizace</w:t>
      </w:r>
    </w:p>
    <w:p w:rsidR="00C3242E" w:rsidRDefault="00A967EB">
      <w:pPr>
        <w:spacing w:after="0" w:line="240" w:lineRule="auto"/>
        <w:ind w:left="360" w:firstLine="36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Slovanské náměstí 3920/1, 76701, Kroměříž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00091120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„Objednatel“)</w:t>
      </w:r>
    </w:p>
    <w:p w:rsidR="00C3242E" w:rsidRDefault="00A967EB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  <w:r>
        <w:rPr>
          <w:rFonts w:ascii="Georgia" w:eastAsia="Georgia" w:hAnsi="Georgia" w:cs="Georgia"/>
          <w:sz w:val="20"/>
          <w:szCs w:val="20"/>
        </w:rPr>
        <w:t>a</w:t>
      </w:r>
    </w:p>
    <w:p w:rsidR="00C3242E" w:rsidRDefault="00C3242E">
      <w:pPr>
        <w:shd w:val="clear" w:color="auto" w:fill="FFFFFF"/>
        <w:spacing w:after="0" w:line="240" w:lineRule="auto"/>
        <w:rPr>
          <w:rFonts w:ascii="Georgia" w:eastAsia="Georgia" w:hAnsi="Georgia" w:cs="Georgia"/>
          <w:sz w:val="20"/>
          <w:szCs w:val="20"/>
        </w:rPr>
      </w:pPr>
    </w:p>
    <w:p w:rsidR="00C3242E" w:rsidRDefault="00A967EB">
      <w:pPr>
        <w:shd w:val="clear" w:color="auto" w:fill="FFFFFF"/>
        <w:spacing w:after="0" w:line="240" w:lineRule="auto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Poskytovatel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b/>
          <w:sz w:val="24"/>
          <w:szCs w:val="24"/>
        </w:rPr>
      </w:pPr>
      <w:proofErr w:type="spellStart"/>
      <w:r>
        <w:rPr>
          <w:rFonts w:ascii="Georgia" w:eastAsia="Georgia" w:hAnsi="Georgia" w:cs="Georgia"/>
          <w:b/>
          <w:sz w:val="24"/>
          <w:szCs w:val="24"/>
        </w:rPr>
        <w:t>Tritius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b/>
          <w:sz w:val="24"/>
          <w:szCs w:val="24"/>
        </w:rPr>
        <w:t>Solutions</w:t>
      </w:r>
      <w:proofErr w:type="spellEnd"/>
      <w:r>
        <w:rPr>
          <w:rFonts w:ascii="Georgia" w:eastAsia="Georgia" w:hAnsi="Georgia" w:cs="Georgia"/>
          <w:b/>
          <w:sz w:val="24"/>
          <w:szCs w:val="24"/>
        </w:rPr>
        <w:t xml:space="preserve"> a.s.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se sídlem Vodní 258/13, Brno 602 00, Pošta na: Jiráskova 1775, 390 02 Tábor 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IČ: 05700582, DIČ: CZ05700582</w:t>
      </w:r>
      <w:r>
        <w:rPr>
          <w:rFonts w:ascii="Georgia" w:eastAsia="Georgia" w:hAnsi="Georgia" w:cs="Georgia"/>
          <w:sz w:val="16"/>
          <w:szCs w:val="16"/>
        </w:rPr>
        <w:t xml:space="preserve"> (také MOSS identifikační číslo)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zastoupen </w:t>
      </w:r>
    </w:p>
    <w:p w:rsidR="00C3242E" w:rsidRDefault="00A967EB">
      <w:pPr>
        <w:shd w:val="clear" w:color="auto" w:fill="FFFFFF"/>
        <w:spacing w:after="0" w:line="240" w:lineRule="auto"/>
        <w:ind w:left="1428" w:hanging="708"/>
        <w:rPr>
          <w:rFonts w:ascii="Georgia" w:eastAsia="Georgia" w:hAnsi="Georgia" w:cs="Georgia"/>
          <w:i/>
          <w:sz w:val="20"/>
          <w:szCs w:val="20"/>
        </w:rPr>
      </w:pPr>
      <w:r>
        <w:rPr>
          <w:rFonts w:ascii="Georgia" w:eastAsia="Georgia" w:hAnsi="Georgia" w:cs="Georgia"/>
          <w:i/>
          <w:sz w:val="20"/>
          <w:szCs w:val="20"/>
        </w:rPr>
        <w:t>(dále jako „Poskytovatel“)</w:t>
      </w:r>
    </w:p>
    <w:p w:rsidR="00C3242E" w:rsidRDefault="00C3242E">
      <w:pPr>
        <w:shd w:val="clear" w:color="auto" w:fill="FFFFFF"/>
        <w:spacing w:after="0" w:line="240" w:lineRule="auto"/>
        <w:ind w:left="708"/>
        <w:rPr>
          <w:rFonts w:ascii="Georgia" w:eastAsia="Georgia" w:hAnsi="Georgia" w:cs="Georgia"/>
          <w:sz w:val="20"/>
          <w:szCs w:val="20"/>
        </w:rPr>
      </w:pPr>
    </w:p>
    <w:p w:rsidR="00C3242E" w:rsidRDefault="00A967EB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SMLUVNÍ STRANY UJEDNÁVAJÍ NÁSLEDUJÍCÍ:</w:t>
      </w:r>
    </w:p>
    <w:p w:rsidR="00C3242E" w:rsidRDefault="00C3242E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z w:val="20"/>
          <w:szCs w:val="20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  <w:shd w:val="clear" w:color="auto" w:fill="FFFFFF"/>
        </w:rPr>
        <w:t>Předmět smlouvy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Poskytovatel poskytne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bjednateli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hostingové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 služby formou provozu SW </w:t>
      </w:r>
      <w:proofErr w:type="spellStart"/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 (dále jen systém) na serverech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oskytovatele.</w:t>
      </w:r>
    </w:p>
    <w:p w:rsidR="00C3242E" w:rsidRDefault="00A967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se zavazuje vlastnit trvalou licenci systému v aktuální verzi a platit dohodnutou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:rsidR="00C3242E" w:rsidRDefault="00A967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Vlastní poskytnutí licence k systému tato smlouva neobsahuje.</w:t>
      </w:r>
    </w:p>
    <w:p w:rsidR="00C3242E" w:rsidRDefault="00C3242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sz w:val="22"/>
          <w:szCs w:val="22"/>
          <w:u w:val="single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  <w:u w:val="single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  <w:u w:val="single"/>
        </w:rPr>
        <w:t xml:space="preserve"> systému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Poskytovatel je povinen zpřístupnit </w:t>
      </w:r>
      <w:r>
        <w:rPr>
          <w:rFonts w:ascii="Georgia" w:eastAsia="Georgia" w:hAnsi="Georgia" w:cs="Georgia"/>
          <w:sz w:val="22"/>
          <w:szCs w:val="22"/>
        </w:rPr>
        <w:t xml:space="preserve">po dobu trvání této smlouvy 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systém přes webové rozhraní (protokol HTTPS) a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poskytnout za tímto účelem veškeré přístupové údaje k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sys</w:t>
      </w:r>
      <w:r>
        <w:rPr>
          <w:rFonts w:ascii="Georgia" w:eastAsia="Georgia" w:hAnsi="Georgia" w:cs="Georgia"/>
          <w:sz w:val="22"/>
          <w:szCs w:val="22"/>
        </w:rPr>
        <w:t xml:space="preserve">tému dle specifikace uvedené v příloze č. 1.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sz w:val="18"/>
          <w:szCs w:val="18"/>
          <w:highlight w:val="white"/>
        </w:rPr>
      </w:pP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Poskytovatel je oprávněn znepřístupnit systém v případě prodlení více než 21 dní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bjednatele s</w:t>
      </w:r>
      <w:r>
        <w:rPr>
          <w:rFonts w:ascii="Georgia" w:eastAsia="Georgia" w:hAnsi="Georgia" w:cs="Georgia"/>
          <w:sz w:val="22"/>
          <w:szCs w:val="22"/>
        </w:rPr>
        <w:t> 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úhradou finančních závazků vůči </w:t>
      </w:r>
      <w:r>
        <w:rPr>
          <w:rFonts w:ascii="Georgia" w:eastAsia="Georgia" w:hAnsi="Georgia" w:cs="Georgia"/>
          <w:sz w:val="22"/>
          <w:szCs w:val="22"/>
        </w:rPr>
        <w:t>p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oskytovateli nebo v případě hrubého porušení smluvních podmínek </w:t>
      </w:r>
      <w:r>
        <w:rPr>
          <w:rFonts w:ascii="Georgia" w:eastAsia="Georgia" w:hAnsi="Georgia" w:cs="Georgia"/>
          <w:sz w:val="22"/>
          <w:szCs w:val="22"/>
        </w:rPr>
        <w:t xml:space="preserve">objednatelem 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vyplývajících z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mlouvy a </w:t>
      </w:r>
      <w:r>
        <w:rPr>
          <w:rFonts w:ascii="Georgia" w:eastAsia="Georgia" w:hAnsi="Georgia" w:cs="Georgia"/>
          <w:sz w:val="22"/>
          <w:szCs w:val="22"/>
        </w:rPr>
        <w:t>jejích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 příloh.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 xml:space="preserve">Data objednatele budou umístěna na serverech poskytovatele.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Objednatel se zavazuje pravidelně, minimálně jednou měsíčně provádět zálohu dat na své technické zařízení </w:t>
      </w:r>
      <w:r>
        <w:rPr>
          <w:rFonts w:ascii="Georgia" w:eastAsia="Georgia" w:hAnsi="Georgia" w:cs="Georgia"/>
          <w:color w:val="000000"/>
          <w:sz w:val="22"/>
          <w:szCs w:val="22"/>
        </w:rPr>
        <w:lastRenderedPageBreak/>
        <w:t xml:space="preserve">za podmínek stanovených ve VOP. Poskytovatel nenese žádnou odpovědnost za ztrátu či změnu dat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bjednatele na zálohách na technickém zařízení </w:t>
      </w:r>
      <w:r>
        <w:rPr>
          <w:rFonts w:ascii="Georgia" w:eastAsia="Georgia" w:hAnsi="Georgia" w:cs="Georgia"/>
          <w:sz w:val="22"/>
          <w:szCs w:val="22"/>
        </w:rPr>
        <w:t>o</w:t>
      </w:r>
      <w:r>
        <w:rPr>
          <w:rFonts w:ascii="Georgia" w:eastAsia="Georgia" w:hAnsi="Georgia" w:cs="Georgia"/>
          <w:color w:val="000000"/>
          <w:sz w:val="22"/>
          <w:szCs w:val="22"/>
        </w:rPr>
        <w:t>bjednatele.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sz w:val="22"/>
          <w:szCs w:val="22"/>
        </w:rPr>
        <w:t>Další parametry poskytování služby upravují VOP.</w:t>
      </w:r>
    </w:p>
    <w:p w:rsidR="00C3242E" w:rsidRDefault="00C3242E">
      <w:pPr>
        <w:keepNext/>
        <w:widowControl/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Součinnost objednatele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sz w:val="22"/>
          <w:szCs w:val="22"/>
        </w:rPr>
        <w:t>Objednatel je povinen poskytnout potřebnou součinnost poskytovateli v souvislosti s plněním smlouvy dle VOP, zejména:</w:t>
      </w:r>
    </w:p>
    <w:p w:rsidR="00C3242E" w:rsidRDefault="00A967EB">
      <w:pPr>
        <w:keepNext/>
        <w:widowControl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sz w:val="22"/>
          <w:szCs w:val="22"/>
        </w:rPr>
        <w:t>Poskytování nezbytné technické a odborné součinnosti zejména při provozu na pracovních stanicích a jejich periferiích.</w:t>
      </w:r>
    </w:p>
    <w:p w:rsidR="00C3242E" w:rsidRDefault="00A967EB">
      <w:pPr>
        <w:keepNext/>
        <w:widowControl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sz w:val="22"/>
          <w:szCs w:val="22"/>
        </w:rPr>
        <w:t xml:space="preserve">Předávání požadovaných úprav systému, úprav a oprav konverzí dat ze stávajícího systému písemnou formou výhradně do </w:t>
      </w:r>
      <w:proofErr w:type="spellStart"/>
      <w:r>
        <w:rPr>
          <w:rFonts w:ascii="Georgia" w:eastAsia="Georgia" w:hAnsi="Georgia" w:cs="Georgia"/>
          <w:sz w:val="22"/>
          <w:szCs w:val="22"/>
        </w:rPr>
        <w:t>helpdesku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</w:pPr>
      <w:r>
        <w:rPr>
          <w:rFonts w:ascii="Georgia" w:eastAsia="Georgia" w:hAnsi="Georgia" w:cs="Georgia"/>
          <w:sz w:val="22"/>
          <w:szCs w:val="22"/>
        </w:rPr>
        <w:t xml:space="preserve">Objednatel je povinen plnit </w:t>
      </w:r>
      <w:hyperlink r:id="rId7">
        <w:r>
          <w:rPr>
            <w:rStyle w:val="Internetovodkaz"/>
            <w:rFonts w:ascii="Georgia" w:eastAsia="Georgia" w:hAnsi="Georgia" w:cs="Georgia"/>
            <w:color w:val="1155CC"/>
            <w:sz w:val="22"/>
            <w:szCs w:val="22"/>
          </w:rPr>
          <w:t xml:space="preserve">Technické požadavky na provoz systému </w:t>
        </w:r>
        <w:proofErr w:type="spellStart"/>
        <w:r>
          <w:rPr>
            <w:rStyle w:val="Internetovodkaz"/>
            <w:rFonts w:ascii="Georgia" w:eastAsia="Georgia" w:hAnsi="Georgia" w:cs="Georgia"/>
            <w:color w:val="1155CC"/>
            <w:sz w:val="22"/>
            <w:szCs w:val="22"/>
          </w:rPr>
          <w:t>Tritius</w:t>
        </w:r>
        <w:proofErr w:type="spellEnd"/>
        <w:r>
          <w:rPr>
            <w:rStyle w:val="Internetovodkaz"/>
            <w:rFonts w:ascii="Georgia" w:eastAsia="Georgia" w:hAnsi="Georgia" w:cs="Georgia"/>
            <w:color w:val="1155CC"/>
            <w:sz w:val="22"/>
            <w:szCs w:val="22"/>
          </w:rPr>
          <w:t xml:space="preserve"> jako služby</w:t>
        </w:r>
      </w:hyperlink>
      <w:r>
        <w:rPr>
          <w:rFonts w:ascii="Georgia" w:eastAsia="Georgia" w:hAnsi="Georgia" w:cs="Georgia"/>
          <w:sz w:val="22"/>
          <w:szCs w:val="22"/>
        </w:rPr>
        <w:t>, které jsou dostupné ve veřejné dokumentaci Tritia.</w:t>
      </w:r>
    </w:p>
    <w:p w:rsidR="00C3242E" w:rsidRDefault="00C3242E">
      <w:pPr>
        <w:keepNext/>
        <w:widowControl/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Servis systému a jeho údržba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pouze základní monitoring funkčnosti systému. Běžný mimozáruční servis systému není v ceně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a hradí se zvlášť na základě platného ceníku servisu, popřípadě dle servisní smlouvy uzavřené s poskytovatelem.</w:t>
      </w:r>
    </w:p>
    <w:p w:rsidR="00C3242E" w:rsidRDefault="00C3242E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Cena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upravena v příloze č. 1 -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Cena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je garantována prvních 12 měsíců od uzavření smlouvy (tj. období garantované ceny služby). 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Poskytovatel je oprávněn změnit cenu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systému po uplynutí tohoto období dle pravidel uvedených ve VOP.</w:t>
      </w:r>
    </w:p>
    <w:p w:rsidR="00C3242E" w:rsidRDefault="00C3242E">
      <w:pPr>
        <w:keepNext/>
        <w:widowControl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Platební podmínky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Objednatel uhradí plnění na základě faktur vystavených poskytovatelem čtvrtletně vždy v prvním měsíci čtvrtletí bankovním převodem na účet poskytovatele. 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Další platební podmínky jsou upraveny ve VOP.</w:t>
      </w:r>
    </w:p>
    <w:p w:rsidR="00C3242E" w:rsidRDefault="00C3242E">
      <w:pPr>
        <w:keepNext/>
        <w:widowControl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T</w:t>
      </w:r>
      <w:r>
        <w:rPr>
          <w:rFonts w:ascii="Georgia" w:eastAsia="Georgia" w:hAnsi="Georgia" w:cs="Georgia"/>
          <w:color w:val="000000"/>
          <w:sz w:val="22"/>
          <w:szCs w:val="22"/>
          <w:u w:val="single"/>
          <w:shd w:val="clear" w:color="auto" w:fill="FFFFFF"/>
        </w:rPr>
        <w:t>rvání a ukončení smlouvy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</w:rPr>
        <w:t>Smlouva se uzavírá na dobu neurčitou.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Smlouvu je možné ukončit:</w:t>
      </w:r>
    </w:p>
    <w:p w:rsidR="00C3242E" w:rsidRDefault="00A967EB">
      <w:pPr>
        <w:keepNext/>
        <w:widowControl/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písemnou dohodou smluvních stran;</w:t>
      </w:r>
    </w:p>
    <w:p w:rsidR="00C3242E" w:rsidRDefault="00A967E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písemnou výpovědí kterékoliv smluvní strany s výpovědní lhůtou 3 měsíce, která počíná běžet prvního dne následujícího měsíce po měsíci, ve kterém je výpověď doručena druhé smluvní straně;</w:t>
      </w:r>
    </w:p>
    <w:p w:rsidR="00C3242E" w:rsidRDefault="00A967E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změny ceny dle pravidel VOP;</w:t>
      </w:r>
    </w:p>
    <w:p w:rsidR="00C3242E" w:rsidRDefault="00A967E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odmítnutím nových VOP dle pravidel VOP;</w:t>
      </w:r>
    </w:p>
    <w:p w:rsidR="00C3242E" w:rsidRDefault="00A967EB">
      <w:pPr>
        <w:numPr>
          <w:ilvl w:val="2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odstoupením od smlouvy v případech podstatného porušení smlouvy dle VOP.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</w:rPr>
      </w:pPr>
      <w:r>
        <w:rPr>
          <w:rFonts w:ascii="Georgia" w:eastAsia="Georgia" w:hAnsi="Georgia" w:cs="Georgia"/>
          <w:sz w:val="22"/>
          <w:szCs w:val="22"/>
        </w:rPr>
        <w:t>Možnosti a formu předání dat systému zpět objednateli upravují VOP.</w:t>
      </w:r>
    </w:p>
    <w:p w:rsidR="00C3242E" w:rsidRDefault="00C3242E">
      <w:pPr>
        <w:keepNext/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keepNext/>
        <w:widowControl/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  <w:shd w:val="clear" w:color="auto" w:fill="FFFFFF"/>
        </w:rPr>
        <w:t>Zabezpečení ochrany osobních údajů</w:t>
      </w:r>
    </w:p>
    <w:p w:rsidR="00C3242E" w:rsidRDefault="00A967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je zpracovatelem osobních údajů a objednatel je správce osobních údajů ve smyslu zákona 101/2000 Sb. o ochraně osobních údajů a nařízení evropského parlamentu č. 2016/679 o ochraně osobních údajů fyzických osob (GDPR).</w:t>
      </w:r>
    </w:p>
    <w:p w:rsidR="00C3242E" w:rsidRDefault="00A967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Zhotovitel garantuje soulad zpracování osobních údajů s</w:t>
      </w:r>
      <w:r>
        <w:t> </w:t>
      </w:r>
      <w:r>
        <w:rPr>
          <w:rFonts w:ascii="Georgia" w:eastAsia="Georgia" w:hAnsi="Georgia" w:cs="Georgia"/>
          <w:sz w:val="22"/>
          <w:szCs w:val="22"/>
        </w:rPr>
        <w:t>platnou legislativou v rámci jeho poskytovaných služeb a funkcí systému. Podrobněji upraveno ve VOP.</w:t>
      </w:r>
    </w:p>
    <w:p w:rsidR="00C3242E" w:rsidRDefault="00C3242E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  <w:u w:val="single"/>
        </w:rPr>
        <w:t>Důvěrné informace</w:t>
      </w:r>
    </w:p>
    <w:p w:rsidR="00C3242E" w:rsidRDefault="00A967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Smluvní strany se vzájemně zavazují zachovávat mlčenlivost o všech podstatných skutečnostech získaných při své činnosti vyplývající ze smlouvy a VOP, a to zejména o skutečnostech, které tvoří jejich obchodní tajemství a důvěrné informace, vyjma povinného poskytování informací dle platných právních norem.</w:t>
      </w:r>
    </w:p>
    <w:p w:rsidR="00C3242E" w:rsidRDefault="00A967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t>Za důvěrné informace smluvní strany považují ty skutečnosti provozní či obchodní povahy, které se kterákoli smluvní strana dozví v souvislosti s činností dle této smlouvy, které nejsou veřejně dostupné. Podrobněji upraveno ve VOP.</w:t>
      </w:r>
      <w:r>
        <w:br w:type="page"/>
      </w:r>
    </w:p>
    <w:p w:rsidR="00C3242E" w:rsidRDefault="00A967EB">
      <w:pPr>
        <w:shd w:val="clear" w:color="auto" w:fill="FFFFFF"/>
        <w:spacing w:after="0" w:line="240" w:lineRule="auto"/>
        <w:ind w:left="792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lastRenderedPageBreak/>
        <w:br/>
      </w:r>
    </w:p>
    <w:p w:rsidR="00C3242E" w:rsidRDefault="00A967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color w:val="000000"/>
          <w:sz w:val="22"/>
          <w:szCs w:val="22"/>
          <w:u w:val="single"/>
          <w:shd w:val="clear" w:color="auto" w:fill="FFFFFF"/>
        </w:rPr>
        <w:t>Další ujednání</w:t>
      </w:r>
    </w:p>
    <w:p w:rsidR="00C3242E" w:rsidRDefault="00A967E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se řídí právním řádem České republiky, zejména podle ustanovení § 2586 a násl. zákona č. 89/2012 Sb., občanského zákoníku.</w:t>
      </w:r>
    </w:p>
    <w:p w:rsidR="00C3242E" w:rsidRDefault="00A967E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Poskytování </w:t>
      </w:r>
      <w:proofErr w:type="spellStart"/>
      <w:r>
        <w:rPr>
          <w:rFonts w:ascii="Georgia" w:eastAsia="Georgia" w:hAnsi="Georgia" w:cs="Georgia"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sz w:val="22"/>
          <w:szCs w:val="22"/>
        </w:rPr>
        <w:t xml:space="preserve"> se dále řídí aktuálními Všeobecnými obchodními podmínkami dostupnými na webu poskytovatele, které jsou v současném znění také přiloženy k této smlouvě jako příloha č. 2 -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.</w:t>
      </w:r>
    </w:p>
    <w:p w:rsidR="00C3242E" w:rsidRDefault="00A967E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Nedílnou součástí této smlouvy jsou:</w:t>
      </w:r>
    </w:p>
    <w:p w:rsidR="00C3242E" w:rsidRDefault="00A967EB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1 – </w:t>
      </w:r>
      <w:r>
        <w:rPr>
          <w:rFonts w:ascii="Georgia" w:eastAsia="Georgia" w:hAnsi="Georgia" w:cs="Georgia"/>
          <w:i/>
          <w:sz w:val="22"/>
          <w:szCs w:val="22"/>
        </w:rPr>
        <w:t xml:space="preserve">Specifikace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hostingu</w:t>
      </w:r>
      <w:proofErr w:type="spellEnd"/>
      <w:r>
        <w:rPr>
          <w:rFonts w:ascii="Georgia" w:eastAsia="Georgia" w:hAnsi="Georgia" w:cs="Georgia"/>
          <w:i/>
          <w:sz w:val="22"/>
          <w:szCs w:val="22"/>
        </w:rPr>
        <w:t xml:space="preserve"> SW </w:t>
      </w:r>
      <w:proofErr w:type="spellStart"/>
      <w:r>
        <w:rPr>
          <w:rFonts w:ascii="Georgia" w:eastAsia="Georgia" w:hAnsi="Georgia" w:cs="Georgia"/>
          <w:i/>
          <w:sz w:val="22"/>
          <w:szCs w:val="22"/>
        </w:rPr>
        <w:t>Tritius</w:t>
      </w:r>
      <w:proofErr w:type="spellEnd"/>
      <w:r>
        <w:rPr>
          <w:rFonts w:ascii="Georgia" w:eastAsia="Georgia" w:hAnsi="Georgia" w:cs="Georgia"/>
          <w:sz w:val="22"/>
          <w:szCs w:val="22"/>
        </w:rPr>
        <w:t>;</w:t>
      </w:r>
    </w:p>
    <w:p w:rsidR="00C3242E" w:rsidRDefault="00A967EB">
      <w:pPr>
        <w:keepNext/>
        <w:numPr>
          <w:ilvl w:val="2"/>
          <w:numId w:val="1"/>
        </w:numPr>
        <w:shd w:val="clear" w:color="auto" w:fill="FFFFFF"/>
        <w:spacing w:after="0" w:line="240" w:lineRule="auto"/>
        <w:ind w:hanging="373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Příloha č. 2 – </w:t>
      </w:r>
      <w:r>
        <w:rPr>
          <w:rFonts w:ascii="Georgia" w:eastAsia="Georgia" w:hAnsi="Georgia" w:cs="Georgia"/>
          <w:i/>
          <w:sz w:val="22"/>
          <w:szCs w:val="22"/>
        </w:rPr>
        <w:t>Všeobecné obchodní podmínky</w:t>
      </w:r>
      <w:r>
        <w:rPr>
          <w:rFonts w:ascii="Georgia" w:eastAsia="Georgia" w:hAnsi="Georgia" w:cs="Georgia"/>
          <w:sz w:val="22"/>
          <w:szCs w:val="22"/>
        </w:rPr>
        <w:t>;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mlouva může být měněna pouze písemnými dodatky podepsanými všemi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>mluvními stranami.</w:t>
      </w:r>
    </w:p>
    <w:p w:rsidR="00C3242E" w:rsidRDefault="00A967EB">
      <w:pPr>
        <w:keepNext/>
        <w:widowControl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  <w:color w:val="000000"/>
          <w:highlight w:val="white"/>
        </w:rPr>
      </w:pP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Tato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mlouva je vyhotovena ve 2 stejnopisech. Každá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  <w:shd w:val="clear" w:color="auto" w:fill="FFFFFF"/>
        </w:rPr>
        <w:t xml:space="preserve">mluvní strana obdrží </w:t>
      </w:r>
      <w:r>
        <w:rPr>
          <w:rFonts w:ascii="Georgia" w:eastAsia="Georgia" w:hAnsi="Georgia" w:cs="Georgia"/>
          <w:color w:val="000000"/>
          <w:sz w:val="22"/>
          <w:szCs w:val="22"/>
        </w:rPr>
        <w:t xml:space="preserve">1 stejnopis této </w:t>
      </w:r>
      <w:r>
        <w:rPr>
          <w:rFonts w:ascii="Georgia" w:eastAsia="Georgia" w:hAnsi="Georgia" w:cs="Georgia"/>
          <w:sz w:val="22"/>
          <w:szCs w:val="22"/>
        </w:rPr>
        <w:t>s</w:t>
      </w:r>
      <w:r>
        <w:rPr>
          <w:rFonts w:ascii="Georgia" w:eastAsia="Georgia" w:hAnsi="Georgia" w:cs="Georgia"/>
          <w:color w:val="000000"/>
          <w:sz w:val="22"/>
          <w:szCs w:val="22"/>
        </w:rPr>
        <w:t>mlouvy.</w:t>
      </w:r>
    </w:p>
    <w:p w:rsidR="00C3242E" w:rsidRDefault="00A967EB">
      <w:pPr>
        <w:keepNext/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 xml:space="preserve">Smluvní strany prohlašují, že souhlasí s uveřejněním této smlouvy i příp. jejích dodatků v registru smluv dle zákona č. 340/2015 Sb.    </w:t>
      </w:r>
    </w:p>
    <w:p w:rsidR="00C3242E" w:rsidRDefault="00A967EB">
      <w:pPr>
        <w:numPr>
          <w:ilvl w:val="1"/>
          <w:numId w:val="1"/>
        </w:numPr>
        <w:shd w:val="clear" w:color="auto" w:fill="FFFFFF"/>
        <w:spacing w:after="0" w:line="240" w:lineRule="auto"/>
        <w:rPr>
          <w:rFonts w:ascii="Georgia" w:eastAsia="Georgia" w:hAnsi="Georgia" w:cs="Georgia"/>
        </w:rPr>
      </w:pPr>
      <w:r>
        <w:rPr>
          <w:rFonts w:ascii="Georgia" w:eastAsia="Georgia" w:hAnsi="Georgia" w:cs="Georgia"/>
          <w:sz w:val="22"/>
          <w:szCs w:val="22"/>
        </w:rPr>
        <w:t>Tato smlouva nabývá platnosti dnem podpisu obou zúčastněných stran a účinnosti okamžikem zveřejnění v registru smluv dle zákona č. 340/2015 Sb.</w:t>
      </w:r>
    </w:p>
    <w:p w:rsidR="00C3242E" w:rsidRDefault="00C3242E">
      <w:pPr>
        <w:shd w:val="clear" w:color="auto" w:fill="FFFFFF"/>
        <w:spacing w:after="0" w:line="240" w:lineRule="auto"/>
        <w:rPr>
          <w:rFonts w:ascii="Georgia" w:eastAsia="Georgia" w:hAnsi="Georgia" w:cs="Georgia"/>
          <w:sz w:val="22"/>
          <w:szCs w:val="22"/>
        </w:rPr>
      </w:pPr>
    </w:p>
    <w:p w:rsidR="00C3242E" w:rsidRDefault="00C3242E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C3242E" w:rsidRDefault="00C3242E">
      <w:pPr>
        <w:ind w:firstLine="720"/>
        <w:rPr>
          <w:rFonts w:ascii="Georgia" w:eastAsia="Georgia" w:hAnsi="Georgia" w:cs="Georgia"/>
          <w:sz w:val="22"/>
          <w:szCs w:val="22"/>
        </w:rPr>
      </w:pPr>
    </w:p>
    <w:p w:rsidR="00C3242E" w:rsidRDefault="00A967EB">
      <w:pPr>
        <w:ind w:firstLine="720"/>
      </w:pPr>
      <w:r>
        <w:rPr>
          <w:rFonts w:ascii="Georgia" w:eastAsia="Georgia" w:hAnsi="Georgia" w:cs="Georgia"/>
          <w:sz w:val="22"/>
          <w:szCs w:val="22"/>
        </w:rPr>
        <w:t>V Brně dne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 xml:space="preserve">V  Kroměříži   dne </w:t>
      </w:r>
      <w:proofErr w:type="gramStart"/>
      <w:r>
        <w:rPr>
          <w:rFonts w:ascii="Georgia" w:eastAsia="Georgia" w:hAnsi="Georgia" w:cs="Georgia"/>
          <w:sz w:val="22"/>
          <w:szCs w:val="22"/>
        </w:rPr>
        <w:t>26.3.2019</w:t>
      </w:r>
      <w:proofErr w:type="gramEnd"/>
      <w:r>
        <w:rPr>
          <w:rFonts w:ascii="Georgia" w:eastAsia="Georgia" w:hAnsi="Georgia" w:cs="Georgia"/>
          <w:sz w:val="22"/>
          <w:szCs w:val="22"/>
        </w:rPr>
        <w:t xml:space="preserve"> </w:t>
      </w:r>
    </w:p>
    <w:p w:rsidR="00C3242E" w:rsidRDefault="00A967EB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------</w:t>
      </w:r>
      <w:r w:rsidR="00287C16">
        <w:rPr>
          <w:rFonts w:ascii="Georgia" w:eastAsia="Georgia" w:hAnsi="Georgia" w:cs="Georgia"/>
          <w:sz w:val="22"/>
          <w:szCs w:val="22"/>
        </w:rPr>
        <w:t xml:space="preserve"> </w:t>
      </w:r>
      <w:r>
        <w:rPr>
          <w:rFonts w:ascii="Georgia" w:eastAsia="Georgia" w:hAnsi="Georgia" w:cs="Georgia"/>
          <w:sz w:val="22"/>
          <w:szCs w:val="22"/>
        </w:rPr>
        <w:t>----------------------------</w:t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  <w:t>-----------------------------------</w:t>
      </w:r>
    </w:p>
    <w:p w:rsidR="00287C16" w:rsidRDefault="00287C16">
      <w:pPr>
        <w:ind w:firstLine="720"/>
        <w:rPr>
          <w:rFonts w:ascii="Georgia" w:eastAsia="Georgia" w:hAnsi="Georgia" w:cs="Georgia"/>
          <w:sz w:val="22"/>
          <w:szCs w:val="22"/>
        </w:rPr>
      </w:pPr>
      <w:r>
        <w:rPr>
          <w:rFonts w:ascii="Georgia" w:eastAsia="Georgia" w:hAnsi="Georgia" w:cs="Georgia"/>
          <w:sz w:val="22"/>
          <w:szCs w:val="22"/>
        </w:rPr>
        <w:t>Poskytovatel                                                                            O</w:t>
      </w:r>
      <w:bookmarkStart w:id="1" w:name="_GoBack"/>
      <w:bookmarkEnd w:id="1"/>
      <w:r>
        <w:rPr>
          <w:rFonts w:ascii="Georgia" w:eastAsia="Georgia" w:hAnsi="Georgia" w:cs="Georgia"/>
          <w:sz w:val="22"/>
          <w:szCs w:val="22"/>
        </w:rPr>
        <w:t>bjednatel</w:t>
      </w:r>
    </w:p>
    <w:p w:rsidR="00287C16" w:rsidRDefault="00287C16">
      <w:pPr>
        <w:ind w:firstLine="720"/>
      </w:pPr>
    </w:p>
    <w:p w:rsidR="00C3242E" w:rsidRDefault="00A967EB">
      <w:pPr>
        <w:spacing w:after="0" w:line="240" w:lineRule="auto"/>
        <w:ind w:firstLine="720"/>
      </w:pP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  <w:r>
        <w:rPr>
          <w:rFonts w:ascii="Georgia" w:eastAsia="Georgia" w:hAnsi="Georgia" w:cs="Georgia"/>
          <w:i/>
          <w:sz w:val="22"/>
          <w:szCs w:val="22"/>
        </w:rPr>
        <w:tab/>
      </w:r>
    </w:p>
    <w:sectPr w:rsidR="00C3242E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5FD" w:rsidRDefault="00BE15FD">
      <w:pPr>
        <w:spacing w:after="0" w:line="240" w:lineRule="auto"/>
      </w:pPr>
      <w:r>
        <w:separator/>
      </w:r>
    </w:p>
  </w:endnote>
  <w:endnote w:type="continuationSeparator" w:id="0">
    <w:p w:rsidR="00BE15FD" w:rsidRDefault="00BE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2E" w:rsidRDefault="00A967EB">
    <w:pPr>
      <w:keepNext/>
      <w:widowControl/>
      <w:tabs>
        <w:tab w:val="center" w:pos="4536"/>
        <w:tab w:val="right" w:pos="9072"/>
      </w:tabs>
      <w:spacing w:after="0" w:line="240" w:lineRule="auto"/>
      <w:jc w:val="right"/>
    </w:pPr>
    <w:r>
      <w:fldChar w:fldCharType="begin"/>
    </w:r>
    <w:r>
      <w:instrText>PAGE</w:instrText>
    </w:r>
    <w:r>
      <w:fldChar w:fldCharType="separate"/>
    </w:r>
    <w:r w:rsidR="00287C16">
      <w:rPr>
        <w:noProof/>
      </w:rPr>
      <w:t>4</w:t>
    </w:r>
    <w:r>
      <w:fldChar w:fldCharType="end"/>
    </w:r>
  </w:p>
  <w:p w:rsidR="00C3242E" w:rsidRDefault="00C3242E">
    <w:pPr>
      <w:keepNext/>
      <w:widowControl/>
      <w:tabs>
        <w:tab w:val="center" w:pos="4536"/>
        <w:tab w:val="right" w:pos="9072"/>
      </w:tabs>
      <w:spacing w:after="0" w:line="240" w:lineRule="auto"/>
      <w:rPr>
        <w:color w:val="000000"/>
        <w:shd w:val="clear" w:color="auto" w:fill="FFFF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5FD" w:rsidRDefault="00BE15FD">
      <w:pPr>
        <w:spacing w:after="0" w:line="240" w:lineRule="auto"/>
      </w:pPr>
      <w:r>
        <w:separator/>
      </w:r>
    </w:p>
  </w:footnote>
  <w:footnote w:type="continuationSeparator" w:id="0">
    <w:p w:rsidR="00BE15FD" w:rsidRDefault="00BE1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42E" w:rsidRDefault="00A967EB">
    <w:pPr>
      <w:keepNext/>
      <w:widowControl/>
      <w:tabs>
        <w:tab w:val="center" w:pos="4536"/>
        <w:tab w:val="right" w:pos="9072"/>
      </w:tabs>
      <w:spacing w:after="0" w:line="240" w:lineRule="auto"/>
      <w:jc w:val="right"/>
      <w:rPr>
        <w:color w:val="000000"/>
        <w:sz w:val="16"/>
        <w:szCs w:val="16"/>
        <w:highlight w:val="white"/>
      </w:rPr>
    </w:pPr>
    <w:r>
      <w:rPr>
        <w:color w:val="000000"/>
        <w:sz w:val="16"/>
        <w:szCs w:val="16"/>
        <w:shd w:val="clear" w:color="auto" w:fill="FFFFFF"/>
      </w:rPr>
      <w:t xml:space="preserve">SH-C-CZ – Smlouva o poskytování </w:t>
    </w:r>
    <w:proofErr w:type="spellStart"/>
    <w:r>
      <w:rPr>
        <w:color w:val="000000"/>
        <w:sz w:val="16"/>
        <w:szCs w:val="16"/>
        <w:shd w:val="clear" w:color="auto" w:fill="FFFFFF"/>
      </w:rPr>
      <w:t>hostingu</w:t>
    </w:r>
    <w:proofErr w:type="spellEnd"/>
    <w:r>
      <w:rPr>
        <w:color w:val="000000"/>
        <w:sz w:val="16"/>
        <w:szCs w:val="16"/>
        <w:shd w:val="clear" w:color="auto" w:fill="FFFFFF"/>
      </w:rPr>
      <w:t xml:space="preserve"> - 2018081</w:t>
    </w:r>
    <w:r>
      <w:rPr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C7555"/>
    <w:multiLevelType w:val="multilevel"/>
    <w:tmpl w:val="078E3E3A"/>
    <w:lvl w:ilvl="0">
      <w:start w:val="1"/>
      <w:numFmt w:val="decimal"/>
      <w:lvlText w:val="%1."/>
      <w:lvlJc w:val="left"/>
      <w:pPr>
        <w:ind w:left="360" w:hanging="360"/>
      </w:pPr>
      <w:rPr>
        <w:rFonts w:ascii="Georgia" w:hAnsi="Georgia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Georgia" w:hAnsi="Georgia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Georgia" w:hAnsi="Georgia"/>
        <w:b w:val="0"/>
        <w:sz w:val="18"/>
        <w:szCs w:val="18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sz w:val="18"/>
        <w:szCs w:val="18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72495F"/>
    <w:multiLevelType w:val="multilevel"/>
    <w:tmpl w:val="FF10B1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42E"/>
    <w:rsid w:val="00287C16"/>
    <w:rsid w:val="00A967EB"/>
    <w:rsid w:val="00BE15FD"/>
    <w:rsid w:val="00C3242E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41F1-D56C-45F0-9A10-870FFF3D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1"/>
        <w:szCs w:val="21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pacing w:after="160" w:line="300" w:lineRule="auto"/>
    </w:pPr>
  </w:style>
  <w:style w:type="paragraph" w:styleId="Nadpis1">
    <w:name w:val="heading 1"/>
    <w:basedOn w:val="LO-normal"/>
    <w:next w:val="Normln"/>
    <w:qFormat/>
    <w:pPr>
      <w:keepNext/>
      <w:keepLines/>
      <w:spacing w:before="320" w:after="80"/>
      <w:jc w:val="center"/>
      <w:outlineLvl w:val="0"/>
    </w:pPr>
    <w:rPr>
      <w:color w:val="2E75B5"/>
      <w:sz w:val="40"/>
      <w:szCs w:val="40"/>
    </w:rPr>
  </w:style>
  <w:style w:type="paragraph" w:styleId="Nadpis2">
    <w:name w:val="heading 2"/>
    <w:basedOn w:val="LO-normal"/>
    <w:next w:val="Normln"/>
    <w:qFormat/>
    <w:pPr>
      <w:keepNext/>
      <w:keepLines/>
      <w:spacing w:before="160" w:after="40"/>
      <w:jc w:val="center"/>
      <w:outlineLvl w:val="1"/>
    </w:pPr>
    <w:rPr>
      <w:sz w:val="32"/>
      <w:szCs w:val="32"/>
    </w:rPr>
  </w:style>
  <w:style w:type="paragraph" w:styleId="Nadpis3">
    <w:name w:val="heading 3"/>
    <w:basedOn w:val="LO-normal"/>
    <w:next w:val="Normln"/>
    <w:qFormat/>
    <w:pPr>
      <w:keepNext/>
      <w:keepLines/>
      <w:spacing w:before="160"/>
      <w:outlineLvl w:val="2"/>
    </w:pPr>
    <w:rPr>
      <w:sz w:val="32"/>
      <w:szCs w:val="32"/>
    </w:rPr>
  </w:style>
  <w:style w:type="paragraph" w:styleId="Nadpis4">
    <w:name w:val="heading 4"/>
    <w:basedOn w:val="LO-normal"/>
    <w:next w:val="Normln"/>
    <w:qFormat/>
    <w:pPr>
      <w:keepNext/>
      <w:keepLines/>
      <w:spacing w:before="80"/>
      <w:outlineLvl w:val="3"/>
    </w:pPr>
    <w:rPr>
      <w:i/>
      <w:sz w:val="30"/>
      <w:szCs w:val="30"/>
    </w:rPr>
  </w:style>
  <w:style w:type="paragraph" w:styleId="Nadpis5">
    <w:name w:val="heading 5"/>
    <w:basedOn w:val="LO-normal"/>
    <w:next w:val="Normln"/>
    <w:qFormat/>
    <w:pPr>
      <w:keepNext/>
      <w:keepLines/>
      <w:spacing w:before="40"/>
      <w:outlineLvl w:val="4"/>
    </w:pPr>
    <w:rPr>
      <w:sz w:val="28"/>
      <w:szCs w:val="28"/>
    </w:rPr>
  </w:style>
  <w:style w:type="paragraph" w:styleId="Nadpis6">
    <w:name w:val="heading 6"/>
    <w:basedOn w:val="LO-normal"/>
    <w:next w:val="Normln"/>
    <w:qFormat/>
    <w:pPr>
      <w:keepNext/>
      <w:keepLines/>
      <w:spacing w:before="40"/>
      <w:outlineLvl w:val="5"/>
    </w:pPr>
    <w:rPr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Georgia" w:hAnsi="Georgia"/>
      <w:b w:val="0"/>
      <w:sz w:val="24"/>
      <w:szCs w:val="24"/>
    </w:rPr>
  </w:style>
  <w:style w:type="character" w:customStyle="1" w:styleId="ListLabel2">
    <w:name w:val="ListLabel 2"/>
    <w:qFormat/>
    <w:rPr>
      <w:rFonts w:ascii="Georgia" w:hAnsi="Georgia"/>
      <w:b w:val="0"/>
      <w:sz w:val="18"/>
      <w:szCs w:val="18"/>
    </w:rPr>
  </w:style>
  <w:style w:type="character" w:customStyle="1" w:styleId="ListLabel3">
    <w:name w:val="ListLabel 3"/>
    <w:qFormat/>
    <w:rPr>
      <w:rFonts w:ascii="Georgia" w:hAnsi="Georgia"/>
      <w:b w:val="0"/>
      <w:sz w:val="18"/>
      <w:szCs w:val="18"/>
    </w:rPr>
  </w:style>
  <w:style w:type="character" w:customStyle="1" w:styleId="ListLabel4">
    <w:name w:val="ListLabel 4"/>
    <w:qFormat/>
    <w:rPr>
      <w:sz w:val="18"/>
      <w:szCs w:val="18"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LO-normal">
    <w:name w:val="LO-normal"/>
    <w:qFormat/>
  </w:style>
  <w:style w:type="paragraph" w:styleId="Nzev">
    <w:name w:val="Title"/>
    <w:basedOn w:val="LO-normal"/>
    <w:next w:val="Normln"/>
    <w:qFormat/>
    <w:pPr>
      <w:pBdr>
        <w:top w:val="single" w:sz="6" w:space="8" w:color="A5A5A5"/>
        <w:bottom w:val="single" w:sz="6" w:space="8" w:color="A5A5A5"/>
      </w:pBdr>
      <w:spacing w:after="400"/>
      <w:jc w:val="center"/>
    </w:pPr>
    <w:rPr>
      <w:smallCaps/>
      <w:color w:val="44546A"/>
      <w:sz w:val="72"/>
      <w:szCs w:val="72"/>
    </w:rPr>
  </w:style>
  <w:style w:type="paragraph" w:styleId="Podtitul">
    <w:name w:val="Subtitle"/>
    <w:basedOn w:val="LO-normal"/>
    <w:next w:val="Normln"/>
    <w:qFormat/>
    <w:pPr>
      <w:jc w:val="center"/>
    </w:pPr>
    <w:rPr>
      <w:color w:val="44546A"/>
      <w:sz w:val="28"/>
      <w:szCs w:val="2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fluence.tritius.cz/pages/viewpage.action?pageId=764813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teperova</dc:creator>
  <dc:description/>
  <cp:lastModifiedBy>teperova</cp:lastModifiedBy>
  <cp:revision>4</cp:revision>
  <cp:lastPrinted>2019-03-26T07:32:00Z</cp:lastPrinted>
  <dcterms:created xsi:type="dcterms:W3CDTF">2019-04-12T12:21:00Z</dcterms:created>
  <dcterms:modified xsi:type="dcterms:W3CDTF">2019-04-12T12:24:00Z</dcterms:modified>
  <dc:language>cs-CZ</dc:language>
</cp:coreProperties>
</file>