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8" w:rsidRDefault="007F4979" w:rsidP="0019378D">
      <w:pPr>
        <w:pStyle w:val="Styl11"/>
        <w:rPr>
          <w:b/>
          <w:sz w:val="24"/>
          <w:szCs w:val="24"/>
        </w:rPr>
      </w:pPr>
      <w:bookmarkStart w:id="0" w:name="_GoBack"/>
      <w:bookmarkEnd w:id="0"/>
      <w:r w:rsidRPr="007F4979">
        <w:rPr>
          <w:b/>
          <w:sz w:val="24"/>
          <w:szCs w:val="24"/>
        </w:rPr>
        <w:t xml:space="preserve">Příloha č. </w:t>
      </w:r>
      <w:r w:rsidR="00E861C3">
        <w:rPr>
          <w:b/>
          <w:sz w:val="24"/>
          <w:szCs w:val="24"/>
        </w:rPr>
        <w:t>2</w:t>
      </w:r>
      <w:r w:rsidR="00E861C3" w:rsidRPr="007F4979">
        <w:rPr>
          <w:b/>
          <w:sz w:val="24"/>
          <w:szCs w:val="24"/>
        </w:rPr>
        <w:t xml:space="preserve"> </w:t>
      </w:r>
      <w:r w:rsidR="00E861C3">
        <w:rPr>
          <w:b/>
          <w:sz w:val="24"/>
          <w:szCs w:val="24"/>
        </w:rPr>
        <w:t xml:space="preserve">Smlouvy </w:t>
      </w:r>
      <w:r w:rsidR="00791FDE">
        <w:rPr>
          <w:b/>
          <w:sz w:val="24"/>
          <w:szCs w:val="24"/>
        </w:rPr>
        <w:t xml:space="preserve">– Environmentální požadavky </w:t>
      </w:r>
    </w:p>
    <w:p w:rsidR="00F56E48" w:rsidRPr="002C7298" w:rsidRDefault="00F56E48" w:rsidP="0019378D">
      <w:pPr>
        <w:pStyle w:val="Styl11"/>
        <w:rPr>
          <w:b/>
          <w:sz w:val="24"/>
          <w:szCs w:val="24"/>
        </w:rPr>
      </w:pPr>
      <w:r w:rsidRPr="002C7298">
        <w:rPr>
          <w:b/>
          <w:sz w:val="24"/>
          <w:szCs w:val="24"/>
        </w:rPr>
        <w:t>Dodávky kancelářského nábytku pro resort dopravy 201</w:t>
      </w:r>
      <w:r w:rsidR="001F0408" w:rsidRPr="002C7298">
        <w:rPr>
          <w:b/>
          <w:sz w:val="24"/>
          <w:szCs w:val="24"/>
        </w:rPr>
        <w:t>9</w:t>
      </w:r>
      <w:r w:rsidRPr="002C7298">
        <w:rPr>
          <w:b/>
          <w:sz w:val="24"/>
          <w:szCs w:val="24"/>
        </w:rPr>
        <w:t xml:space="preserve"> – </w:t>
      </w:r>
      <w:r w:rsidR="003D56EC" w:rsidRPr="002C7298">
        <w:rPr>
          <w:b/>
          <w:sz w:val="24"/>
          <w:szCs w:val="24"/>
        </w:rPr>
        <w:t>2022</w:t>
      </w:r>
    </w:p>
    <w:p w:rsidR="00F56E48" w:rsidRDefault="00F56E48" w:rsidP="0019378D">
      <w:pPr>
        <w:pStyle w:val="Styl11"/>
      </w:pPr>
    </w:p>
    <w:p w:rsidR="00710390" w:rsidRPr="001A57DC" w:rsidRDefault="00E861C3" w:rsidP="0019378D">
      <w:pPr>
        <w:pStyle w:val="Styl11"/>
      </w:pPr>
      <w:r>
        <w:t>Jednající kupující</w:t>
      </w:r>
      <w:r w:rsidR="00710390">
        <w:t xml:space="preserve"> požaduje po dobu trvání </w:t>
      </w:r>
      <w:r w:rsidR="009E0DCA">
        <w:t>Smlouvy</w:t>
      </w:r>
      <w:r w:rsidR="00AA65C8">
        <w:t xml:space="preserve"> </w:t>
      </w:r>
      <w:r w:rsidR="00710390">
        <w:t>splnění následujícího:</w:t>
      </w:r>
    </w:p>
    <w:p w:rsidR="0019378D" w:rsidRPr="007F4979" w:rsidRDefault="0019378D" w:rsidP="00877E8C">
      <w:pPr>
        <w:pStyle w:val="Styl11"/>
        <w:numPr>
          <w:ilvl w:val="0"/>
          <w:numId w:val="12"/>
        </w:numPr>
        <w:spacing w:before="120" w:after="0" w:line="240" w:lineRule="auto"/>
        <w:contextualSpacing w:val="0"/>
      </w:pPr>
      <w:r w:rsidRPr="001A57DC">
        <w:t xml:space="preserve">Veškeré dřevo a materiály na bázi dřeva musejí pocházet ze zákonně vytěžené suroviny. </w:t>
      </w:r>
    </w:p>
    <w:p w:rsidR="0019378D" w:rsidRPr="001A57DC" w:rsidRDefault="0019378D" w:rsidP="007F4979">
      <w:pPr>
        <w:pStyle w:val="Styl11"/>
        <w:numPr>
          <w:ilvl w:val="0"/>
          <w:numId w:val="12"/>
        </w:numPr>
        <w:spacing w:before="120"/>
        <w:contextualSpacing w:val="0"/>
      </w:pPr>
      <w:r w:rsidRPr="001A57DC">
        <w:t xml:space="preserve">Kancelářský nábytek, včetně materiálu, ze kterého je vyroben musí splňovat požadavky na bezpečný výrobek ve smyslu zákona č. 102/2001 Sb., o obecné bezpečnosti výrobků a o změně některých zákonů (zákon o obecné bezpečnosti výrobků), ve znění pozdějších předpisů. Dále musí splňovat technické, bezpečnostní, zdravotní, hygienické a jiné předpisy, včetně předpisů týkajících se ochrany životního prostředí, a to zejména: </w:t>
      </w:r>
    </w:p>
    <w:p w:rsidR="0019378D" w:rsidRPr="00051E0E" w:rsidRDefault="006C3AE7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1A57DC">
        <w:rPr>
          <w:rFonts w:ascii="Arial" w:eastAsia="Times New Roman" w:hAnsi="Arial" w:cs="Arial"/>
          <w:bCs/>
          <w:iCs/>
        </w:rPr>
        <w:t xml:space="preserve">ákon č. 22/1997 Sb., o technických požadavcích na výrobky a o změně </w:t>
      </w:r>
      <w:r w:rsidR="0019378D" w:rsidRPr="00051E0E">
        <w:rPr>
          <w:rFonts w:ascii="Arial" w:eastAsia="Times New Roman" w:hAnsi="Arial" w:cs="Arial"/>
          <w:bCs/>
          <w:iCs/>
        </w:rPr>
        <w:t>a doplnění některých zákonů, ve znění pozdějších předpisů</w:t>
      </w:r>
      <w:r>
        <w:rPr>
          <w:rFonts w:ascii="Arial" w:eastAsia="Times New Roman" w:hAnsi="Arial" w:cs="Arial"/>
          <w:bCs/>
          <w:iCs/>
        </w:rPr>
        <w:t>,</w:t>
      </w:r>
    </w:p>
    <w:p w:rsidR="0019378D" w:rsidRPr="00051E0E" w:rsidRDefault="001A6736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nařízení vlády</w:t>
      </w:r>
      <w:r w:rsidR="00E861C3">
        <w:rPr>
          <w:rFonts w:ascii="Arial" w:eastAsia="Times New Roman" w:hAnsi="Arial" w:cs="Arial"/>
          <w:bCs/>
          <w:iCs/>
        </w:rPr>
        <w:t xml:space="preserve"> </w:t>
      </w:r>
      <w:r w:rsidR="0019378D" w:rsidRPr="00051E0E">
        <w:rPr>
          <w:rFonts w:ascii="Arial" w:eastAsia="Times New Roman" w:hAnsi="Arial" w:cs="Arial"/>
          <w:bCs/>
          <w:iCs/>
        </w:rPr>
        <w:t>163/2002 Sb., kterým se stanoví technické požadavky na vybrané stavební výrobky, ve znění pozdějších předpisů</w:t>
      </w:r>
      <w:r w:rsidR="006C3AE7">
        <w:rPr>
          <w:rFonts w:ascii="Arial" w:eastAsia="Times New Roman" w:hAnsi="Arial" w:cs="Arial"/>
          <w:bCs/>
          <w:iCs/>
        </w:rPr>
        <w:t>,</w:t>
      </w:r>
      <w:r w:rsidR="0019378D" w:rsidRPr="00051E0E">
        <w:rPr>
          <w:rFonts w:ascii="Arial" w:eastAsia="Times New Roman" w:hAnsi="Arial" w:cs="Arial"/>
          <w:bCs/>
          <w:iCs/>
        </w:rPr>
        <w:t xml:space="preserve"> </w:t>
      </w:r>
    </w:p>
    <w:p w:rsidR="0019378D" w:rsidRPr="00051E0E" w:rsidRDefault="006C3AE7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201/2012 Sb., o ochraně ovzduší, ve znění pozdějších předpisů;</w:t>
      </w:r>
    </w:p>
    <w:p w:rsidR="0019378D" w:rsidRPr="00051E0E" w:rsidRDefault="006C3AE7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254/2001 Sb., o vodách a o změně některých zákonů (vodní zákon), ve znění pozdějších předpisů</w:t>
      </w:r>
      <w:r>
        <w:rPr>
          <w:rFonts w:ascii="Arial" w:eastAsia="Times New Roman" w:hAnsi="Arial" w:cs="Arial"/>
          <w:bCs/>
          <w:iCs/>
        </w:rPr>
        <w:t>,</w:t>
      </w:r>
    </w:p>
    <w:p w:rsidR="0019378D" w:rsidRPr="00051E0E" w:rsidRDefault="006C3AE7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185/2001 Sb., o odpadech a o změně některých dalších zákonů, ve znění pozdějších předpisů</w:t>
      </w:r>
      <w:r>
        <w:rPr>
          <w:rFonts w:ascii="Arial" w:eastAsia="Times New Roman" w:hAnsi="Arial" w:cs="Arial"/>
          <w:bCs/>
          <w:iCs/>
        </w:rPr>
        <w:t>,</w:t>
      </w:r>
      <w:r w:rsidR="0019378D" w:rsidRPr="00051E0E">
        <w:rPr>
          <w:rFonts w:ascii="Arial" w:eastAsia="Times New Roman" w:hAnsi="Arial" w:cs="Arial"/>
          <w:bCs/>
          <w:iCs/>
        </w:rPr>
        <w:t xml:space="preserve"> </w:t>
      </w:r>
    </w:p>
    <w:p w:rsidR="0019378D" w:rsidRPr="00051E0E" w:rsidRDefault="006C3AE7" w:rsidP="0029547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 xml:space="preserve">ákon č. 350/2011 Sb., o chemických látkách a chemických směsích a o změně některých zákonů (chemický zákon), ve znění pozdějších předpisů. </w:t>
      </w:r>
    </w:p>
    <w:p w:rsidR="0019378D" w:rsidRPr="00051E0E" w:rsidRDefault="0019378D" w:rsidP="007F4979">
      <w:pPr>
        <w:pStyle w:val="Styl11"/>
        <w:numPr>
          <w:ilvl w:val="0"/>
          <w:numId w:val="12"/>
        </w:numPr>
        <w:spacing w:before="120" w:after="240"/>
        <w:contextualSpacing w:val="0"/>
      </w:pPr>
      <w:r w:rsidRPr="00051E0E">
        <w:t xml:space="preserve">Použité materiály nesmí obsahovat žádné nebezpečné látky, jak jsou definovány v nařízení Evropského parlamentu a Rady (ES) č. 1272/2008 ze dne 16. prosince 2008 o klasifikaci, označování a balení látek a směsí, o změně a zrušení směrnic 67/548/EHS a 1999/45/ES a o změně nařízení (ES) č. 1907/2006. </w:t>
      </w:r>
    </w:p>
    <w:p w:rsidR="0019378D" w:rsidRPr="00051E0E" w:rsidRDefault="0019378D" w:rsidP="007F4979">
      <w:pPr>
        <w:pStyle w:val="Styl11"/>
        <w:numPr>
          <w:ilvl w:val="0"/>
          <w:numId w:val="12"/>
        </w:numPr>
        <w:spacing w:before="120"/>
        <w:contextualSpacing w:val="0"/>
      </w:pPr>
      <w:r w:rsidRPr="00051E0E">
        <w:t xml:space="preserve">Kancelářský nábytek nesmí obsahovat halogenová organická pojiva, </w:t>
      </w:r>
      <w:proofErr w:type="spellStart"/>
      <w:r w:rsidRPr="00051E0E">
        <w:t>azidirin</w:t>
      </w:r>
      <w:proofErr w:type="spellEnd"/>
      <w:r w:rsidRPr="00051E0E">
        <w:t xml:space="preserve"> a </w:t>
      </w:r>
      <w:proofErr w:type="spellStart"/>
      <w:r w:rsidRPr="00051E0E">
        <w:t>polyazidirin</w:t>
      </w:r>
      <w:proofErr w:type="spellEnd"/>
      <w:r w:rsidRPr="00051E0E">
        <w:t xml:space="preserve"> a také pigmenty a aditivní látky na bázi: </w:t>
      </w:r>
    </w:p>
    <w:p w:rsidR="0019378D" w:rsidRPr="00051E0E" w:rsidRDefault="0019378D" w:rsidP="0029547B">
      <w:pPr>
        <w:pStyle w:val="Styl11"/>
        <w:numPr>
          <w:ilvl w:val="0"/>
          <w:numId w:val="15"/>
        </w:numPr>
        <w:spacing w:after="0"/>
        <w:contextualSpacing w:val="0"/>
      </w:pPr>
      <w:r w:rsidRPr="00051E0E">
        <w:t>olova, kadmia, chrómu (VI), rtuti a jejich sloučenin,</w:t>
      </w:r>
    </w:p>
    <w:p w:rsidR="0019378D" w:rsidRPr="00051E0E" w:rsidRDefault="0019378D" w:rsidP="0029547B">
      <w:pPr>
        <w:pStyle w:val="Styl11"/>
        <w:numPr>
          <w:ilvl w:val="0"/>
          <w:numId w:val="15"/>
        </w:numPr>
        <w:spacing w:after="0"/>
        <w:contextualSpacing w:val="0"/>
      </w:pPr>
      <w:r w:rsidRPr="00051E0E">
        <w:t xml:space="preserve">arzénu, boru a mědi, </w:t>
      </w:r>
    </w:p>
    <w:p w:rsidR="0019378D" w:rsidRPr="00051E0E" w:rsidRDefault="0019378D" w:rsidP="0029547B">
      <w:pPr>
        <w:pStyle w:val="Styl11"/>
        <w:numPr>
          <w:ilvl w:val="0"/>
          <w:numId w:val="15"/>
        </w:numPr>
        <w:spacing w:after="0"/>
        <w:contextualSpacing w:val="0"/>
      </w:pPr>
      <w:r w:rsidRPr="00051E0E">
        <w:t xml:space="preserve">organického cínu. </w:t>
      </w:r>
    </w:p>
    <w:p w:rsidR="0019378D" w:rsidRPr="00051E0E" w:rsidRDefault="0019378D" w:rsidP="007F4979">
      <w:pPr>
        <w:pStyle w:val="Styl11"/>
        <w:numPr>
          <w:ilvl w:val="0"/>
          <w:numId w:val="12"/>
        </w:numPr>
        <w:spacing w:before="120" w:after="0"/>
        <w:contextualSpacing w:val="0"/>
      </w:pPr>
      <w:r w:rsidRPr="00051E0E">
        <w:t xml:space="preserve">Zadavatel požaduje, aby únik formaldehydu z aglomerovaných materiálů na bázi dřeva s povrchovou úpravou, resp. výrobků z nich, nepřekročil: </w:t>
      </w:r>
    </w:p>
    <w:p w:rsidR="0019378D" w:rsidRPr="00051E0E" w:rsidRDefault="0019378D" w:rsidP="007F4979">
      <w:pPr>
        <w:pStyle w:val="Odstavecseseznamem"/>
        <w:numPr>
          <w:ilvl w:val="0"/>
          <w:numId w:val="8"/>
        </w:numPr>
        <w:spacing w:before="120" w:after="0"/>
        <w:contextualSpacing w:val="0"/>
        <w:jc w:val="both"/>
        <w:rPr>
          <w:rFonts w:ascii="Arial" w:eastAsia="Times New Roman" w:hAnsi="Arial" w:cs="Arial"/>
        </w:rPr>
      </w:pPr>
      <w:r w:rsidRPr="00051E0E">
        <w:rPr>
          <w:rFonts w:ascii="Arial" w:eastAsia="Times New Roman" w:hAnsi="Arial" w:cs="Arial"/>
        </w:rPr>
        <w:t xml:space="preserve">hodnotu rovnovážné koncentrace: 0,02 mg formaldehydu/m3 vzduchu, za podmínek uvedených v ČSN EN 717-1 Desky ze dřeva – Stanovení úniku formaldehydu – Část 1: Emise formaldehydu komorovou metodou nebo ČSN EN ISO 16000-9 Vnitřní ovzduší – Část 9: Stanovení emisí těkavých organických látek ze stavebních materiálů a nábytku – Metoda zkušební komory, </w:t>
      </w:r>
    </w:p>
    <w:p w:rsidR="0019378D" w:rsidRPr="00EB52BD" w:rsidRDefault="0019378D" w:rsidP="00EB52BD">
      <w:pPr>
        <w:numPr>
          <w:ilvl w:val="0"/>
          <w:numId w:val="2"/>
        </w:numPr>
        <w:spacing w:before="120" w:after="0"/>
        <w:jc w:val="both"/>
        <w:rPr>
          <w:rFonts w:ascii="Arial" w:eastAsia="Times New Roman" w:hAnsi="Arial" w:cs="Arial"/>
          <w:bCs/>
          <w:iCs/>
        </w:rPr>
      </w:pPr>
      <w:r w:rsidRPr="00051E0E">
        <w:rPr>
          <w:rFonts w:ascii="Arial" w:eastAsia="Times New Roman" w:hAnsi="Arial" w:cs="Arial"/>
          <w:bCs/>
          <w:iCs/>
        </w:rPr>
        <w:lastRenderedPageBreak/>
        <w:t xml:space="preserve">střední hodnotu: 1,5 mg formaldehydu/m2.h, stanovenou metodou plynové analýzy podle </w:t>
      </w:r>
      <w:r w:rsidR="00EB52BD" w:rsidRPr="00EB52BD">
        <w:rPr>
          <w:rFonts w:ascii="Arial" w:eastAsia="Times New Roman" w:hAnsi="Arial" w:cs="Arial"/>
          <w:bCs/>
          <w:iCs/>
        </w:rPr>
        <w:t>ČSN EN ISO 12460-3 (490163)</w:t>
      </w:r>
      <w:r w:rsidR="00EB52BD">
        <w:rPr>
          <w:rFonts w:ascii="Arial" w:eastAsia="Times New Roman" w:hAnsi="Arial" w:cs="Arial"/>
          <w:bCs/>
          <w:iCs/>
        </w:rPr>
        <w:t xml:space="preserve"> </w:t>
      </w:r>
      <w:r w:rsidR="00EB52BD" w:rsidRPr="00EB52BD">
        <w:rPr>
          <w:rFonts w:ascii="Arial" w:eastAsia="Times New Roman" w:hAnsi="Arial" w:cs="Arial"/>
          <w:bCs/>
          <w:iCs/>
        </w:rPr>
        <w:t>Desky na bázi dřeva - Stanovení úniku formaldehydu - Část 3: Metoda plynové analýzy</w:t>
      </w:r>
      <w:r w:rsidR="004C2239">
        <w:rPr>
          <w:rFonts w:ascii="Arial" w:eastAsia="Times New Roman" w:hAnsi="Arial" w:cs="Arial"/>
          <w:bCs/>
          <w:iCs/>
        </w:rPr>
        <w:t>.</w:t>
      </w:r>
      <w:r w:rsidRPr="00EB52BD">
        <w:rPr>
          <w:rFonts w:ascii="Arial" w:eastAsia="Times New Roman" w:hAnsi="Arial" w:cs="Arial"/>
          <w:bCs/>
          <w:iCs/>
        </w:rPr>
        <w:t xml:space="preserve"> </w:t>
      </w:r>
    </w:p>
    <w:p w:rsidR="0019378D" w:rsidRPr="00051E0E" w:rsidRDefault="0019378D" w:rsidP="007F4979">
      <w:pPr>
        <w:pStyle w:val="Styl11"/>
        <w:numPr>
          <w:ilvl w:val="0"/>
          <w:numId w:val="12"/>
        </w:numPr>
        <w:spacing w:before="120"/>
        <w:contextualSpacing w:val="0"/>
      </w:pPr>
      <w:r w:rsidRPr="00051E0E">
        <w:t>Zadavatel požaduje, aby změkčovadla neobsahovala DNOP (di-n-</w:t>
      </w:r>
      <w:proofErr w:type="spellStart"/>
      <w:r w:rsidRPr="00051E0E">
        <w:t>oktyl</w:t>
      </w:r>
      <w:proofErr w:type="spellEnd"/>
      <w:r w:rsidRPr="00051E0E">
        <w:t xml:space="preserve"> ftalát), DINP (di-</w:t>
      </w:r>
      <w:proofErr w:type="spellStart"/>
      <w:r w:rsidRPr="00051E0E">
        <w:t>isononyl</w:t>
      </w:r>
      <w:proofErr w:type="spellEnd"/>
      <w:r w:rsidRPr="00051E0E">
        <w:t xml:space="preserve"> ftalát), DIDP (di-</w:t>
      </w:r>
      <w:proofErr w:type="spellStart"/>
      <w:r w:rsidRPr="00051E0E">
        <w:t>isodecyl</w:t>
      </w:r>
      <w:proofErr w:type="spellEnd"/>
      <w:r w:rsidRPr="00051E0E">
        <w:t xml:space="preserve"> ftalát). </w:t>
      </w:r>
    </w:p>
    <w:p w:rsidR="0019378D" w:rsidRPr="00051E0E" w:rsidRDefault="0019378D" w:rsidP="001A1A97">
      <w:pPr>
        <w:pStyle w:val="Styl11"/>
        <w:numPr>
          <w:ilvl w:val="0"/>
          <w:numId w:val="12"/>
        </w:numPr>
        <w:spacing w:line="240" w:lineRule="auto"/>
        <w:contextualSpacing w:val="0"/>
      </w:pPr>
      <w:r w:rsidRPr="00051E0E">
        <w:t xml:space="preserve">Zadavatel požaduje, aby obsah těkavých organických sloučenin lepidel a klihů používaných při montáži nábytku nepřekročil 10 % hmotnostních. </w:t>
      </w:r>
    </w:p>
    <w:p w:rsidR="0019378D" w:rsidRPr="00051E0E" w:rsidRDefault="0019378D" w:rsidP="001A1A97">
      <w:pPr>
        <w:pStyle w:val="Styl11"/>
        <w:numPr>
          <w:ilvl w:val="0"/>
          <w:numId w:val="12"/>
        </w:numPr>
        <w:spacing w:line="240" w:lineRule="auto"/>
        <w:contextualSpacing w:val="0"/>
        <w:rPr>
          <w:rFonts w:eastAsia="Times New Roman"/>
        </w:rPr>
      </w:pPr>
      <w:r w:rsidRPr="00051E0E">
        <w:rPr>
          <w:rFonts w:eastAsia="Times New Roman"/>
        </w:rPr>
        <w:t xml:space="preserve">Zadavatel požaduje, aby desky z aglomerovaných materiálů na bázi dřeva splňovaly požadavky příslušných norem: </w:t>
      </w:r>
    </w:p>
    <w:p w:rsidR="0019378D" w:rsidRPr="00051E0E" w:rsidRDefault="00CA4CFC" w:rsidP="001A1A97">
      <w:pPr>
        <w:pStyle w:val="Styl11"/>
        <w:numPr>
          <w:ilvl w:val="0"/>
          <w:numId w:val="8"/>
        </w:numPr>
        <w:spacing w:after="0" w:line="240" w:lineRule="auto"/>
        <w:ind w:left="1134"/>
        <w:contextualSpacing w:val="0"/>
      </w:pPr>
      <w:r>
        <w:t>t</w:t>
      </w:r>
      <w:r w:rsidR="0019378D" w:rsidRPr="00051E0E">
        <w:t>řískové desky: ČSN EN 312 Třískové desky – Požadavky</w:t>
      </w:r>
      <w:r>
        <w:t>,</w:t>
      </w:r>
      <w:r w:rsidR="0019378D" w:rsidRPr="00051E0E">
        <w:t xml:space="preserve"> </w:t>
      </w:r>
    </w:p>
    <w:p w:rsidR="0019378D" w:rsidRDefault="00CA4CFC" w:rsidP="001A1A97">
      <w:pPr>
        <w:pStyle w:val="Styl11"/>
        <w:numPr>
          <w:ilvl w:val="0"/>
          <w:numId w:val="8"/>
        </w:numPr>
        <w:spacing w:after="0" w:line="240" w:lineRule="auto"/>
        <w:ind w:left="1134"/>
        <w:contextualSpacing w:val="0"/>
      </w:pPr>
      <w:r>
        <w:t>v</w:t>
      </w:r>
      <w:r w:rsidR="0019378D" w:rsidRPr="00051E0E">
        <w:t xml:space="preserve">láknité desky: ČSN EN 622-1 Požadavky </w:t>
      </w:r>
      <w:r w:rsidR="002B4BA9" w:rsidRPr="00D9503F">
        <w:t>- Část 1: Všeobecné požadavky až ČSN EN ČSN EN 622-5 Vláknité desky - Požadavky - Část 5: Požadavky na desky vyrobené suchým procesem (MDF)</w:t>
      </w:r>
      <w:r w:rsidR="00A71A1B">
        <w:t>.</w:t>
      </w:r>
    </w:p>
    <w:p w:rsidR="001A1A97" w:rsidRPr="00A71A1B" w:rsidRDefault="001A1A97" w:rsidP="001A1A97">
      <w:pPr>
        <w:pStyle w:val="Styl11"/>
        <w:spacing w:after="0" w:line="240" w:lineRule="auto"/>
        <w:ind w:left="1134"/>
        <w:contextualSpacing w:val="0"/>
      </w:pPr>
    </w:p>
    <w:p w:rsidR="003B64BB" w:rsidRDefault="006C3AE7" w:rsidP="001A1A9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dobu platnosti Smlouvy uzavřené s </w:t>
      </w:r>
      <w:r w:rsidR="00E861C3">
        <w:rPr>
          <w:rFonts w:ascii="Arial" w:hAnsi="Arial" w:cs="Arial"/>
        </w:rPr>
        <w:t>Prodávajícím</w:t>
      </w:r>
      <w:r>
        <w:rPr>
          <w:rFonts w:ascii="Arial" w:hAnsi="Arial" w:cs="Arial"/>
        </w:rPr>
        <w:t xml:space="preserve"> si může vyžádat </w:t>
      </w:r>
      <w:r w:rsidR="00E861C3" w:rsidRPr="00E861C3">
        <w:rPr>
          <w:rFonts w:ascii="Arial" w:hAnsi="Arial" w:cs="Arial"/>
        </w:rPr>
        <w:t>Jednající kupující</w:t>
      </w:r>
      <w:r w:rsidR="00295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následující dokumenty:</w:t>
      </w:r>
      <w:r w:rsidR="00051E0E">
        <w:rPr>
          <w:rFonts w:ascii="Arial" w:hAnsi="Arial" w:cs="Arial"/>
        </w:rPr>
        <w:t xml:space="preserve"> </w:t>
      </w:r>
    </w:p>
    <w:p w:rsidR="00051E0E" w:rsidRPr="00193300" w:rsidRDefault="00193300" w:rsidP="00A83741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bCs/>
          <w:iCs/>
        </w:rPr>
      </w:pPr>
      <w:r w:rsidRPr="00193300">
        <w:rPr>
          <w:rFonts w:ascii="Arial" w:eastAsia="Times New Roman" w:hAnsi="Arial" w:cs="Arial"/>
          <w:bCs/>
          <w:iCs/>
        </w:rPr>
        <w:t>S</w:t>
      </w:r>
      <w:r w:rsidR="00051E0E" w:rsidRPr="00193300">
        <w:rPr>
          <w:rFonts w:ascii="Arial" w:eastAsia="Times New Roman" w:hAnsi="Arial" w:cs="Arial"/>
          <w:bCs/>
          <w:iCs/>
        </w:rPr>
        <w:t xml:space="preserve">eznam všech přípravků pro povrchovou úpravu použitých pro každý z materiálů přítomných v nábytku a jejich bezpečnostní list nebo rovnocennou dokumentaci prokazující splnění výše uvedených podmínek. </w:t>
      </w:r>
    </w:p>
    <w:p w:rsidR="00051E0E" w:rsidRDefault="00193300" w:rsidP="00A83741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bCs/>
          <w:iCs/>
        </w:rPr>
      </w:pPr>
      <w:r w:rsidRPr="00193300">
        <w:rPr>
          <w:rFonts w:ascii="Arial" w:eastAsia="Times New Roman" w:hAnsi="Arial" w:cs="Arial"/>
          <w:bCs/>
          <w:iCs/>
        </w:rPr>
        <w:t>S</w:t>
      </w:r>
      <w:r w:rsidR="00051E0E" w:rsidRPr="00193300">
        <w:rPr>
          <w:rFonts w:ascii="Arial" w:eastAsia="Times New Roman" w:hAnsi="Arial" w:cs="Arial"/>
          <w:bCs/>
          <w:iCs/>
        </w:rPr>
        <w:t xml:space="preserve">eznam všech použitých lepidel spolu s bezpečnostním listem (bezpečnostní list je povinný a obsah těkavých organických sloučenin je v něm vyznačen). </w:t>
      </w:r>
    </w:p>
    <w:p w:rsidR="00077E55" w:rsidRPr="00193300" w:rsidRDefault="00077E55" w:rsidP="00A83741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Certifikaci Ekoznačky EU (certifikace ekoznačkou Ekologi</w:t>
      </w:r>
      <w:r w:rsidR="001A6736">
        <w:rPr>
          <w:rFonts w:ascii="Arial" w:eastAsia="Times New Roman" w:hAnsi="Arial" w:cs="Arial"/>
          <w:bCs/>
          <w:iCs/>
        </w:rPr>
        <w:t>cky šetrný výrobek, Květina, Modrý anděl</w:t>
      </w:r>
      <w:r w:rsidR="00DE0700" w:rsidRPr="00DE0700">
        <w:rPr>
          <w:rFonts w:ascii="Arial" w:eastAsia="Times New Roman" w:hAnsi="Arial" w:cs="Arial"/>
          <w:bCs/>
          <w:iCs/>
        </w:rPr>
        <w:t xml:space="preserve"> </w:t>
      </w:r>
      <w:r w:rsidR="00DE0700">
        <w:rPr>
          <w:rFonts w:ascii="Arial" w:eastAsia="Times New Roman" w:hAnsi="Arial" w:cs="Arial"/>
          <w:bCs/>
          <w:iCs/>
        </w:rPr>
        <w:t>nebo rovnocennou certifikaci</w:t>
      </w:r>
      <w:r>
        <w:rPr>
          <w:rFonts w:ascii="Arial" w:eastAsia="Times New Roman" w:hAnsi="Arial" w:cs="Arial"/>
          <w:bCs/>
          <w:iCs/>
        </w:rPr>
        <w:t>). Pokud Zboží certifikováno není, Dodavatel předloží</w:t>
      </w:r>
      <w:r w:rsidR="00CC16FC">
        <w:rPr>
          <w:rFonts w:ascii="Arial" w:eastAsia="Times New Roman" w:hAnsi="Arial" w:cs="Arial"/>
          <w:bCs/>
          <w:iCs/>
        </w:rPr>
        <w:t xml:space="preserve"> ke Zboží</w:t>
      </w:r>
      <w:r>
        <w:rPr>
          <w:rFonts w:ascii="Arial" w:eastAsia="Times New Roman" w:hAnsi="Arial" w:cs="Arial"/>
          <w:bCs/>
          <w:iCs/>
        </w:rPr>
        <w:t xml:space="preserve"> technick</w:t>
      </w:r>
      <w:r w:rsidR="00D856C3">
        <w:rPr>
          <w:rFonts w:ascii="Arial" w:eastAsia="Times New Roman" w:hAnsi="Arial" w:cs="Arial"/>
          <w:bCs/>
          <w:iCs/>
        </w:rPr>
        <w:t xml:space="preserve">ou dokumentaci, ze které splnění </w:t>
      </w:r>
      <w:r w:rsidR="00080789">
        <w:rPr>
          <w:rFonts w:ascii="Arial" w:eastAsia="Times New Roman" w:hAnsi="Arial" w:cs="Arial"/>
          <w:bCs/>
          <w:iCs/>
        </w:rPr>
        <w:t xml:space="preserve">environmentálních požadavků </w:t>
      </w:r>
      <w:r w:rsidR="00D856C3">
        <w:rPr>
          <w:rFonts w:ascii="Arial" w:eastAsia="Times New Roman" w:hAnsi="Arial" w:cs="Arial"/>
          <w:bCs/>
          <w:iCs/>
        </w:rPr>
        <w:t>vyplývá</w:t>
      </w:r>
      <w:r w:rsidR="00080789">
        <w:rPr>
          <w:rFonts w:ascii="Arial" w:eastAsia="Times New Roman" w:hAnsi="Arial" w:cs="Arial"/>
          <w:bCs/>
          <w:iCs/>
        </w:rPr>
        <w:t xml:space="preserve">. </w:t>
      </w:r>
    </w:p>
    <w:p w:rsidR="00051E0E" w:rsidRPr="001A57DC" w:rsidRDefault="00051E0E" w:rsidP="00051E0E">
      <w:pPr>
        <w:pStyle w:val="Styl11"/>
      </w:pPr>
    </w:p>
    <w:p w:rsidR="00051E0E" w:rsidRPr="00051E0E" w:rsidRDefault="00051E0E" w:rsidP="00051E0E">
      <w:pPr>
        <w:jc w:val="both"/>
        <w:rPr>
          <w:rFonts w:ascii="Arial" w:hAnsi="Arial" w:cs="Arial"/>
        </w:rPr>
      </w:pPr>
    </w:p>
    <w:sectPr w:rsidR="00051E0E" w:rsidRPr="00051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AE" w:rsidRDefault="00F353AE" w:rsidP="00F353AE">
      <w:pPr>
        <w:spacing w:after="0" w:line="240" w:lineRule="auto"/>
      </w:pPr>
      <w:r>
        <w:separator/>
      </w:r>
    </w:p>
  </w:endnote>
  <w:endnote w:type="continuationSeparator" w:id="0">
    <w:p w:rsidR="00F353AE" w:rsidRDefault="00F353AE" w:rsidP="00F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C3" w:rsidRDefault="00E45E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68804"/>
      <w:docPartObj>
        <w:docPartGallery w:val="Page Numbers (Bottom of Page)"/>
        <w:docPartUnique/>
      </w:docPartObj>
    </w:sdtPr>
    <w:sdtEndPr/>
    <w:sdtContent>
      <w:p w:rsidR="00F353AE" w:rsidRDefault="00F353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EC3">
          <w:rPr>
            <w:noProof/>
          </w:rPr>
          <w:t>2</w:t>
        </w:r>
        <w:r>
          <w:fldChar w:fldCharType="end"/>
        </w:r>
      </w:p>
    </w:sdtContent>
  </w:sdt>
  <w:p w:rsidR="00F353AE" w:rsidRDefault="00F353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C3" w:rsidRDefault="00E45E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AE" w:rsidRDefault="00F353AE" w:rsidP="00F353AE">
      <w:pPr>
        <w:spacing w:after="0" w:line="240" w:lineRule="auto"/>
      </w:pPr>
      <w:r>
        <w:separator/>
      </w:r>
    </w:p>
  </w:footnote>
  <w:footnote w:type="continuationSeparator" w:id="0">
    <w:p w:rsidR="00F353AE" w:rsidRDefault="00F353AE" w:rsidP="00F3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C3" w:rsidRDefault="00E45E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AE" w:rsidRDefault="00F353AE">
    <w:pPr>
      <w:pStyle w:val="Zhlav"/>
    </w:pPr>
    <w:r>
      <w:rPr>
        <w:noProof/>
        <w:lang w:eastAsia="cs-CZ"/>
      </w:rPr>
      <w:drawing>
        <wp:inline distT="0" distB="0" distL="0" distR="0" wp14:anchorId="4514035B" wp14:editId="2BD184C3">
          <wp:extent cx="5753100" cy="923925"/>
          <wp:effectExtent l="0" t="0" r="0" b="9525"/>
          <wp:docPr id="1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3AE" w:rsidRDefault="00F353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C3" w:rsidRDefault="00E45E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6F0"/>
    <w:multiLevelType w:val="hybridMultilevel"/>
    <w:tmpl w:val="11BC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DBB8AAD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30D"/>
    <w:multiLevelType w:val="hybridMultilevel"/>
    <w:tmpl w:val="4162D0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65808E4"/>
    <w:multiLevelType w:val="hybridMultilevel"/>
    <w:tmpl w:val="9ABA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36E3"/>
    <w:multiLevelType w:val="hybridMultilevel"/>
    <w:tmpl w:val="2DEC4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6B5612"/>
    <w:multiLevelType w:val="hybridMultilevel"/>
    <w:tmpl w:val="8D2427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AB4158"/>
    <w:multiLevelType w:val="hybridMultilevel"/>
    <w:tmpl w:val="42EA80A8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3C5F"/>
    <w:multiLevelType w:val="hybridMultilevel"/>
    <w:tmpl w:val="85163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6BCD"/>
    <w:multiLevelType w:val="hybridMultilevel"/>
    <w:tmpl w:val="CAB65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921"/>
    <w:multiLevelType w:val="hybridMultilevel"/>
    <w:tmpl w:val="6366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034"/>
    <w:multiLevelType w:val="hybridMultilevel"/>
    <w:tmpl w:val="F790FBD2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C52D7"/>
    <w:multiLevelType w:val="hybridMultilevel"/>
    <w:tmpl w:val="9A7AA8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E332BF"/>
    <w:multiLevelType w:val="hybridMultilevel"/>
    <w:tmpl w:val="327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6681D"/>
    <w:multiLevelType w:val="hybridMultilevel"/>
    <w:tmpl w:val="622A72F4"/>
    <w:lvl w:ilvl="0" w:tplc="2BBE7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D25D9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382D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98E84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B6FB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54C66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EC5E8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69F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1A53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F252BCF"/>
    <w:multiLevelType w:val="hybridMultilevel"/>
    <w:tmpl w:val="60064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23AA8"/>
    <w:multiLevelType w:val="hybridMultilevel"/>
    <w:tmpl w:val="EF16AB6E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F2"/>
    <w:rsid w:val="00051E0E"/>
    <w:rsid w:val="000757F2"/>
    <w:rsid w:val="00077E55"/>
    <w:rsid w:val="00080789"/>
    <w:rsid w:val="00193300"/>
    <w:rsid w:val="0019378D"/>
    <w:rsid w:val="001A1A97"/>
    <w:rsid w:val="001A6736"/>
    <w:rsid w:val="001F0408"/>
    <w:rsid w:val="0029547B"/>
    <w:rsid w:val="002B4BA9"/>
    <w:rsid w:val="002C7298"/>
    <w:rsid w:val="003B64BB"/>
    <w:rsid w:val="003D56EC"/>
    <w:rsid w:val="004046D6"/>
    <w:rsid w:val="004C2239"/>
    <w:rsid w:val="00536FEF"/>
    <w:rsid w:val="0062131A"/>
    <w:rsid w:val="006C3AE7"/>
    <w:rsid w:val="00710390"/>
    <w:rsid w:val="00791FDE"/>
    <w:rsid w:val="007C61FB"/>
    <w:rsid w:val="007F4979"/>
    <w:rsid w:val="00877E8C"/>
    <w:rsid w:val="0091222C"/>
    <w:rsid w:val="009E0DCA"/>
    <w:rsid w:val="00A44965"/>
    <w:rsid w:val="00A65A4E"/>
    <w:rsid w:val="00A70287"/>
    <w:rsid w:val="00A71A1B"/>
    <w:rsid w:val="00A83741"/>
    <w:rsid w:val="00AA65C8"/>
    <w:rsid w:val="00B81FFD"/>
    <w:rsid w:val="00C33B69"/>
    <w:rsid w:val="00CA4CFC"/>
    <w:rsid w:val="00CC16FC"/>
    <w:rsid w:val="00D01F36"/>
    <w:rsid w:val="00D10942"/>
    <w:rsid w:val="00D856C3"/>
    <w:rsid w:val="00DA5AE9"/>
    <w:rsid w:val="00DC75C8"/>
    <w:rsid w:val="00DE0700"/>
    <w:rsid w:val="00E45EC3"/>
    <w:rsid w:val="00E861C3"/>
    <w:rsid w:val="00EA43A8"/>
    <w:rsid w:val="00EB52BD"/>
    <w:rsid w:val="00F353AE"/>
    <w:rsid w:val="00F56E48"/>
    <w:rsid w:val="00F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E7A6-E08B-4829-A8BA-5460CE62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2019-04-03T15:31:00Z</dcterms:created>
  <dcterms:modified xsi:type="dcterms:W3CDTF">2019-04-03T15:31:00Z</dcterms:modified>
</cp:coreProperties>
</file>