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7D" w:rsidRDefault="00E54C7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Smlouva</w:t>
      </w:r>
    </w:p>
    <w:p w:rsidR="00CF357D" w:rsidRDefault="00E54C7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o provedení auditu 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4D1752" w:rsidRPr="004D1752" w:rsidRDefault="004D1752" w:rsidP="004D1752">
      <w:pPr>
        <w:spacing w:after="0"/>
        <w:rPr>
          <w:rFonts w:ascii="Bookman Old Style" w:hAnsi="Bookman Old Style"/>
        </w:rPr>
      </w:pPr>
      <w:proofErr w:type="spellStart"/>
      <w:r w:rsidRPr="004D1752">
        <w:rPr>
          <w:rFonts w:ascii="Bookman Old Style" w:hAnsi="Bookman Old Style"/>
        </w:rPr>
        <w:t>kratkyaudit</w:t>
      </w:r>
      <w:proofErr w:type="spellEnd"/>
      <w:r w:rsidRPr="004D1752">
        <w:rPr>
          <w:rFonts w:ascii="Bookman Old Style" w:hAnsi="Bookman Old Style"/>
        </w:rPr>
        <w:t xml:space="preserve"> s.r.o.</w:t>
      </w:r>
      <w:r w:rsidRPr="004D1752">
        <w:rPr>
          <w:rFonts w:ascii="Bookman Old Style" w:hAnsi="Bookman Old Style"/>
        </w:rPr>
        <w:tab/>
      </w:r>
    </w:p>
    <w:p w:rsidR="004D1752" w:rsidRPr="004D1752" w:rsidRDefault="004D1752" w:rsidP="004D1752">
      <w:pPr>
        <w:spacing w:after="0"/>
        <w:rPr>
          <w:rFonts w:ascii="Bookman Old Style" w:hAnsi="Bookman Old Style"/>
        </w:rPr>
      </w:pPr>
      <w:r w:rsidRPr="004D1752">
        <w:rPr>
          <w:rFonts w:ascii="Bookman Old Style" w:hAnsi="Bookman Old Style"/>
        </w:rPr>
        <w:t>K nádraží 225, 664 59 Telnice</w:t>
      </w:r>
    </w:p>
    <w:p w:rsidR="004D1752" w:rsidRPr="004D1752" w:rsidRDefault="004D1752" w:rsidP="004D1752">
      <w:pPr>
        <w:spacing w:after="0"/>
        <w:rPr>
          <w:rFonts w:ascii="Bookman Old Style" w:hAnsi="Bookman Old Style"/>
        </w:rPr>
      </w:pPr>
      <w:r w:rsidRPr="004D1752">
        <w:rPr>
          <w:rFonts w:ascii="Bookman Old Style" w:hAnsi="Bookman Old Style"/>
        </w:rPr>
        <w:t>IČO: 07084153</w:t>
      </w:r>
    </w:p>
    <w:p w:rsidR="004D1752" w:rsidRPr="004D1752" w:rsidRDefault="004D1752" w:rsidP="004D1752">
      <w:pPr>
        <w:spacing w:after="0"/>
        <w:rPr>
          <w:rFonts w:ascii="Bookman Old Style" w:hAnsi="Bookman Old Style"/>
        </w:rPr>
      </w:pPr>
      <w:r w:rsidRPr="004D1752">
        <w:rPr>
          <w:rFonts w:ascii="Bookman Old Style" w:hAnsi="Bookman Old Style"/>
        </w:rPr>
        <w:t xml:space="preserve">Zastoupená </w:t>
      </w:r>
      <w:proofErr w:type="spellStart"/>
      <w:r w:rsidR="000D523A">
        <w:rPr>
          <w:rFonts w:ascii="Bookman Old Style" w:hAnsi="Bookman Old Style"/>
        </w:rPr>
        <w:t>xxxxxxxx</w:t>
      </w:r>
      <w:proofErr w:type="spellEnd"/>
      <w:r w:rsidR="000D523A">
        <w:rPr>
          <w:rFonts w:ascii="Bookman Old Style" w:hAnsi="Bookman Old Style"/>
        </w:rPr>
        <w:t xml:space="preserve"> </w:t>
      </w:r>
      <w:proofErr w:type="spellStart"/>
      <w:r w:rsidR="000D523A">
        <w:rPr>
          <w:rFonts w:ascii="Bookman Old Style" w:hAnsi="Bookman Old Style"/>
        </w:rPr>
        <w:t>xxxxxxx</w:t>
      </w:r>
      <w:proofErr w:type="spellEnd"/>
      <w:r w:rsidRPr="004D1752">
        <w:rPr>
          <w:rFonts w:ascii="Bookman Old Style" w:hAnsi="Bookman Old Style"/>
        </w:rPr>
        <w:t>, jednatelem společnosti</w:t>
      </w:r>
    </w:p>
    <w:p w:rsidR="00CF357D" w:rsidRDefault="00E54C7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dále jen auditor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pStyle w:val="Vchoz"/>
        <w:spacing w:after="0"/>
        <w:jc w:val="both"/>
      </w:pPr>
      <w:r>
        <w:rPr>
          <w:rFonts w:ascii="Bookman Old Style" w:hAnsi="Bookman Old Style"/>
          <w:b/>
        </w:rPr>
        <w:t xml:space="preserve">Zemský hřebčinec Písek s.p.o., </w:t>
      </w:r>
      <w:r>
        <w:rPr>
          <w:rFonts w:ascii="Bookman Old Style" w:hAnsi="Bookman Old Style"/>
        </w:rPr>
        <w:t xml:space="preserve">IČ 712 94 562, se sídlem Písek, U Hřebčince 479, </w:t>
      </w:r>
      <w:proofErr w:type="spellStart"/>
      <w:r>
        <w:rPr>
          <w:rFonts w:ascii="Bookman Old Style" w:hAnsi="Bookman Old Style"/>
        </w:rPr>
        <w:t>zast</w:t>
      </w:r>
      <w:proofErr w:type="spellEnd"/>
      <w:r>
        <w:rPr>
          <w:rFonts w:ascii="Bookman Old Style" w:hAnsi="Bookman Old Style"/>
        </w:rPr>
        <w:t xml:space="preserve"> ředitelem </w:t>
      </w:r>
      <w:proofErr w:type="spellStart"/>
      <w:r w:rsidR="000D523A">
        <w:rPr>
          <w:rFonts w:ascii="Bookman Old Style" w:hAnsi="Bookman Old Style"/>
        </w:rPr>
        <w:t>xxx</w:t>
      </w:r>
      <w:proofErr w:type="spellEnd"/>
      <w:r w:rsidR="000D523A">
        <w:rPr>
          <w:rFonts w:ascii="Bookman Old Style" w:hAnsi="Bookman Old Style"/>
        </w:rPr>
        <w:t xml:space="preserve"> </w:t>
      </w:r>
      <w:proofErr w:type="spellStart"/>
      <w:r w:rsidR="000D523A">
        <w:rPr>
          <w:rFonts w:ascii="Bookman Old Style" w:hAnsi="Bookman Old Style"/>
        </w:rPr>
        <w:t>xxxxxx</w:t>
      </w:r>
      <w:proofErr w:type="spellEnd"/>
      <w:r w:rsidR="000D523A">
        <w:rPr>
          <w:rFonts w:ascii="Bookman Old Style" w:hAnsi="Bookman Old Style"/>
        </w:rPr>
        <w:t xml:space="preserve"> </w:t>
      </w:r>
      <w:proofErr w:type="spellStart"/>
      <w:r w:rsidR="000D523A">
        <w:rPr>
          <w:rFonts w:ascii="Bookman Old Style" w:hAnsi="Bookman Old Style"/>
        </w:rPr>
        <w:t>xxxxxxxxxxx</w:t>
      </w:r>
      <w:proofErr w:type="spellEnd"/>
      <w:r>
        <w:rPr>
          <w:rFonts w:ascii="Bookman Old Style" w:hAnsi="Bookman Old Style"/>
        </w:rPr>
        <w:t>, jmenovaným na základě jmenovací listiny ze dne 15. 10. 2016, č.</w:t>
      </w:r>
      <w:r w:rsidR="00DB79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j. 57295/2016- MZe-13220, </w:t>
      </w:r>
      <w:r>
        <w:rPr>
          <w:rFonts w:ascii="Book Antiqua" w:hAnsi="Book Antiqua" w:cs="Book Antiqua"/>
          <w:sz w:val="22"/>
          <w:szCs w:val="22"/>
        </w:rPr>
        <w:t xml:space="preserve">zapsaný v registru ekonomických subjektů v ARES </w:t>
      </w:r>
      <w:proofErr w:type="gramStart"/>
      <w:r>
        <w:rPr>
          <w:rFonts w:ascii="Book Antiqua" w:hAnsi="Book Antiqua" w:cs="Book Antiqua"/>
          <w:sz w:val="22"/>
          <w:szCs w:val="22"/>
        </w:rPr>
        <w:t>č.j.</w:t>
      </w:r>
      <w:proofErr w:type="gramEnd"/>
      <w:r>
        <w:rPr>
          <w:rFonts w:ascii="Book Antiqua" w:hAnsi="Book Antiqua" w:cs="Book Antiqua"/>
          <w:sz w:val="22"/>
          <w:szCs w:val="22"/>
        </w:rPr>
        <w:t xml:space="preserve"> 27495/2015 – </w:t>
      </w:r>
      <w:proofErr w:type="spellStart"/>
      <w:r>
        <w:rPr>
          <w:rFonts w:ascii="Book Antiqua" w:hAnsi="Book Antiqua" w:cs="Book Antiqua"/>
          <w:sz w:val="22"/>
          <w:szCs w:val="22"/>
        </w:rPr>
        <w:t>MZe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- 13222</w:t>
      </w:r>
    </w:p>
    <w:p w:rsidR="00CF357D" w:rsidRDefault="00E54C7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dále jen účetní jednotka 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 xml:space="preserve">dnešního dne měsíce a roku uzavřeli ve smyslu ustanovení § 1746 odst. 2 zák. č. 89/2012 Sb. občanského zákoníku v platném znění a v souladu se zák. č. 93/20009 Sb. o auditorech </w:t>
      </w:r>
      <w:r>
        <w:rPr>
          <w:rFonts w:ascii="Bookman Old Style" w:hAnsi="Bookman Old Style"/>
          <w:sz w:val="24"/>
          <w:szCs w:val="24"/>
        </w:rPr>
        <w:t>tuto smlouvu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24"/>
          <w:szCs w:val="24"/>
        </w:rPr>
        <w:t>o auditu a o provedení ověření roční účetní závěrky a výroční zprávy za období roku 2018.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:rsidR="00CF357D" w:rsidRDefault="00E54C71">
      <w:pPr>
        <w:spacing w:after="0"/>
        <w:jc w:val="center"/>
      </w:pPr>
      <w:r>
        <w:rPr>
          <w:rFonts w:ascii="Bookman Old Style" w:hAnsi="Bookman Old Style"/>
          <w:b/>
        </w:rPr>
        <w:t>PROHLÁŠENÍ O ZPŮSOBILOSTI</w:t>
      </w:r>
    </w:p>
    <w:p w:rsidR="00CF357D" w:rsidRDefault="00CF357D">
      <w:pPr>
        <w:spacing w:after="0"/>
        <w:jc w:val="center"/>
        <w:rPr>
          <w:rFonts w:ascii="Bookman Old Style" w:hAnsi="Bookman Old Style"/>
          <w:b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Smluvní strany vzájemně prohlašují, že jejich způsobilost a volnost uzavřít tuto smlouvu, jakož i způsobilost ke všem souvisejícím právním jednáním není nijak omezena ani vyloučena. 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PŘEDMĚT SMLOUVY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Auditor se zavazuje, že pro účetní jednotku provede zákonné auditorské ověření účetní závěrky a výroční zprávy za rok 2018 dle Mezinárodních auditorských standardů a příslušných aplikačních doložek vydaných Komorou auditorů České republiky. Účetní jednotka se zavazuje pro průběžný audit a pro zpracování roční účetní závěrky a výroční zprávy za rok 2018 poskytnout auditorovi veškeré informace, především účetní doklady, hlavní knihu, deník, knihy pomocné evidence a další ekonomické podklady ovlivňující údaje uvedené v závěrce ke dni 31.</w:t>
      </w:r>
      <w:r w:rsidR="00DB79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12.</w:t>
      </w:r>
      <w:r w:rsidR="00DB79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2018 a jejich přílohách, včetně přiznání k dani z příjmů právnických osob za auditované období. Současně umožní přístup k informacím pro ověření časového rozlišení 2018/2019 a úplnosti převáděných dat a informací. Předmětem této smlouvy je tedy závazek auditora provézt pro účetní jednotku činnost vymezenou touto smlouvou a odběratel se zavazuje zaplatit auditorovi za auditorskou činnost odměnu podle podmínek uvedených v této smlouvě. </w:t>
      </w: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DB7987" w:rsidRDefault="00DB7987">
      <w:pPr>
        <w:spacing w:after="0"/>
        <w:jc w:val="both"/>
      </w:pP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Práce bude provedena ve třech fázích a to</w:t>
      </w:r>
      <w:r>
        <w:rPr>
          <w:rFonts w:ascii="Bookman Old Style" w:hAnsi="Bookman Old Style"/>
        </w:rPr>
        <w:t xml:space="preserve">: 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pStyle w:val="Odstavecseseznamem"/>
        <w:numPr>
          <w:ilvl w:val="0"/>
          <w:numId w:val="2"/>
        </w:numPr>
        <w:spacing w:after="0"/>
      </w:pPr>
      <w:r>
        <w:rPr>
          <w:rFonts w:ascii="Bookman Old Style" w:hAnsi="Bookman Old Style"/>
        </w:rPr>
        <w:t>Audit proběhne po předání zpracované účetní závěrky auditorovi k ověření. Auditor posoudí předloženou účetní závěrku do 30 dnů od její předání auditorovi. Fáze auditu bude ukončena vzájemným odsouhlasením konečné podoby účetní záv</w:t>
      </w:r>
      <w:r w:rsidR="00DB7987">
        <w:rPr>
          <w:rFonts w:ascii="Bookman Old Style" w:hAnsi="Bookman Old Style"/>
        </w:rPr>
        <w:t>ěrky v předpokládaném termínu 15</w:t>
      </w:r>
      <w:r>
        <w:rPr>
          <w:rFonts w:ascii="Bookman Old Style" w:hAnsi="Bookman Old Style"/>
        </w:rPr>
        <w:t>.</w:t>
      </w:r>
      <w:r w:rsidR="00DB79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4.</w:t>
      </w:r>
      <w:r w:rsidR="00DB7987">
        <w:rPr>
          <w:rFonts w:ascii="Bookman Old Style" w:hAnsi="Bookman Old Style"/>
        </w:rPr>
        <w:t xml:space="preserve"> 2019</w:t>
      </w:r>
      <w:r>
        <w:rPr>
          <w:rFonts w:ascii="Bookman Old Style" w:hAnsi="Bookman Old Style"/>
        </w:rPr>
        <w:t xml:space="preserve">. </w:t>
      </w:r>
    </w:p>
    <w:p w:rsidR="00CF357D" w:rsidRDefault="00E54C71">
      <w:pPr>
        <w:pStyle w:val="Odstavecseseznamem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Zpráva auditora bude vyhotovena a odb</w:t>
      </w:r>
      <w:r w:rsidR="00DB7987">
        <w:rPr>
          <w:rFonts w:ascii="Bookman Old Style" w:hAnsi="Bookman Old Style"/>
        </w:rPr>
        <w:t>ěrateli předána nejpozději do 20</w:t>
      </w:r>
      <w:r>
        <w:rPr>
          <w:rFonts w:ascii="Bookman Old Style" w:hAnsi="Bookman Old Style"/>
        </w:rPr>
        <w:t>.</w:t>
      </w:r>
      <w:r w:rsidR="00DB7987">
        <w:rPr>
          <w:rFonts w:ascii="Bookman Old Style" w:hAnsi="Bookman Old Style"/>
        </w:rPr>
        <w:t xml:space="preserve"> 4</w:t>
      </w:r>
      <w:r>
        <w:rPr>
          <w:rFonts w:ascii="Bookman Old Style" w:hAnsi="Bookman Old Style"/>
        </w:rPr>
        <w:t>.</w:t>
      </w:r>
      <w:r w:rsidR="00DB7987">
        <w:rPr>
          <w:rFonts w:ascii="Bookman Old Style" w:hAnsi="Bookman Old Style"/>
        </w:rPr>
        <w:t xml:space="preserve"> 2019</w:t>
      </w:r>
      <w:r>
        <w:rPr>
          <w:rFonts w:ascii="Bookman Old Style" w:hAnsi="Bookman Old Style"/>
        </w:rPr>
        <w:t xml:space="preserve">, do čtyř dnů od obdržení konečné podoby účetní závěrky auditorem a to v českém jazyce a ve 3 vyhotoveních. 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III.</w:t>
      </w: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DOBA TRVÁNÍ TÉTO SMLOUVY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Tato smlouva se uzavírá na dobu určitou </w:t>
      </w:r>
    </w:p>
    <w:p w:rsidR="00CF357D" w:rsidRDefault="00CF357D">
      <w:pPr>
        <w:spacing w:after="0"/>
        <w:jc w:val="center"/>
        <w:rPr>
          <w:rFonts w:ascii="Bookman Old Style" w:hAnsi="Bookman Old Style"/>
          <w:b/>
        </w:rPr>
      </w:pPr>
    </w:p>
    <w:p w:rsidR="00CF357D" w:rsidRDefault="00E54C71" w:rsidP="00E54C71">
      <w:pPr>
        <w:spacing w:after="0"/>
        <w:ind w:left="2832" w:firstLine="708"/>
      </w:pPr>
      <w:r>
        <w:rPr>
          <w:rFonts w:ascii="Bookman Old Style" w:hAnsi="Bookman Old Style"/>
          <w:b/>
        </w:rPr>
        <w:t>do 30. 4. 2019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>s platností pro účetní období započaté k datu 1. 1. 2018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 ukončení doby trvání smlouvy je možno tuto smlouvu dále prodloužit dohodou obou smluvních stran, která musí mít písemnou formu o další období.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Ukončit tuto smlouvu lze: </w:t>
      </w:r>
    </w:p>
    <w:p w:rsidR="00CF357D" w:rsidRDefault="00E54C71">
      <w:pPr>
        <w:pStyle w:val="Odstavecseseznamem"/>
        <w:numPr>
          <w:ilvl w:val="0"/>
          <w:numId w:val="3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písemnou výpovědí kterékoliv ze smluvních stran z důvodu uvedených v § 17 a zák. o auditorovi. Výpovědní lhůta činní 1 měsíc a počíná běžet prvním dnem měsíce následujícího po doručení výpovědi.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pStyle w:val="Odstavecseseznamem"/>
        <w:numPr>
          <w:ilvl w:val="0"/>
          <w:numId w:val="3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dohodou obou smluvních stran, která musí mít písemnou formu. </w:t>
      </w:r>
    </w:p>
    <w:p w:rsidR="00CF357D" w:rsidRDefault="00CF357D">
      <w:pPr>
        <w:pStyle w:val="Odstavecseseznamem"/>
        <w:jc w:val="both"/>
        <w:rPr>
          <w:rFonts w:ascii="Bookman Old Style" w:hAnsi="Bookman Old Style"/>
        </w:rPr>
      </w:pPr>
    </w:p>
    <w:p w:rsidR="00CF357D" w:rsidRDefault="00CF357D">
      <w:pPr>
        <w:pStyle w:val="Odstavecseseznamem"/>
        <w:spacing w:after="0"/>
        <w:ind w:left="435"/>
        <w:jc w:val="both"/>
        <w:rPr>
          <w:rFonts w:ascii="Bookman Old Style" w:hAnsi="Bookman Old Style"/>
        </w:rPr>
      </w:pPr>
    </w:p>
    <w:p w:rsidR="00CF357D" w:rsidRDefault="00CF357D">
      <w:pPr>
        <w:pStyle w:val="Odstavecseseznamem"/>
        <w:spacing w:after="0"/>
        <w:ind w:left="435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IV.</w:t>
      </w: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ODMĚNA ZA PROVEDENÍ PRÁCE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>Výše úplaty je stanovena smluvně na základě ustanovení zákona 526/1990 Sb., o cen</w:t>
      </w:r>
      <w:r w:rsidR="00DB7987">
        <w:rPr>
          <w:rFonts w:ascii="Bookman Old Style" w:hAnsi="Bookman Old Style"/>
        </w:rPr>
        <w:t xml:space="preserve">ách a činí </w:t>
      </w:r>
      <w:r w:rsidR="004D1752">
        <w:rPr>
          <w:rFonts w:ascii="Bookman Old Style" w:hAnsi="Bookman Old Style"/>
        </w:rPr>
        <w:t>7</w:t>
      </w:r>
      <w:r w:rsidR="00DB7987">
        <w:rPr>
          <w:rFonts w:ascii="Bookman Old Style" w:hAnsi="Bookman Old Style"/>
        </w:rPr>
        <w:t xml:space="preserve">5.000,- Kč bez DPH </w:t>
      </w:r>
      <w:r>
        <w:rPr>
          <w:rFonts w:ascii="Bookman Old Style" w:hAnsi="Bookman Old Style"/>
        </w:rPr>
        <w:t>za</w:t>
      </w:r>
      <w:r w:rsidR="000D523A">
        <w:rPr>
          <w:rFonts w:ascii="Bookman Old Style" w:hAnsi="Bookman Old Style"/>
        </w:rPr>
        <w:t xml:space="preserve"> provedení úkonu (Slovy sedmdesát</w:t>
      </w:r>
      <w:bookmarkStart w:id="0" w:name="_GoBack"/>
      <w:bookmarkEnd w:id="0"/>
      <w:r>
        <w:rPr>
          <w:rFonts w:ascii="Bookman Old Style" w:hAnsi="Bookman Old Style"/>
        </w:rPr>
        <w:t xml:space="preserve">pět tisíc korun) bez DPH. V této odměně jsou zahrnuty veškeré běžné režijní náklady auditora, zejména náhrady za administrativní práci, poplatky spojům, využívání výpočetní techniky, software, informačních databází, pojištění apod. V ceně není zahrnuta náhrada právních a jiných poplatků, cestovní výdaje, znalecké posudky, překlady, tlumočení, přepisy textů dodaných klientem a náhrady, které v případě vzniku budou odběratelem proplaceny auditorovi v prokázané výši za předpokladu jejich účelného vynaložení.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Úplata je splatná na základě řádně vystaveného daňového dokladu - faktury po dokončení úkonu a to převodem na účet auditora a to podle pokynů auditora na faktuře. </w:t>
      </w: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CF357D" w:rsidRDefault="00CF357D">
      <w:pPr>
        <w:spacing w:after="0"/>
        <w:jc w:val="both"/>
        <w:rPr>
          <w:rFonts w:ascii="Bookman Old Style" w:hAnsi="Bookman Old Style"/>
          <w:b/>
        </w:rPr>
      </w:pP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V.</w:t>
      </w:r>
    </w:p>
    <w:p w:rsidR="00CF357D" w:rsidRDefault="00E54C71">
      <w:pPr>
        <w:spacing w:after="0"/>
        <w:jc w:val="center"/>
      </w:pPr>
      <w:r>
        <w:rPr>
          <w:rFonts w:ascii="Bookman Old Style" w:hAnsi="Bookman Old Style"/>
          <w:b/>
        </w:rPr>
        <w:t>ZPŮSOB PROVEDENÍ PRÁCE</w:t>
      </w:r>
    </w:p>
    <w:p w:rsidR="00CF357D" w:rsidRDefault="00CF357D">
      <w:pPr>
        <w:spacing w:after="0"/>
        <w:jc w:val="center"/>
        <w:rPr>
          <w:rFonts w:ascii="Bookman Old Style" w:hAnsi="Bookman Old Style"/>
          <w:b/>
        </w:rPr>
      </w:pP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 xml:space="preserve">Práce budou provedeny podle mezinárodních auditorských standardů a aplikačních doložek vydaných Komorou auditorů ČR. Tyto standardy požadují plánovat a provést audit tak, aby auditor získal oprávněné přesvědčení, že účetní závěrka a výroční zpráva za rok 2018 neobsahuje žádné významné (materiální) nesprávnosti. Při výkonu auditu bude vykonavatel dodržovat etické podmínky vyplývající ze zákona o auditorech a Komoře auditorů ČR a z Etického řádu, vydaného Komorou auditorů ČR.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Předmětem statutárního (zákonného) auditu je: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Bookman Old Style" w:hAnsi="Bookman Old Style"/>
        </w:rPr>
        <w:t xml:space="preserve">Ověřit, zda údaje v účetní závěrce a výroční zprávě za rok 2018 věrně a poctivě zobrazují stav aktiv, pasiv, finanční situaci, náklady, výnosy a výsledek hospodaření v souladu s účetními předpisy platnými v České republice.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Bookman Old Style" w:hAnsi="Bookman Old Style"/>
        </w:rPr>
        <w:t xml:space="preserve">Zda účetnictví za rok 2018 je vedeno úplně, průkazným způsobem a správně.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 xml:space="preserve">Cílem auditu účetní závěrky a výroční zprávy za rok 2018, zpracované dle závazné metodiky, je umožnit auditorovi vyjádřit názor na tuto uzávěrku a výroční zprávy.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 vedení účetnictví a jeho úplnost, průkaznost a správnost odpovídá (ve znění zákona o obchodních korporacích, zákona o účetnictví, resp. Jiných předpisů) statutární orgán účetní jednotky. 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VI.</w:t>
      </w: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PRÁVA A POVINNOSTI AUDITORA A ÚČETNÍ JEDNOTKY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 xml:space="preserve">Povinností auditora je na základě provedeného auditu zpracovat zprávu a vyjádřit názor na účetní závěrku a výroční zprvu účetní jednotky za rok 2018. Auditor ověřuje informace prokazující údaje uvedené v účetní závěrce a výroční zprávě. Ověření se provádí výběrovým způsobem a podle zásady (materiální) významnosti vykazovaných skutečností. Auditor posuzuje také významné odhady a rozhodnutí vedení účetní jednotky, které se promítají do účetní závěrky a výroční zprávy za rok 2018.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 obsahuje rovněž zhodnocení používaných účetních zásad. Vzhledem k výběrovému způsobu ověřování obsahuje riziko, že nedojde k odhalení závažných chyb, podvodů nebo nezákonných aktů, pokud existují a že některé nesrovnalosti mohou zůstat neodhaleny (vzhledem k výběrovému způsobu ověřování). Ověření bude provedeno výběrovým způsobem při respektování významnosti vykazovaných skutečností.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Účetní jednotka se zavazuje umožnit auditorovi v rámci testu spolehlivosti dotazovat se třetích osob a současně s tímto zplnomocňuje auditora k vyžadování písemných informací od obchodních partnerů, bank aj. institucí. Na základě požadavků </w:t>
      </w:r>
      <w:r>
        <w:rPr>
          <w:rFonts w:ascii="Bookman Old Style" w:hAnsi="Bookman Old Style"/>
        </w:rPr>
        <w:lastRenderedPageBreak/>
        <w:t xml:space="preserve">poskytne auditorovi podpisem souhlas na jím zpracované korespondenci ke třetím osobám ohledně sdělení informace o podniku vztahující se k předmětu auditu.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Při formulování názoru na účetní závěrku a výroční zprávu auditor uplatňuje takové auditorské postupy, aby získal přiměřené ujištění o tom, že účetní závěrka i výroční zpráva podávají věrný a poctivý obraz podle zákona o účetnictví.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Auditor provede takové postupy, aby získal dostatečné a vhodné důkazní informace, že byly zjištěny všechny události do data vyhotovení zprávy auditora, které by mohly vyžadovat úpravy účetní závěrky či výroční zprávy nebo jejich uvedení v účetní závěrce či výroční zprávě.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Během lhůty plynoucí od data vyhotovení zprávy auditora do data zveřejnění účetní závěrky nebo výroční zprávy leží odpovědnost na vedení účetní jednotky. Auditorská zpráva bude označena datem posledního dne prací v termínu (u klienta/podniku).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 xml:space="preserve">Auditor zohlední vlivy na účetní závěrku a výroční zprávu roku 2018, které vznikly do termínu auditorské zprávy. Zpráva auditora však není potvrzením budoucí životaschopnosti účetní jednotky.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Auditor neprodleně informuje účetní jednotku o zjištěných závažnějších nedostatcích v účetní evidenci nebo při zpracování účetní závěrky. Pokud by auditor nezískal potřebnou míru jistoty u většiny významných položek účetní závěrky, je oprávněn odmítnout vydat auditorský výrok.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Auditor je oprávněn být přítomen při inventarizaci majetku a závazků účetní jednotky.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Zprávu auditora projedná auditor se statutárním orgánem účetní jednotky. </w:t>
      </w: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Případné připomínky tohoto orgánu ke zprávě auditora je auditor povinen písemně vypořádat.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Účetní jednotka je povinna poskytnout auditorovi potřebnou součinnost a všechny potřebné podklady, dokumenty, informace a vysvětlení, týkající se ověřovaného účetního období a potřebné k řádnému ověření skutečnosti k naplnění této smlouvy.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Účetní jednotka je povinna sdělit auditorovi termín schůzky statutárního orgánu účetní jednotky, na které má být projednána závěrečná zpráva auditora s výrokem k ověřované účetní závěrce.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Účetní jednotka bude poskytovat při auditu vykonavateli kopie těchto dokumentů: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právní informace</w:t>
      </w:r>
    </w:p>
    <w:p w:rsidR="00CF357D" w:rsidRDefault="00E54C71">
      <w:pPr>
        <w:spacing w:after="0"/>
        <w:jc w:val="both"/>
      </w:pPr>
      <w:r>
        <w:rPr>
          <w:rFonts w:ascii="Bookman Old Style" w:hAnsi="Bookman Old Style"/>
        </w:rPr>
        <w:t>- změny v organizační struktuře organizace během roku 2018</w:t>
      </w: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kopie zápisů z jednání statutárních a dozorčích orgánů z roku 2018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Další dokumenty poskytne podle požadavku vykonavatele v průběhu auditu. </w:t>
      </w: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DB7987" w:rsidRDefault="00DB7987">
      <w:pPr>
        <w:spacing w:after="0"/>
        <w:jc w:val="both"/>
        <w:rPr>
          <w:rFonts w:ascii="Bookman Old Style" w:hAnsi="Bookman Old Style"/>
        </w:rPr>
      </w:pP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VII.</w:t>
      </w:r>
    </w:p>
    <w:p w:rsidR="00CF357D" w:rsidRDefault="00E54C7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ZVLÁŠTNÍ UJEDNÁNÍ</w:t>
      </w:r>
    </w:p>
    <w:p w:rsidR="00CF357D" w:rsidRDefault="00E54C71">
      <w:r>
        <w:rPr>
          <w:rFonts w:ascii="Bookman Old Style" w:hAnsi="Bookman Old Style"/>
        </w:rPr>
        <w:t>a) Obě smluvní strany výslovně prohlašují, že žádné ustanovení této smlouvy o provedení auditu nepovažují za obchodní tajemství dle § 504 zák.</w:t>
      </w:r>
      <w:r w:rsidR="00DB79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č. 89/2012 Sb. občanského zákoníku a udělují svole</w:t>
      </w:r>
      <w:r w:rsidR="00DB7987">
        <w:rPr>
          <w:rFonts w:ascii="Bookman Old Style" w:hAnsi="Bookman Old Style"/>
        </w:rPr>
        <w:t xml:space="preserve">ní k jejich užití a zveřejnění </w:t>
      </w:r>
      <w:r>
        <w:rPr>
          <w:rFonts w:ascii="Bookman Old Style" w:hAnsi="Bookman Old Style"/>
        </w:rPr>
        <w:t>bez stanovení jakýchkoliv podmínek.</w:t>
      </w:r>
    </w:p>
    <w:p w:rsidR="00CF357D" w:rsidRDefault="00E54C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b) Obě smluvní strany výslovně sjednávají, že uveřejnění této smlouvy o provedení auditu v registru smluv dle zákona č. 340/2015 Sb. o zvláštních podmínkách účinnosti některých smluv, uveřejňování těchto smluv a o registru smluv, (zákon o registru s</w:t>
      </w:r>
      <w:r w:rsidR="00DB7987">
        <w:rPr>
          <w:rFonts w:ascii="Bookman Old Style" w:hAnsi="Bookman Old Style"/>
        </w:rPr>
        <w:t xml:space="preserve">mluv) zajistí Zemský hřebčinec </w:t>
      </w:r>
      <w:r>
        <w:rPr>
          <w:rFonts w:ascii="Bookman Old Style" w:hAnsi="Bookman Old Style"/>
        </w:rPr>
        <w:t xml:space="preserve">Písek </w:t>
      </w:r>
      <w:proofErr w:type="gramStart"/>
      <w:r>
        <w:rPr>
          <w:rFonts w:ascii="Bookman Old Style" w:hAnsi="Bookman Old Style"/>
        </w:rPr>
        <w:t>s.p.</w:t>
      </w:r>
      <w:proofErr w:type="gramEnd"/>
      <w:r>
        <w:rPr>
          <w:rFonts w:ascii="Bookman Old Style" w:hAnsi="Bookman Old Style"/>
        </w:rPr>
        <w:t xml:space="preserve">o.. </w:t>
      </w:r>
    </w:p>
    <w:p w:rsidR="00CF357D" w:rsidRDefault="00E54C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c) Obě smluvní strany souhlasí s tím, že tato smlouva o provedení auditu nabývá účinnosti uveřejněním v registru smluv a dále výslovně prohlašují, ž</w:t>
      </w:r>
      <w:r w:rsidR="00DB7987">
        <w:rPr>
          <w:rFonts w:ascii="Bookman Old Style" w:hAnsi="Bookman Old Style"/>
        </w:rPr>
        <w:t xml:space="preserve">e souhlasí se zveřejněním této </w:t>
      </w:r>
      <w:r>
        <w:rPr>
          <w:rFonts w:ascii="Bookman Old Style" w:hAnsi="Bookman Old Style"/>
        </w:rPr>
        <w:t>smlouvy o provedení auditu a metadat v ní uvedených v registru smluv.</w:t>
      </w:r>
    </w:p>
    <w:p w:rsidR="00CF357D" w:rsidRDefault="00E54C71">
      <w:pPr>
        <w:spacing w:after="0"/>
        <w:jc w:val="center"/>
      </w:pPr>
      <w:r>
        <w:rPr>
          <w:rFonts w:ascii="Bookman Old Style" w:hAnsi="Bookman Old Style"/>
          <w:b/>
        </w:rPr>
        <w:t>VIII.</w:t>
      </w:r>
    </w:p>
    <w:p w:rsidR="00CF357D" w:rsidRDefault="00E54C7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ZÁVĚREČNÁ USTANOVENÍ</w:t>
      </w:r>
    </w:p>
    <w:p w:rsidR="00CF357D" w:rsidRDefault="00CF357D">
      <w:pPr>
        <w:spacing w:after="0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Auditor a jím pověření pracovníci jsou povinní zachovat mlčenlivost o všech skutečnostech, o kterých se dozvěděli v souvislosti s výkonem své činnosti a nesmí jich zneužívat ke svému prospěchu nebo k prospěchu někoho jiného.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Právní vztahy vyplývající z této smlouvy o kontrole se řídí ustanoveními zákona o obchodních korporacích a platným právním řádem v místě plnění záležitosti. Smluvní strany prohlašují, že jim není známa žádná okolnost vylučující jejich svobodnou vůli, zejména to, že tuto smlouvu neuzavírají v tísni nebo za podmínek jinak pro ně nevýhodných.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Auditor je oprávněn odstoupit od smlouvy, dojde-li k narušení důvěry mezi ním a účetní jednotkou, neposkytne-li účetní jednotka potřebnou součinnost nebo nezaplatí-li účetní jednotka l bez závažného důvodu částku stanovenou v čl. IV.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Ukáže-li se některé z ustanovení této smlouvy neplatným, posoudí se vliv této vady na ostatní ustanovení této smlouvy ve smyslu § 576 zák. č. 89/2012 Sb. občanského zákoníku v platném znění, to platí obdobně pro případ zdánlivého (nicotného) ustanovení této smlouvy. V pochybnostech se má za to, že by k uzavření této smlouvy došlo i bez neplatné části. </w:t>
      </w: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Pokud jaká koly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 Pokud by tato smlouvy neobsahovala nějaké ustanovení, jehož </w:t>
      </w:r>
      <w:r>
        <w:rPr>
          <w:rFonts w:ascii="Bookman Old Style" w:hAnsi="Bookman Old Style"/>
        </w:rPr>
        <w:lastRenderedPageBreak/>
        <w:t xml:space="preserve">stanovení by bylo jinak pro vymezení práv a povinností odůvodněné, smluvní strany učiní vše proto, aby takové ustanovení bylo do této smlouvy doplněno.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Změny této smlouvy jsou možné pouze písemnou formou za souhlasu obou stran.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Smlouva nabývá platnosti podpisem zástupců výše uvedených smluvních stran. </w:t>
      </w:r>
    </w:p>
    <w:p w:rsidR="00CF357D" w:rsidRDefault="00CF357D">
      <w:pPr>
        <w:spacing w:after="0"/>
        <w:jc w:val="both"/>
        <w:rPr>
          <w:rFonts w:ascii="Bookman Old Style" w:hAnsi="Bookman Old Style"/>
        </w:rPr>
      </w:pPr>
    </w:p>
    <w:p w:rsidR="00CF357D" w:rsidRDefault="00E54C71">
      <w:pPr>
        <w:spacing w:after="0"/>
        <w:jc w:val="both"/>
        <w:rPr>
          <w:rFonts w:ascii="Bookman Old Style" w:hAnsi="Bookman Old Style" w:cs="Arial"/>
          <w:iCs/>
          <w:color w:val="070707"/>
          <w:highlight w:val="white"/>
        </w:rPr>
      </w:pPr>
      <w:r>
        <w:rPr>
          <w:rFonts w:ascii="Bookman Old Style" w:hAnsi="Bookman Old Style"/>
        </w:rPr>
        <w:t xml:space="preserve">Smlouva nabývá účinnosti dnem zveřejnění v registru smluv dle zákona č. 340/2015 Sb. </w:t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>o zvláštních podmínkách účinnosti některých smluv, uveřejňování těchto smluv a o registru smluv (zákon o registru smluv)</w:t>
      </w:r>
    </w:p>
    <w:p w:rsidR="00CF357D" w:rsidRDefault="00CF357D">
      <w:pPr>
        <w:spacing w:after="0"/>
        <w:jc w:val="both"/>
        <w:rPr>
          <w:rFonts w:ascii="Bookman Old Style" w:hAnsi="Bookman Old Style" w:cs="Arial"/>
          <w:iCs/>
          <w:color w:val="070707"/>
          <w:highlight w:val="white"/>
        </w:rPr>
      </w:pPr>
    </w:p>
    <w:p w:rsidR="00CF357D" w:rsidRDefault="00E54C71">
      <w:pPr>
        <w:spacing w:after="0"/>
        <w:jc w:val="both"/>
        <w:rPr>
          <w:rFonts w:ascii="Bookman Old Style" w:hAnsi="Bookman Old Style" w:cs="Arial"/>
          <w:iCs/>
          <w:color w:val="070707"/>
          <w:highlight w:val="white"/>
        </w:rPr>
      </w:pPr>
      <w:r>
        <w:rPr>
          <w:rFonts w:ascii="Bookman Old Style" w:hAnsi="Bookman Old Style" w:cs="Arial"/>
          <w:iCs/>
          <w:color w:val="070707"/>
          <w:shd w:val="clear" w:color="auto" w:fill="FFFFFF"/>
        </w:rPr>
        <w:t xml:space="preserve">Tato smlouva je vyhotovena ve dvou vyhotoveních a každý účastník obdrží po jednom vyhotovení. </w:t>
      </w:r>
    </w:p>
    <w:p w:rsidR="00CF357D" w:rsidRDefault="00CF357D">
      <w:pPr>
        <w:spacing w:after="0"/>
        <w:jc w:val="both"/>
        <w:rPr>
          <w:rFonts w:ascii="Bookman Old Style" w:hAnsi="Bookman Old Style" w:cs="Arial"/>
          <w:iCs/>
          <w:color w:val="070707"/>
          <w:highlight w:val="white"/>
        </w:rPr>
      </w:pPr>
    </w:p>
    <w:p w:rsidR="00CF357D" w:rsidRDefault="00E54C71">
      <w:pPr>
        <w:spacing w:after="0"/>
        <w:jc w:val="both"/>
        <w:rPr>
          <w:rFonts w:ascii="Bookman Old Style" w:hAnsi="Bookman Old Style" w:cs="Arial"/>
          <w:iCs/>
          <w:color w:val="070707"/>
          <w:highlight w:val="white"/>
        </w:rPr>
      </w:pPr>
      <w:r>
        <w:rPr>
          <w:rFonts w:ascii="Bookman Old Style" w:hAnsi="Bookman Old Style" w:cs="Arial"/>
          <w:iCs/>
          <w:color w:val="070707"/>
          <w:shd w:val="clear" w:color="auto" w:fill="FFFFFF"/>
        </w:rPr>
        <w:t xml:space="preserve">Po přečtení této smlouvy obě smluvní strany prohlašují, že byla uzavřena podle jejich, pravé, vážné a svobodné vůle, že s jejím obsahem plně souhlasí a na důkaz toho připojují své podpisy k této smlouvě. </w:t>
      </w:r>
    </w:p>
    <w:p w:rsidR="00CF357D" w:rsidRDefault="00CF357D">
      <w:pPr>
        <w:spacing w:after="0"/>
        <w:jc w:val="both"/>
        <w:rPr>
          <w:rFonts w:ascii="Bookman Old Style" w:hAnsi="Bookman Old Style" w:cs="Arial"/>
          <w:iCs/>
          <w:color w:val="070707"/>
          <w:highlight w:val="white"/>
        </w:rPr>
      </w:pPr>
    </w:p>
    <w:p w:rsidR="00CF357D" w:rsidRDefault="00E54C71">
      <w:pPr>
        <w:spacing w:after="0"/>
        <w:rPr>
          <w:rFonts w:ascii="Bookman Old Style" w:hAnsi="Bookman Old Style" w:cs="Arial"/>
          <w:iCs/>
          <w:color w:val="070707"/>
          <w:highlight w:val="white"/>
        </w:rPr>
      </w:pPr>
      <w:r>
        <w:rPr>
          <w:rFonts w:ascii="Bookman Old Style" w:hAnsi="Bookman Old Style" w:cs="Arial"/>
          <w:iCs/>
          <w:color w:val="070707"/>
          <w:shd w:val="clear" w:color="auto" w:fill="FFFFFF"/>
        </w:rPr>
        <w:t xml:space="preserve">V Písku dne </w:t>
      </w:r>
      <w:proofErr w:type="gramStart"/>
      <w:r w:rsidR="004D1752">
        <w:rPr>
          <w:rFonts w:ascii="Bookman Old Style" w:hAnsi="Bookman Old Style" w:cs="Arial"/>
          <w:iCs/>
          <w:color w:val="070707"/>
          <w:shd w:val="clear" w:color="auto" w:fill="FFFFFF"/>
        </w:rPr>
        <w:t>5.4.2019</w:t>
      </w:r>
      <w:proofErr w:type="gramEnd"/>
    </w:p>
    <w:p w:rsidR="00CF357D" w:rsidRDefault="00CF357D">
      <w:pPr>
        <w:spacing w:after="0"/>
        <w:rPr>
          <w:rFonts w:ascii="Bookman Old Style" w:hAnsi="Bookman Old Style" w:cs="Arial"/>
          <w:iCs/>
          <w:color w:val="070707"/>
          <w:highlight w:val="white"/>
        </w:rPr>
      </w:pPr>
    </w:p>
    <w:p w:rsidR="00CF357D" w:rsidRDefault="00CF357D">
      <w:pPr>
        <w:spacing w:after="0"/>
        <w:rPr>
          <w:rFonts w:ascii="Bookman Old Style" w:hAnsi="Bookman Old Style" w:cs="Arial"/>
          <w:iCs/>
          <w:color w:val="070707"/>
          <w:highlight w:val="white"/>
        </w:rPr>
      </w:pPr>
    </w:p>
    <w:p w:rsidR="00CF357D" w:rsidRDefault="00E54C71">
      <w:pPr>
        <w:spacing w:after="0"/>
      </w:pPr>
      <w:r>
        <w:rPr>
          <w:rFonts w:ascii="Bookman Old Style" w:hAnsi="Bookman Old Style" w:cs="Arial"/>
          <w:iCs/>
          <w:color w:val="070707"/>
          <w:shd w:val="clear" w:color="auto" w:fill="FFFFFF"/>
        </w:rPr>
        <w:t>………………………………………………</w:t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  <w:t>………………………………………</w:t>
      </w:r>
      <w:proofErr w:type="gramStart"/>
      <w:r>
        <w:rPr>
          <w:rFonts w:ascii="Bookman Old Style" w:hAnsi="Bookman Old Style" w:cs="Arial"/>
          <w:iCs/>
          <w:color w:val="070707"/>
          <w:shd w:val="clear" w:color="auto" w:fill="FFFFFF"/>
        </w:rPr>
        <w:t>…..</w:t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  <w:t xml:space="preserve">        auditor</w:t>
      </w:r>
      <w:proofErr w:type="gramEnd"/>
      <w:r>
        <w:rPr>
          <w:rFonts w:ascii="Bookman Old Style" w:hAnsi="Bookman Old Style" w:cs="Arial"/>
          <w:iCs/>
          <w:color w:val="070707"/>
          <w:shd w:val="clear" w:color="auto" w:fill="FFFFFF"/>
        </w:rPr>
        <w:t xml:space="preserve"> </w:t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  <w:t xml:space="preserve">Účetní jednotka </w:t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</w:r>
      <w:r>
        <w:rPr>
          <w:rFonts w:ascii="Bookman Old Style" w:hAnsi="Bookman Old Style" w:cs="Arial"/>
          <w:iCs/>
          <w:color w:val="070707"/>
          <w:shd w:val="clear" w:color="auto" w:fill="FFFFFF"/>
        </w:rPr>
        <w:tab/>
        <w:t xml:space="preserve"> </w:t>
      </w:r>
    </w:p>
    <w:sectPr w:rsidR="00CF357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F165C"/>
    <w:multiLevelType w:val="multilevel"/>
    <w:tmpl w:val="14C416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F9408A"/>
    <w:multiLevelType w:val="multilevel"/>
    <w:tmpl w:val="52003B2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FB6456"/>
    <w:multiLevelType w:val="multilevel"/>
    <w:tmpl w:val="FE7C99B6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2360924"/>
    <w:multiLevelType w:val="multilevel"/>
    <w:tmpl w:val="D81ADE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7D"/>
    <w:rsid w:val="000D523A"/>
    <w:rsid w:val="004D1752"/>
    <w:rsid w:val="00CF357D"/>
    <w:rsid w:val="00DB7987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6F86D-60E7-4E4B-B231-D72BA85C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9637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Bookman Old Style" w:eastAsia="Calibri" w:hAnsi="Bookman Old Styl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063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963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Vchoz">
    <w:name w:val="Výchozí"/>
    <w:qFormat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1753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Vávrová</dc:creator>
  <dc:description/>
  <cp:lastModifiedBy>Emilie Vávrová</cp:lastModifiedBy>
  <cp:revision>2</cp:revision>
  <cp:lastPrinted>2019-04-11T11:43:00Z</cp:lastPrinted>
  <dcterms:created xsi:type="dcterms:W3CDTF">2019-04-11T11:57:00Z</dcterms:created>
  <dcterms:modified xsi:type="dcterms:W3CDTF">2019-04-11T11:57:00Z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