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8E6" w:rsidRDefault="00172DBD">
      <w:pPr>
        <w:spacing w:after="0" w:line="240" w:lineRule="auto"/>
        <w:jc w:val="both"/>
        <w:rPr>
          <w:b/>
        </w:rPr>
      </w:pPr>
      <w:r>
        <w:rPr>
          <w:b/>
        </w:rPr>
        <w:t>Výpočet kompenzace</w:t>
      </w:r>
    </w:p>
    <w:p w:rsidR="008A28E6" w:rsidRDefault="00172DBD">
      <w:pPr>
        <w:spacing w:after="0" w:line="240" w:lineRule="auto"/>
        <w:jc w:val="both"/>
        <w:rPr>
          <w:b/>
        </w:rPr>
      </w:pPr>
      <w:r>
        <w:rPr>
          <w:b/>
        </w:rPr>
        <w:t xml:space="preserve"> </w:t>
      </w:r>
    </w:p>
    <w:p w:rsidR="008A28E6" w:rsidRDefault="00172DBD">
      <w:pPr>
        <w:spacing w:after="0"/>
        <w:jc w:val="center"/>
        <w:rPr>
          <w:b/>
          <w:sz w:val="36"/>
          <w:szCs w:val="36"/>
          <w:shd w:val="clear" w:color="auto" w:fill="BFBFBF"/>
        </w:rPr>
      </w:pPr>
      <w:r>
        <w:rPr>
          <w:b/>
          <w:sz w:val="36"/>
          <w:szCs w:val="36"/>
          <w:shd w:val="clear" w:color="auto" w:fill="BFBFBF"/>
        </w:rPr>
        <w:t>ZKRATKY A POJMY</w:t>
      </w:r>
    </w:p>
    <w:p w:rsidR="008A28E6" w:rsidRDefault="00172DBD">
      <w:pPr>
        <w:spacing w:after="0"/>
        <w:jc w:val="both"/>
      </w:pPr>
      <w:r>
        <w:t xml:space="preserve"> </w:t>
      </w:r>
    </w:p>
    <w:p w:rsidR="008A28E6" w:rsidRDefault="00172DBD">
      <w:pPr>
        <w:pStyle w:val="Nadpis1"/>
        <w:keepNext w:val="0"/>
        <w:shd w:val="clear" w:color="auto" w:fill="auto"/>
        <w:spacing w:before="480" w:after="120" w:line="240" w:lineRule="auto"/>
        <w:ind w:left="0"/>
        <w:jc w:val="both"/>
        <w:rPr>
          <w:smallCaps w:val="0"/>
          <w:sz w:val="46"/>
          <w:szCs w:val="46"/>
        </w:rPr>
      </w:pPr>
      <w:bookmarkStart w:id="0" w:name="_30j0zll" w:colFirst="0" w:colLast="0"/>
      <w:bookmarkEnd w:id="0"/>
      <w:r>
        <w:rPr>
          <w:smallCaps w:val="0"/>
          <w:sz w:val="46"/>
          <w:szCs w:val="46"/>
        </w:rPr>
        <w:t>1          Zkratky</w:t>
      </w:r>
    </w:p>
    <w:p w:rsidR="008A28E6" w:rsidRDefault="00172DBD">
      <w:pPr>
        <w:spacing w:after="0"/>
        <w:jc w:val="both"/>
      </w:pPr>
      <w:r>
        <w:rPr>
          <w:b/>
        </w:rPr>
        <w:t xml:space="preserve">ČSÚ                   </w:t>
      </w:r>
      <w:r>
        <w:rPr>
          <w:b/>
        </w:rPr>
        <w:tab/>
      </w:r>
      <w:r>
        <w:t>Český statistický úřad, případně jiný úřad, který nahradí kompetence ČSÚ</w:t>
      </w:r>
    </w:p>
    <w:p w:rsidR="008A28E6" w:rsidRDefault="00172DBD">
      <w:pPr>
        <w:spacing w:after="0"/>
        <w:jc w:val="both"/>
      </w:pPr>
      <w:r>
        <w:rPr>
          <w:b/>
        </w:rPr>
        <w:t xml:space="preserve">DPH                  </w:t>
      </w:r>
      <w:r>
        <w:rPr>
          <w:b/>
        </w:rPr>
        <w:tab/>
      </w:r>
      <w:r>
        <w:t>Daň z přidané hodnoty</w:t>
      </w:r>
    </w:p>
    <w:p w:rsidR="008A28E6" w:rsidRDefault="00172DBD">
      <w:pPr>
        <w:spacing w:after="0"/>
        <w:jc w:val="both"/>
      </w:pPr>
      <w:r>
        <w:rPr>
          <w:b/>
        </w:rPr>
        <w:t xml:space="preserve">IDP                    </w:t>
      </w:r>
      <w:r>
        <w:rPr>
          <w:b/>
        </w:rPr>
        <w:tab/>
      </w:r>
      <w:r>
        <w:t>Integrovaná doprava Plzeňska</w:t>
      </w:r>
    </w:p>
    <w:p w:rsidR="008A28E6" w:rsidRDefault="00172DBD">
      <w:pPr>
        <w:spacing w:after="0"/>
        <w:jc w:val="both"/>
      </w:pPr>
      <w:r>
        <w:rPr>
          <w:b/>
        </w:rPr>
        <w:t xml:space="preserve">Nařízení          </w:t>
      </w:r>
      <w:r>
        <w:rPr>
          <w:b/>
        </w:rPr>
        <w:tab/>
      </w:r>
      <w:proofErr w:type="spellStart"/>
      <w:r>
        <w:t>Nařízení</w:t>
      </w:r>
      <w:proofErr w:type="spellEnd"/>
      <w:r>
        <w:t xml:space="preserve"> Evropského parlamentu a Rady (ES) č. 1370/2007 ze dne 23. října 2007 o                        veřejných službách v přepravě cestujících po železnici a silnici a o zrušení nařízení Rady (EHS) č. 1191/69 a č. 1107/70, v platném znění</w:t>
      </w:r>
    </w:p>
    <w:p w:rsidR="008A28E6" w:rsidRDefault="00172DBD">
      <w:pPr>
        <w:spacing w:after="0"/>
        <w:jc w:val="both"/>
      </w:pPr>
      <w:r>
        <w:rPr>
          <w:b/>
        </w:rPr>
        <w:t xml:space="preserve">OZ                      </w:t>
      </w:r>
      <w:r>
        <w:rPr>
          <w:b/>
        </w:rPr>
        <w:tab/>
      </w:r>
      <w:r>
        <w:t>Zákon č. 89/2012 Sb., občanský zákoník, v platném znění</w:t>
      </w:r>
    </w:p>
    <w:p w:rsidR="008A28E6" w:rsidRDefault="00172DBD">
      <w:pPr>
        <w:spacing w:after="0"/>
        <w:jc w:val="both"/>
      </w:pPr>
      <w:r>
        <w:rPr>
          <w:b/>
        </w:rPr>
        <w:t xml:space="preserve">km                     </w:t>
      </w:r>
      <w:r>
        <w:rPr>
          <w:b/>
        </w:rPr>
        <w:tab/>
      </w:r>
      <w:r>
        <w:t>Kilometr (výkonu)</w:t>
      </w:r>
    </w:p>
    <w:p w:rsidR="008A28E6" w:rsidRDefault="00172DBD">
      <w:pPr>
        <w:spacing w:after="0"/>
        <w:jc w:val="both"/>
      </w:pPr>
      <w:proofErr w:type="spellStart"/>
      <w:r>
        <w:rPr>
          <w:b/>
        </w:rPr>
        <w:t>ZoVS</w:t>
      </w:r>
      <w:proofErr w:type="spellEnd"/>
      <w:r>
        <w:rPr>
          <w:b/>
        </w:rPr>
        <w:t xml:space="preserve">                 </w:t>
      </w:r>
      <w:r>
        <w:rPr>
          <w:b/>
        </w:rPr>
        <w:tab/>
      </w:r>
      <w:r>
        <w:t>Zákon č. 194/2010 Sb., o veřejných službách v přepravě cestujících a o změně dalších zákonů, v platném znění</w:t>
      </w:r>
    </w:p>
    <w:p w:rsidR="008A28E6" w:rsidRDefault="00172DBD">
      <w:pPr>
        <w:spacing w:after="0"/>
        <w:jc w:val="both"/>
      </w:pPr>
      <w:r>
        <w:rPr>
          <w:b/>
        </w:rPr>
        <w:t xml:space="preserve">ZZVZ                 </w:t>
      </w:r>
      <w:r>
        <w:rPr>
          <w:b/>
        </w:rPr>
        <w:tab/>
      </w:r>
      <w:r>
        <w:t>Zákon č. 134/2016 Sb., o zadávání veřejných zakázek, v platném znění</w:t>
      </w:r>
    </w:p>
    <w:p w:rsidR="008A28E6" w:rsidRDefault="00172DBD">
      <w:pPr>
        <w:spacing w:after="0"/>
        <w:jc w:val="both"/>
      </w:pPr>
      <w:r>
        <w:rPr>
          <w:b/>
        </w:rPr>
        <w:t xml:space="preserve">2020/2021       </w:t>
      </w:r>
      <w:r>
        <w:rPr>
          <w:b/>
        </w:rPr>
        <w:tab/>
      </w:r>
      <w:r>
        <w:t>Dopravní rok se zahájením platnosti od prosincové změny JŘ v roce 2020 platící do dne předcházející změně Jízdních řádů v prosinci roku 2021 (pro druhý rok trvání smlouvy)</w:t>
      </w:r>
    </w:p>
    <w:p w:rsidR="008A28E6" w:rsidRDefault="00172DBD">
      <w:pPr>
        <w:spacing w:after="0"/>
        <w:jc w:val="both"/>
      </w:pPr>
      <w:r>
        <w:rPr>
          <w:b/>
        </w:rPr>
        <w:t>CV MF</w:t>
      </w:r>
      <w:r>
        <w:t xml:space="preserve">              </w:t>
      </w:r>
      <w:r>
        <w:tab/>
        <w:t>Cenový výměr Ministerstva financí</w:t>
      </w:r>
    </w:p>
    <w:p w:rsidR="008A28E6" w:rsidRDefault="00172DBD">
      <w:pPr>
        <w:pStyle w:val="Nadpis1"/>
        <w:keepNext w:val="0"/>
        <w:shd w:val="clear" w:color="auto" w:fill="auto"/>
        <w:spacing w:before="480" w:after="120" w:line="240" w:lineRule="auto"/>
        <w:ind w:left="0"/>
        <w:jc w:val="both"/>
        <w:rPr>
          <w:smallCaps w:val="0"/>
          <w:sz w:val="46"/>
          <w:szCs w:val="46"/>
        </w:rPr>
      </w:pPr>
      <w:bookmarkStart w:id="1" w:name="_1fob9te" w:colFirst="0" w:colLast="0"/>
      <w:bookmarkEnd w:id="1"/>
      <w:r>
        <w:rPr>
          <w:smallCaps w:val="0"/>
          <w:sz w:val="46"/>
          <w:szCs w:val="46"/>
        </w:rPr>
        <w:t>2          Pojmy</w:t>
      </w:r>
    </w:p>
    <w:p w:rsidR="008A28E6" w:rsidRDefault="00172DBD">
      <w:pPr>
        <w:spacing w:after="0"/>
        <w:jc w:val="both"/>
      </w:pPr>
      <w:r>
        <w:rPr>
          <w:b/>
          <w:i/>
        </w:rPr>
        <w:t xml:space="preserve">Finanční model </w:t>
      </w:r>
      <w:r>
        <w:t>je elektronický výpočetní nástroj v MS Excel, který slouží ke kalkulaci Nabídkové ceny a následnému výpočtu Ceny dopravního výkonu a Kompenzace ze Smlouvy s vybraným Dopravcem, v závislosti na vývoji cenotvorných položek, odchylce Objednávky od Výchozího rozsahu veřejných služeb či Výchozího počtu Základních vozidel a konečném vyúčtování Realizované skutečnosti vůči Objednávce. Finanční model se člení na období Dopravních let, nikoliv období kalendářních roků (s výjimkou uvedenou dále).</w:t>
      </w:r>
    </w:p>
    <w:p w:rsidR="008A28E6" w:rsidRDefault="00172DBD">
      <w:pPr>
        <w:spacing w:after="0"/>
        <w:jc w:val="both"/>
      </w:pPr>
      <w:r>
        <w:t xml:space="preserve"> </w:t>
      </w:r>
    </w:p>
    <w:p w:rsidR="008A28E6" w:rsidRDefault="00172DBD">
      <w:pPr>
        <w:spacing w:after="0"/>
        <w:jc w:val="both"/>
      </w:pPr>
      <w:r>
        <w:t xml:space="preserve">Pro podání nabídky se vyplňují listy </w:t>
      </w:r>
      <w:r>
        <w:rPr>
          <w:i/>
        </w:rPr>
        <w:t xml:space="preserve">Vozidla, Variabilní náklady dle typu </w:t>
      </w:r>
      <w:r>
        <w:t>a</w:t>
      </w:r>
      <w:r>
        <w:rPr>
          <w:i/>
        </w:rPr>
        <w:t xml:space="preserve"> Model výchozí (MV). </w:t>
      </w:r>
      <w:r>
        <w:t xml:space="preserve">Hodnoty z těchto listů (žlutě podbarvené, vyplněné Dopravcem) se automaticky přenášejí do dalších listů a dále se aktualizují v listech </w:t>
      </w:r>
      <w:r>
        <w:rPr>
          <w:i/>
        </w:rPr>
        <w:t xml:space="preserve">MV navýšený rozsah </w:t>
      </w:r>
      <w:r>
        <w:t xml:space="preserve">a </w:t>
      </w:r>
      <w:r>
        <w:rPr>
          <w:i/>
        </w:rPr>
        <w:t xml:space="preserve">MV indexovaný. </w:t>
      </w:r>
      <w:r>
        <w:t xml:space="preserve">V listu </w:t>
      </w:r>
      <w:r>
        <w:rPr>
          <w:i/>
        </w:rPr>
        <w:t xml:space="preserve">Nabídková cena </w:t>
      </w:r>
      <w:r>
        <w:t>jsou pak uvedeny tři hodnoty z předchozích listů (Model výchozí (MV), MV navýšený rozsah, MV indexový), kterým je přiřazena příslušná váha z listu Nabídková cena sloupec C. Výslednou hodnotou je Nabídková cena [Kč/km] (v buňce B6), která je hodnotícím kritériem veřejné zakázky.</w:t>
      </w:r>
    </w:p>
    <w:p w:rsidR="008A28E6" w:rsidRDefault="00172DBD">
      <w:pPr>
        <w:spacing w:after="0"/>
        <w:jc w:val="both"/>
      </w:pPr>
      <w:r>
        <w:t xml:space="preserve"> </w:t>
      </w:r>
    </w:p>
    <w:p w:rsidR="008A28E6" w:rsidRDefault="00172DBD">
      <w:pPr>
        <w:spacing w:after="0"/>
        <w:ind w:left="1080" w:hanging="360"/>
        <w:jc w:val="both"/>
        <w:rPr>
          <w:i/>
        </w:rPr>
      </w:pPr>
      <w:r>
        <w:rPr>
          <w:rFonts w:ascii="Noto Sans Symbols" w:eastAsia="Noto Sans Symbols" w:hAnsi="Noto Sans Symbols" w:cs="Noto Sans Symbols"/>
        </w:rPr>
        <w:t xml:space="preserve">●        </w:t>
      </w:r>
      <w:r>
        <w:rPr>
          <w:b/>
          <w:i/>
        </w:rPr>
        <w:t xml:space="preserve">Model výchozí (MV) </w:t>
      </w:r>
      <w:r>
        <w:t xml:space="preserve">slouží k jednorázovému zadání cenotvorných položek Dopravcem, které vstupují do výpočtu Ceny dopravního výkonu (CDV) a podle kterých je spočtena jedna ze složek Nabídkové ceny. Dopravce zde zadává cenotvorné položky v cenové úrovni roku 2018 na celou Dobu plnění. Po celé toto období je MV založen na předpokladu Výchozího </w:t>
      </w:r>
      <w:r>
        <w:lastRenderedPageBreak/>
        <w:t xml:space="preserve">rozsahu veřejných služeb a Výchozího počtu Základních vozidel. Dopravce dále v MV uvádí variabilitu cenotvorných položek k dopravnímu výkonu a k Vozidlům procentuálním podílem, neměnným po celé období Smlouvy (sloupce X, Y, Z „Přiřazení položek“; sloupec X – „Výkon“, sloupec Y – „Vozidlo“, sloupec Z – „Fixní“). Průměrná hodnota z CDV jednotková (buňka W26) v cenové úrovni roku 2018 je prvním z hodnotících kritérií. Podklady pro vyplnění tohoto listu Dopravce zadává i do listů </w:t>
      </w:r>
      <w:r>
        <w:rPr>
          <w:i/>
        </w:rPr>
        <w:t xml:space="preserve">Vozidla </w:t>
      </w:r>
      <w:r>
        <w:t>a</w:t>
      </w:r>
      <w:r>
        <w:rPr>
          <w:i/>
        </w:rPr>
        <w:t xml:space="preserve"> Variabilní náklady dle typu.</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MV navýšený rozsah </w:t>
      </w:r>
      <w:r>
        <w:t xml:space="preserve">Dopravce nevyplňuje, list přepočítává náklady z listu </w:t>
      </w:r>
      <w:r>
        <w:rPr>
          <w:i/>
        </w:rPr>
        <w:t>Model výchozí (MV)</w:t>
      </w:r>
      <w:r>
        <w:t xml:space="preserve"> pro navýšený Výchozí rozsah veřejných služeb. Navýšení výkonu definoval Objednatel a je stanoveno na 5 % Výchozího rozsahu veřejných služeb. V listu jsou přepočítávány ty složky nákladů, které souvisí s výkonem podle hodnot uvedených Dopravcem z listu </w:t>
      </w:r>
      <w:r>
        <w:rPr>
          <w:i/>
        </w:rPr>
        <w:t xml:space="preserve">Model výchozí </w:t>
      </w:r>
      <w:proofErr w:type="gramStart"/>
      <w:r>
        <w:rPr>
          <w:i/>
        </w:rPr>
        <w:t>MV</w:t>
      </w:r>
      <w:r>
        <w:t xml:space="preserve">  (</w:t>
      </w:r>
      <w:proofErr w:type="gramEnd"/>
      <w:r>
        <w:t>sloupec X). (Příklad – řádek MV Pohonné hmoty 63 000 000 Kč), navýšení výkonu/rozsahu +5 %, Dopravcem udaná míra dopadu do variabilních nákladů 90 %, náklady pro navýšený výkon/rozsah = (1,05 * 90 %) * 63 000 000). Obdobným způsobem se přepočtou všechny hodnoty v příslušném sloupci pro konkrétní Dopravní rok. Průměrná hodnota z CDV jednotková (při navýšení výkonu) v buňce W26  je druhým z hodnotících kritérií.</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MV indexovaný –</w:t>
      </w:r>
      <w:r>
        <w:t xml:space="preserve"> náklady na listu </w:t>
      </w:r>
      <w:r>
        <w:rPr>
          <w:i/>
        </w:rPr>
        <w:t>Model výchozí (MV)</w:t>
      </w:r>
      <w:r>
        <w:t xml:space="preserve"> jsou přepočítány teoretickými indexy stanovenými Objednatelem na listu </w:t>
      </w:r>
      <w:r>
        <w:rPr>
          <w:i/>
        </w:rPr>
        <w:t>Indexy Nabídky</w:t>
      </w:r>
      <w:r>
        <w:t>, které jsou pro všechny Dopravce stejné. Takto (v buňce W26) vypočítaná průměrná hodnota z CDV jednotková (indexovaná po dobu 10 let) je třetím (posledním) z hodnotících kritérií. Má nejvyšší váhu v hodnocení.</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Nabídková cena</w:t>
      </w:r>
      <w:r>
        <w:t xml:space="preserve"> </w:t>
      </w:r>
      <w:r>
        <w:rPr>
          <w:b/>
          <w:i/>
        </w:rPr>
        <w:t>[Kč/km]</w:t>
      </w:r>
      <w:r>
        <w:t xml:space="preserve"> je cena, která je předmětem hodnocení zakázky. Vypočte se z CDV jednotkové [Kč/km] – Průměr (list </w:t>
      </w:r>
      <w:r>
        <w:rPr>
          <w:i/>
        </w:rPr>
        <w:t>Model výchozí (MV),</w:t>
      </w:r>
      <w:r>
        <w:t xml:space="preserve"> buňka W26), CDV jednotkové po navýšení [Kč/km] – Průměr (list </w:t>
      </w:r>
      <w:r>
        <w:rPr>
          <w:i/>
        </w:rPr>
        <w:t xml:space="preserve">MV navýšený rozsah, </w:t>
      </w:r>
      <w:r>
        <w:t xml:space="preserve">buňka W26) a CDV jednotkové [Kč/km] – Průměr (list </w:t>
      </w:r>
      <w:r>
        <w:rPr>
          <w:i/>
        </w:rPr>
        <w:t xml:space="preserve">MV Indexovaný, </w:t>
      </w:r>
      <w:r>
        <w:t xml:space="preserve">buňka W26) po indexaci teoretickými indexy [Kč/km] – Průměr, jako vážená hodnota těchto tří složek. Uvádí se s přesností na dvě desetinná místa. Hodnota vypočtená v listu </w:t>
      </w:r>
      <w:r>
        <w:rPr>
          <w:i/>
        </w:rPr>
        <w:t xml:space="preserve">MV Indexovaný </w:t>
      </w:r>
      <w:r>
        <w:t>(buňka V24) - předpokládaná výše nákladů za 10 let plnění smlouvy stanovená z hodnot Modelu indexovaného, který se nejvíce přibližuje skutečnosti. Uvádí se s přesností na celé koruny.</w:t>
      </w:r>
    </w:p>
    <w:p w:rsidR="008A28E6" w:rsidRDefault="00172DBD">
      <w:pPr>
        <w:spacing w:after="0"/>
        <w:ind w:left="1440" w:hanging="720"/>
        <w:jc w:val="both"/>
      </w:pPr>
      <w:r>
        <w:t xml:space="preserve"> </w:t>
      </w:r>
    </w:p>
    <w:p w:rsidR="008A28E6" w:rsidRDefault="00172DBD">
      <w:pPr>
        <w:spacing w:after="0"/>
        <w:jc w:val="both"/>
      </w:pPr>
      <w:r>
        <w:t xml:space="preserve">Objednatel rozhodl, že maximální výše průměrné jednotkové CDV nesmí překročit hodnotu 40,00 Kč/km (list </w:t>
      </w:r>
      <w:r>
        <w:rPr>
          <w:i/>
        </w:rPr>
        <w:t>Model výchozí (MV)</w:t>
      </w:r>
      <w:r>
        <w:t xml:space="preserve">, buňka W26). Hodnota se přenáší do listu </w:t>
      </w:r>
      <w:r>
        <w:rPr>
          <w:i/>
        </w:rPr>
        <w:t>Nabídková cena</w:t>
      </w:r>
      <w:r>
        <w:t>, do buňky B3. V případě, že by hodnota převyšovala Objednatelem stanovenou mez, Nabídková cena pro zakázku nepůjde vypočítat, buňka B6 bude hlásit chybu.</w:t>
      </w:r>
    </w:p>
    <w:p w:rsidR="008A28E6" w:rsidRDefault="00172DBD">
      <w:pPr>
        <w:spacing w:after="0"/>
        <w:ind w:left="1440" w:hanging="720"/>
        <w:jc w:val="both"/>
      </w:pPr>
      <w:r>
        <w:t xml:space="preserve"> </w:t>
      </w:r>
    </w:p>
    <w:p w:rsidR="008A28E6" w:rsidRDefault="00172DBD">
      <w:pPr>
        <w:spacing w:after="0"/>
        <w:jc w:val="both"/>
      </w:pPr>
      <w:r>
        <w:t>Pro průběh 10 leté smlouvy jsou důležité další modely – Model objednávkový (MO), a Realizovaná skutečnost (RS), která je vyúčtováním konkrétního Dopravního roku. Jako podklady pro Model objednávkový slouží Model aktualizovaný (MA), který přepočítává Model výchozí (MV) skutečnými indexy a počítá novou CDV jednotkovou za předpokladu, že by se neměnil rozsah veřejných služeb ani Základní/Aktualizovaný počet Základních vozidel.</w:t>
      </w:r>
    </w:p>
    <w:p w:rsidR="008A28E6" w:rsidRDefault="00172DBD">
      <w:pPr>
        <w:spacing w:after="0"/>
        <w:jc w:val="both"/>
      </w:pPr>
      <w:r>
        <w:t xml:space="preserve"> </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Model objednávkový (MO) </w:t>
      </w:r>
      <w:r>
        <w:t xml:space="preserve">- po indexaci Indexy skutečnými slouží ke každoročnímu přepočtení hodnot Modelu výchozího (MV), přes Model aktualizovaný (MA) podle </w:t>
      </w:r>
      <w:r>
        <w:lastRenderedPageBreak/>
        <w:t>Objednávky. Předmětem Objednávky je prostřednictvím Objednaného dopravního výkonu a Aktuálního počtu Základních a Zálohových vozidel stanovení výše zálohy na kompenzaci pro nadcházející Dopravní rok. Model objednávkový (MO) zobrazuje cenotvorné položky v cenové úrovni konkrétního Dopravního roku, při uvažování rozsahu veřejných služeb pro aktuální Dopravní rok a Aktuálního počtu Základních vozidel na totožný Dopravní rok.</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Realizovaná skutečnost (RS)</w:t>
      </w:r>
      <w:r>
        <w:t xml:space="preserve"> slouží pro vyúčtování ukončeného Dopravního roku.</w:t>
      </w:r>
    </w:p>
    <w:p w:rsidR="008A28E6" w:rsidRDefault="00172DBD">
      <w:pPr>
        <w:pStyle w:val="Nadpis1"/>
        <w:keepNext w:val="0"/>
        <w:shd w:val="clear" w:color="auto" w:fill="auto"/>
        <w:spacing w:before="480" w:after="120" w:line="240" w:lineRule="auto"/>
        <w:ind w:left="0"/>
        <w:jc w:val="both"/>
        <w:rPr>
          <w:smallCaps w:val="0"/>
          <w:sz w:val="46"/>
          <w:szCs w:val="46"/>
        </w:rPr>
      </w:pPr>
      <w:bookmarkStart w:id="2" w:name="_3znysh7" w:colFirst="0" w:colLast="0"/>
      <w:bookmarkEnd w:id="2"/>
      <w:r>
        <w:rPr>
          <w:smallCaps w:val="0"/>
          <w:sz w:val="46"/>
          <w:szCs w:val="46"/>
        </w:rPr>
        <w:t>3          Popis modelu</w:t>
      </w:r>
    </w:p>
    <w:p w:rsidR="008A28E6" w:rsidRDefault="00172DBD">
      <w:pPr>
        <w:spacing w:after="0"/>
        <w:jc w:val="both"/>
        <w:rPr>
          <w:b/>
          <w:i/>
        </w:rPr>
      </w:pPr>
      <w:r>
        <w:rPr>
          <w:b/>
          <w:i/>
        </w:rPr>
        <w:t>List Legenda</w:t>
      </w:r>
    </w:p>
    <w:p w:rsidR="008A28E6" w:rsidRDefault="00172DBD">
      <w:pPr>
        <w:spacing w:after="0"/>
        <w:jc w:val="both"/>
      </w:pPr>
      <w:r>
        <w:t xml:space="preserve">V listu je definováno, jaké buňky vyplňuje Dopravce (žlutě podbarvené; </w:t>
      </w:r>
      <w:r>
        <w:rPr>
          <w:rFonts w:ascii="Arial" w:eastAsia="Arial" w:hAnsi="Arial" w:cs="Arial"/>
          <w:color w:val="333333"/>
          <w:sz w:val="20"/>
          <w:szCs w:val="20"/>
          <w:highlight w:val="white"/>
        </w:rPr>
        <w:t>RGB: 255,255,0</w:t>
      </w:r>
      <w:r>
        <w:t xml:space="preserve">), Objednatel (hnědě podbarvené; </w:t>
      </w:r>
      <w:r>
        <w:rPr>
          <w:rFonts w:ascii="Arial" w:eastAsia="Arial" w:hAnsi="Arial" w:cs="Arial"/>
          <w:color w:val="333333"/>
          <w:sz w:val="20"/>
          <w:szCs w:val="20"/>
          <w:highlight w:val="white"/>
        </w:rPr>
        <w:t>RGB: 255,192,0</w:t>
      </w:r>
      <w:r>
        <w:t xml:space="preserve">) a jak Dopravce zjistí, že vyplněná buňka v modelu nesplňuje stanovená kritéria (červené podbarvení; </w:t>
      </w:r>
      <w:r>
        <w:rPr>
          <w:rFonts w:ascii="Arial" w:eastAsia="Arial" w:hAnsi="Arial" w:cs="Arial"/>
          <w:color w:val="333333"/>
          <w:sz w:val="20"/>
          <w:szCs w:val="20"/>
          <w:highlight w:val="white"/>
        </w:rPr>
        <w:t>RGB: 255,199,206</w:t>
      </w:r>
      <w:r>
        <w:t>).</w:t>
      </w:r>
    </w:p>
    <w:p w:rsidR="008A28E6" w:rsidRDefault="008A28E6">
      <w:pPr>
        <w:spacing w:after="0"/>
        <w:jc w:val="both"/>
      </w:pPr>
    </w:p>
    <w:p w:rsidR="008A28E6" w:rsidRDefault="00172DBD">
      <w:pPr>
        <w:spacing w:after="0"/>
        <w:jc w:val="both"/>
        <w:rPr>
          <w:b/>
          <w:i/>
        </w:rPr>
      </w:pPr>
      <w:r>
        <w:rPr>
          <w:b/>
          <w:i/>
        </w:rPr>
        <w:t>List Vozidla</w:t>
      </w:r>
    </w:p>
    <w:p w:rsidR="008A28E6" w:rsidRDefault="00172DBD">
      <w:pPr>
        <w:spacing w:after="0"/>
        <w:jc w:val="both"/>
      </w:pPr>
      <w:r>
        <w:t>V buňce E1 je uveden Výchozí rozsah Veřejných služeb stanovený Objednatelem a shodný pro všechny Dopravce. Jde o Výchozí dopravní výkon v kilometrech na období jednoho Dopravního roku stanovený pro účely nabídky.</w:t>
      </w:r>
    </w:p>
    <w:p w:rsidR="008A28E6" w:rsidRDefault="00172DBD">
      <w:pPr>
        <w:spacing w:after="0"/>
        <w:jc w:val="both"/>
      </w:pPr>
      <w:r>
        <w:t xml:space="preserve">V řádcích 4 až 11 vyplňuje Dopravce počet Základních vozidel podle jednotlivých kategorií, která budou nasazována do oběhů (které si vytváří Dopravce sám), na spoje vyplývající z jízdních řádů stanovených Objednatelem. Jedná se o Základní vozidla splňující požadované standardy, jejich počet odpovídá nejvyššímu počtu současně obsazených vozidlových turnusů. V případě, kdy Dopravce ve své nabídce nevyužije některou z kategorií vozidel, nebude mít možnost využít ji ani v průběhu doby plnění. V tomto případě totiž nebude uvedena k nevyužité kategorii vozidla nákladová struktura (cena, spotřeba apod.) vozidla. </w:t>
      </w:r>
    </w:p>
    <w:p w:rsidR="008A28E6" w:rsidRDefault="00172DBD">
      <w:pPr>
        <w:spacing w:after="0"/>
        <w:jc w:val="both"/>
      </w:pPr>
      <w:r>
        <w:t xml:space="preserve"> </w:t>
      </w:r>
    </w:p>
    <w:p w:rsidR="008A28E6" w:rsidRDefault="00172DBD">
      <w:pPr>
        <w:spacing w:after="0"/>
        <w:jc w:val="both"/>
      </w:pPr>
      <w:r>
        <w:t xml:space="preserve">V listu </w:t>
      </w:r>
      <w:r>
        <w:rPr>
          <w:i/>
        </w:rPr>
        <w:t xml:space="preserve">Vozidla </w:t>
      </w:r>
      <w:r>
        <w:t xml:space="preserve">Dopravce vyplňuje </w:t>
      </w:r>
      <w:r>
        <w:rPr>
          <w:b/>
        </w:rPr>
        <w:t>počty Vozidel dle jednotlivých kategorií (pro každou kategorii dva řádky pro rozlišení počtu vozidel v dané kategorii bez závěsného zařízení a se závěsným zařízením, buňky A4 až A11 a A16 až A23)</w:t>
      </w:r>
      <w:r>
        <w:t xml:space="preserve">. Kategorie vozidel A mini nebude osazena ani </w:t>
      </w:r>
      <w:proofErr w:type="spellStart"/>
      <w:r>
        <w:t>cyklodržáky</w:t>
      </w:r>
      <w:proofErr w:type="spellEnd"/>
      <w:r>
        <w:t xml:space="preserve"> ani závěsným zařízením. Vyplnění výrobců je </w:t>
      </w:r>
      <w:r>
        <w:rPr>
          <w:b/>
        </w:rPr>
        <w:t>nepovinné</w:t>
      </w:r>
      <w:r>
        <w:t xml:space="preserve"> (buňky B4 až B11 a B16 až B23). Povinné je vyplnění </w:t>
      </w:r>
      <w:r>
        <w:rPr>
          <w:b/>
        </w:rPr>
        <w:t>počtů Vozidel</w:t>
      </w:r>
      <w:r>
        <w:t xml:space="preserve">, které vyplývají z oběhů vozidel, které vytvoří Dopravce. Počty pro kategorii A – mini – se zapíší do buněk C4, C5; pro kategorii B – </w:t>
      </w:r>
      <w:proofErr w:type="spellStart"/>
      <w:r>
        <w:t>midi</w:t>
      </w:r>
      <w:proofErr w:type="spellEnd"/>
      <w:r>
        <w:t xml:space="preserve"> – do buněk C6, C7; pro kategorii C – standard – do buněk C8, C9; pro kategorii D – maxi – do buněk C10, C11. Pokud bude Dopravce např. v kategorii A mini kupovat pouze jeden typ vozidla, lze vyplnit pouze jeden řádek. Kategorie Vozidel se liší kapacitami Vozidel, které jsou uvedeny v příloze (Příloha č. </w:t>
      </w:r>
      <w:proofErr w:type="gramStart"/>
      <w:r>
        <w:t>1  Smlouvy</w:t>
      </w:r>
      <w:proofErr w:type="gramEnd"/>
      <w:r>
        <w:t>). Nevyužije-li v nabídce Dopravce některou z kategorií vozidel, nebude ji moci v průběhu Doby plnění použít. Objednatel preferuje, aby Dopravce měl od každé kategorie minimálně jedno vozidlo.</w:t>
      </w:r>
    </w:p>
    <w:p w:rsidR="008A28E6" w:rsidRDefault="00172DBD">
      <w:pPr>
        <w:spacing w:after="0"/>
        <w:jc w:val="both"/>
      </w:pPr>
      <w:r>
        <w:t xml:space="preserve">V buňkách D4 až D11 Dopravce uvede předpokládané </w:t>
      </w:r>
      <w:r>
        <w:rPr>
          <w:b/>
        </w:rPr>
        <w:t>ceny Vozidel</w:t>
      </w:r>
      <w:r>
        <w:t xml:space="preserve"> jednotlivých kategorií (v Kč bez DPH). Předpokládané ceny vozidel slouží pro účely kalkulace nabídky. Pokud Dopravce bude pořizovat jednotlivé kategorie (s/bez závěsného zařízení) od více výrobců, zapíše průměrnou cenu na vozidlo v dané kategorii. V buňkách E4 až E11 pak Dopravce uvede </w:t>
      </w:r>
      <w:r>
        <w:rPr>
          <w:b/>
        </w:rPr>
        <w:t>roční výkony Vozidel dané kategorie</w:t>
      </w:r>
      <w:r>
        <w:t xml:space="preserve"> (v km) vyplývající z jím zpracovaných oběhů.</w:t>
      </w:r>
    </w:p>
    <w:p w:rsidR="008A28E6" w:rsidRDefault="00172DBD">
      <w:pPr>
        <w:spacing w:after="0"/>
        <w:jc w:val="both"/>
      </w:pPr>
      <w:r>
        <w:lastRenderedPageBreak/>
        <w:t>Celková předpokládaná hodnota Vozidel (v Kč bez DPH), Doba účetního odpisu Vozidel a Roční účetní odpis Vozidel jsou vypočítány modelem/stanoveny Objednatelem. Celková předpokládaná pořizovací hodnota Základních vozidel je dána součtem součinů Celkového počtu vozidel mimo vozidla v pronájmu (uvedeného v buňkách C4 až C11) a odpovídající Předpokládané ceny Základního vozidla (D4 až D11) uvedené kategorie (např. C4*D4, součet (tj. Celková předpokládaná pořizovací hodnota Základních vozidel je uvedena v buňce G12). Doba účetního odpisu Vozidel je stanovena Objednatelem vždy na 10 let (H4 až H11), a to i v případě nasazení nového vozidla v průběhu Doby plnění. Roční účetní odpis Vozidel (jedné kategorie) je podílem předpokládané ceny Vozidla a doby účetního odpisu vynásobený počtem Vozidel uvedené kategorie.</w:t>
      </w:r>
    </w:p>
    <w:p w:rsidR="008A28E6" w:rsidRDefault="00172DBD">
      <w:pPr>
        <w:spacing w:after="0"/>
        <w:jc w:val="both"/>
      </w:pPr>
      <w:r>
        <w:t xml:space="preserve"> </w:t>
      </w:r>
    </w:p>
    <w:p w:rsidR="008A28E6" w:rsidRDefault="00172DBD">
      <w:pPr>
        <w:spacing w:after="0"/>
        <w:jc w:val="both"/>
      </w:pPr>
      <w:r>
        <w:t xml:space="preserve">V případě, že Dopravce Vozidla nebude vlastnit, ale bude je mít v pronájmu či na leasing, uvede se </w:t>
      </w:r>
      <w:r>
        <w:rPr>
          <w:b/>
        </w:rPr>
        <w:t>počet Vozidel v nájmu/na leasing</w:t>
      </w:r>
      <w:r>
        <w:t xml:space="preserve"> podle jednotlivých kategorií v buňkách K4 až K11. </w:t>
      </w:r>
      <w:r>
        <w:rPr>
          <w:b/>
        </w:rPr>
        <w:t>Výkony vozidel, která jsou v pronájmu/na leasing</w:t>
      </w:r>
      <w:r>
        <w:t xml:space="preserve">, a které vyplývají z oběhu, z jízdních řádů, Dopravce uvede do buněk L4 až L11. V buňkách M4 až M11 se uvede </w:t>
      </w:r>
      <w:r>
        <w:rPr>
          <w:b/>
        </w:rPr>
        <w:t>cena za pronájem či leasing</w:t>
      </w:r>
      <w:r>
        <w:t xml:space="preserve"> </w:t>
      </w:r>
      <w:r>
        <w:rPr>
          <w:b/>
        </w:rPr>
        <w:t xml:space="preserve">Vozidel </w:t>
      </w:r>
      <w:r>
        <w:t>za jedno Základní vozidlo v dané kategorii. Ve sloupci N se automaticky vypočte pronájem a leasing Vozidel (např. (K4*M</w:t>
      </w:r>
      <w:proofErr w:type="gramStart"/>
      <w:r>
        <w:t>4)+(</w:t>
      </w:r>
      <w:proofErr w:type="gramEnd"/>
      <w:r>
        <w:t>K5*M5)).</w:t>
      </w:r>
    </w:p>
    <w:p w:rsidR="008A28E6" w:rsidRDefault="008A28E6">
      <w:pPr>
        <w:spacing w:after="0"/>
        <w:jc w:val="both"/>
      </w:pPr>
    </w:p>
    <w:p w:rsidR="008A28E6" w:rsidRDefault="00172DBD">
      <w:pPr>
        <w:spacing w:after="0"/>
        <w:jc w:val="both"/>
      </w:pPr>
      <w:r>
        <w:t>V případě, že Dopravce zajišťuje část výkonů prostřednictvím poddodavatele(ů), tak je s jejich vozidly v rámci modelu zacházeno shodně, jako kdyby byly v majetku Dopravce (jsou součástí Celkového počtu vozidel mimo vozidla v pronájmu). Dopravce za účelem kontroly podílu výkonu realizovaného poddodávkou uvede počet Vozidel, kterými poddodavatel výkony zajišťuje v buňkách R4 až R11. Celkový výkon, který je poddodavatelem(i) vykonán, je uveden v buňkách S4 až S11. Tyto buňky slouží pouze pro kontrolu, která je provedena v buňce G46.</w:t>
      </w:r>
    </w:p>
    <w:p w:rsidR="008A28E6" w:rsidRDefault="008A28E6">
      <w:pPr>
        <w:spacing w:after="0"/>
        <w:jc w:val="both"/>
      </w:pPr>
    </w:p>
    <w:p w:rsidR="008A28E6" w:rsidRDefault="00172DBD">
      <w:pPr>
        <w:spacing w:after="0"/>
        <w:jc w:val="both"/>
      </w:pPr>
      <w:r>
        <w:t>V buňce E13 se kontrolně přepočte celkový počet kilometrů, které jsou zajištěny (základními) Vozidly v majetku Dopravce a Vozidly pronajatými plus výkony zajištěné případně prostřednictvím poddodavatele(ů). Kontroluje se celkový výkon zadaný Objednatelem dle jízdních řádů a suma výkonů jednotlivých kategorií (základních) Vozidel, který musí být stejný, jako výkon z jízdních řádů (tj. výkon zadaný Objednatelem a uvedený v buňce E1).</w:t>
      </w:r>
    </w:p>
    <w:p w:rsidR="008A28E6" w:rsidRDefault="00172DBD">
      <w:pPr>
        <w:spacing w:after="0"/>
        <w:jc w:val="both"/>
      </w:pPr>
      <w:r>
        <w:t>Ve sloupcích U až AD, v buňkách 4 až 11 Objednatel stanovuje maximálně přípustné procentuální navýšení pořizovací ceny Vozidla v průběhu 10 leté smlouvy. Např. v buňce W8 je 10 % a znamená to, že ve 3. roce trvání smlouvy, v případě pořízení nového Vozidla, může být pořizovací cena navýšena maximálně o 10 % nad předpokládanou cenu Vozidel (z nabídky). Tyto buňky se budou používat až při změnách Výchozího/Aktuálního počtu Základních vozidel v průběhu trvání smlouvy, v modelu pro objednávku. Pro další výpočty v rámci modelu se nepoužívají.</w:t>
      </w:r>
    </w:p>
    <w:p w:rsidR="008A28E6" w:rsidRDefault="008A28E6">
      <w:pPr>
        <w:spacing w:after="0"/>
        <w:jc w:val="both"/>
      </w:pPr>
    </w:p>
    <w:p w:rsidR="008A28E6" w:rsidRDefault="00172DBD">
      <w:pPr>
        <w:spacing w:after="0"/>
        <w:jc w:val="both"/>
      </w:pPr>
      <w:r>
        <w:t>V řádcích 16 až 23 vyplňuje Dopravce požadované informace o Vozidlech, která Dopravce považuje za Zálohová vozidla a která splňují standard Základních vozidel. Ve Smlouvě je jejich počet uveden ve Výchozím počtu Zálohových vozidel. I Zálohová vozidla může mít Dopravce ve svém majetku nebo v pronájmu/leasingu. Princip výpočtu nákladů na Zálohové vozidlo v majetku nebo Zálohové vozidlo v pronájmu je stejný jako u Základních vozidel.</w:t>
      </w:r>
    </w:p>
    <w:p w:rsidR="008A28E6" w:rsidRDefault="008A28E6">
      <w:pPr>
        <w:spacing w:after="0"/>
        <w:jc w:val="both"/>
      </w:pPr>
    </w:p>
    <w:p w:rsidR="008A28E6" w:rsidRDefault="00172DBD">
      <w:pPr>
        <w:spacing w:after="0"/>
        <w:jc w:val="both"/>
      </w:pPr>
      <w:r>
        <w:t xml:space="preserve">Dopravce je povinen si zajistit dostatečný počet Zálohových vozidel tak, aby byl schopen zajistit řádné plnění Smlouvy. Minimální počet Zálohových vozidel musí být alespoň 5 % Výchozího počtu Základních </w:t>
      </w:r>
      <w:r>
        <w:lastRenderedPageBreak/>
        <w:t>vozidel (kontrola v buňce E50). Zároveň musí Dopravce disponovat minimálně jedním Vozidlem v každé kategorii (kontrola počtu Zálohových vozidel v jednotlivých kategorií je v buňkách E52 až E55), pakliže kategorii Základního vozidla Dopravce má ve své nabídce.</w:t>
      </w:r>
    </w:p>
    <w:p w:rsidR="008A28E6" w:rsidRDefault="008A28E6">
      <w:pPr>
        <w:spacing w:after="0"/>
        <w:jc w:val="both"/>
      </w:pPr>
    </w:p>
    <w:p w:rsidR="008A28E6" w:rsidRDefault="00172DBD">
      <w:pPr>
        <w:spacing w:after="0"/>
        <w:jc w:val="both"/>
        <w:rPr>
          <w:b/>
          <w:i/>
        </w:rPr>
      </w:pPr>
      <w:r>
        <w:rPr>
          <w:b/>
          <w:i/>
        </w:rPr>
        <w:t>List Variabilní náklady dle typu</w:t>
      </w:r>
    </w:p>
    <w:p w:rsidR="008A28E6" w:rsidRDefault="00172DBD">
      <w:pPr>
        <w:spacing w:after="0"/>
        <w:jc w:val="both"/>
      </w:pPr>
      <w:r>
        <w:t>Do uvedeného listu zapíše Dopravce hodnoty spotřeby, oprav a pojištění Vozidel jednotlivých kategorií, a to jak pro vozidla Základní, tak Zálohová.</w:t>
      </w:r>
    </w:p>
    <w:p w:rsidR="008A28E6" w:rsidRPr="006A03B7" w:rsidRDefault="00172DBD">
      <w:pPr>
        <w:spacing w:after="0"/>
        <w:jc w:val="both"/>
        <w:rPr>
          <w:rFonts w:ascii="Arial" w:hAnsi="Arial" w:cs="Arial"/>
        </w:rPr>
      </w:pPr>
      <w:r>
        <w:rPr>
          <w:b/>
        </w:rPr>
        <w:t>Průměrnou spotřebu Vozidel</w:t>
      </w:r>
      <w:r>
        <w:t xml:space="preserve"> podle jednotlivých kategorií Dopravce uvede do buněk E4 až E11. Pokud Dopravce z jedné kategorie vozidel plánuje vlastnit více, jak dvě vozidla s různými průměrnými spotřebami, průměrnou spotřebu těchto vozidel v kategorii zprůměruje. Počty Vozidel a jejich výkony se přenáší z předchozího listu </w:t>
      </w:r>
      <w:r>
        <w:rPr>
          <w:i/>
        </w:rPr>
        <w:t xml:space="preserve">Vozidla </w:t>
      </w:r>
      <w:r>
        <w:t xml:space="preserve">a v tomto listu </w:t>
      </w:r>
      <w:r>
        <w:rPr>
          <w:i/>
        </w:rPr>
        <w:t>Variabilní náklady dle typu</w:t>
      </w:r>
      <w:r>
        <w:t xml:space="preserve"> je již Dopravce nevkládá. Přepočtem z Průměrné spotřeby nafty a jejich ročního výkonu je vypočtena roční spotřeba pohonných hmot (např. E4/100*F4). Celková roční spotřeba pohonných hmot za všechny kategorie Vozidel je uvedena v buňce H12 (tj. součet H4 až H11). Náklady za pohonné hmoty za první rok trvání smlouvy Dopravce uvede do listu</w:t>
      </w:r>
      <w:r>
        <w:rPr>
          <w:i/>
        </w:rPr>
        <w:t xml:space="preserve"> Model výchozí (MV)</w:t>
      </w:r>
      <w:r>
        <w:t>, do buňky G3.</w:t>
      </w:r>
      <w:r w:rsidR="006A03B7" w:rsidRPr="006A03B7">
        <w:rPr>
          <w:rFonts w:ascii="Arial" w:eastAsia="Arial" w:hAnsi="Arial" w:cs="Arial"/>
          <w:color w:val="000000"/>
        </w:rPr>
        <w:t xml:space="preserve"> </w:t>
      </w:r>
      <w:r w:rsidR="006A03B7" w:rsidRPr="006A03B7">
        <w:rPr>
          <w:rFonts w:eastAsia="Arial"/>
          <w:color w:val="000000"/>
        </w:rPr>
        <w:t>Buňka K12 je součtem součinů Podílu litrů na jednotlivé kategorie a hodnoty z listu Model výchozí (MV) buňka G3.</w:t>
      </w:r>
      <w:r w:rsidRPr="006A03B7">
        <w:t xml:space="preserve"> Pro další využití jsou vypočteny náklady na pohonné hmoty pro jednotlivé kategorie vozidel uvedené v buňkách L4, L6, L8 a L10 (v Kč/km).</w:t>
      </w:r>
    </w:p>
    <w:p w:rsidR="008A28E6" w:rsidRDefault="008A28E6">
      <w:pPr>
        <w:spacing w:after="0"/>
        <w:jc w:val="both"/>
      </w:pPr>
    </w:p>
    <w:p w:rsidR="008A28E6" w:rsidRDefault="00172DBD">
      <w:pPr>
        <w:spacing w:after="0"/>
        <w:jc w:val="both"/>
      </w:pPr>
      <w:r>
        <w:t>V listu</w:t>
      </w:r>
      <w:r>
        <w:rPr>
          <w:i/>
        </w:rPr>
        <w:t xml:space="preserve"> Variabilní náklady dle typu</w:t>
      </w:r>
      <w:r>
        <w:t xml:space="preserve"> se dále uvedou </w:t>
      </w:r>
      <w:r>
        <w:rPr>
          <w:b/>
        </w:rPr>
        <w:t>náklady na opravy a údržbu jednotlivých typů Vozidel</w:t>
      </w:r>
      <w:r>
        <w:t xml:space="preserve"> (Základních a Zálohových vozidel) (buňky E16 až E23). Celková hodnota oprav uvedená v buňce F24 (tj. součet buněk E16 až E23, resp. součet buněk F16, F18, F20, F22) je automaticky přenesena do </w:t>
      </w:r>
      <w:r>
        <w:rPr>
          <w:i/>
        </w:rPr>
        <w:t>listu Model výchozí (MV)</w:t>
      </w:r>
      <w:r>
        <w:t xml:space="preserve">, do buňky G6, kde ji již Dopravce nemá možnost upravit. Stejná výše nákladů na opravy se přenáší dále do celé Doby plnění. Proto je třeba náklady na opravy Vozidel za danou kategorii vozidel vyplnit jako průměrné roční náklady za 10 let Doby plnění. Průměrná cena Náklady na opravy na kilometr uvedená pro jednotlivé kategorie v buňkách G16, G18, G20 a G22 bude používána dále v Objednávce (v případě přidání nového vozidla). </w:t>
      </w:r>
    </w:p>
    <w:p w:rsidR="008A28E6" w:rsidRDefault="00172DBD">
      <w:pPr>
        <w:spacing w:after="0"/>
        <w:jc w:val="both"/>
      </w:pPr>
      <w:r>
        <w:t xml:space="preserve">Poslední údaje, které se do listu </w:t>
      </w:r>
      <w:r>
        <w:rPr>
          <w:i/>
        </w:rPr>
        <w:t>Variabilní náklady dle typu</w:t>
      </w:r>
      <w:r>
        <w:t xml:space="preserve"> Dopravci uvádějí, jsou </w:t>
      </w:r>
      <w:r>
        <w:rPr>
          <w:b/>
        </w:rPr>
        <w:t>ceny za pojištění Vozidel</w:t>
      </w:r>
      <w:r>
        <w:t xml:space="preserve"> (buňky H16 až H23) (pro Základní a Zálohová vozidla). Celková hodnota pojištění uvedená v buňce H24 (tj. součet buněk H16 až H23). Hodnoty pojištění se pro dané kategorie sčítají v buňkách I16 až I23. </w:t>
      </w:r>
    </w:p>
    <w:p w:rsidR="008A28E6" w:rsidRDefault="00172DBD">
      <w:pPr>
        <w:spacing w:after="0"/>
        <w:jc w:val="both"/>
      </w:pPr>
      <w:r>
        <w:t xml:space="preserve"> </w:t>
      </w:r>
    </w:p>
    <w:p w:rsidR="008A28E6" w:rsidRDefault="00172DBD">
      <w:pPr>
        <w:spacing w:after="0"/>
        <w:jc w:val="both"/>
        <w:rPr>
          <w:b/>
          <w:i/>
        </w:rPr>
      </w:pPr>
      <w:r>
        <w:rPr>
          <w:b/>
          <w:i/>
        </w:rPr>
        <w:t>List Model výchozí (MV)</w:t>
      </w:r>
    </w:p>
    <w:p w:rsidR="008A28E6" w:rsidRDefault="00172DBD">
      <w:pPr>
        <w:spacing w:after="0"/>
        <w:jc w:val="both"/>
      </w:pPr>
      <w:r>
        <w:t>Podle pokynů z listu</w:t>
      </w:r>
      <w:r>
        <w:rPr>
          <w:i/>
        </w:rPr>
        <w:t xml:space="preserve"> Legenda</w:t>
      </w:r>
      <w:r>
        <w:t>, vyplňuje Dopravce v jednotlivých listech (</w:t>
      </w:r>
      <w:r>
        <w:rPr>
          <w:i/>
        </w:rPr>
        <w:t>Vozidla, Variabilní náklady dle typu, Model výchozí (MV)</w:t>
      </w:r>
      <w:r>
        <w:t xml:space="preserve">) všechny žlutě podbarvené buňky. Bíle podbarvené buňky nelze v tomto listu měnit, počítají se automaticky nebo se vyplňují hodnotami z předchozích listů. Hnědě podbarvené buňky jsou vyplněny Objednatelem. </w:t>
      </w:r>
    </w:p>
    <w:p w:rsidR="008A28E6" w:rsidRDefault="00172DBD">
      <w:pPr>
        <w:spacing w:after="0"/>
        <w:jc w:val="both"/>
      </w:pPr>
      <w:r>
        <w:t>Jak bylo výše uvedeno, na vozidlo a s ním spojené náklady provozované poddodavateli, je pro potřeby modelu nahlíženo jako na vozidla v majetku Dopravce. Způsob rozdělení celkových nákladů poddodávky do cenotvorných položek je v kompetenci Dopravce.</w:t>
      </w:r>
    </w:p>
    <w:p w:rsidR="008A28E6" w:rsidRDefault="00172DBD">
      <w:pPr>
        <w:spacing w:after="0"/>
        <w:jc w:val="both"/>
      </w:pPr>
      <w:r>
        <w:t>V případě, že by se v průběhu vyplňování objevila červeně podbarvená buňka, znamená to, že Dopravce vyplnil uvedenou buňku v rozporu se stanovenými pravidly.</w:t>
      </w:r>
    </w:p>
    <w:p w:rsidR="008A28E6" w:rsidRDefault="00172DBD">
      <w:pPr>
        <w:spacing w:after="0"/>
        <w:jc w:val="both"/>
      </w:pPr>
      <w:r>
        <w:t xml:space="preserve">V listu </w:t>
      </w:r>
      <w:r>
        <w:rPr>
          <w:i/>
        </w:rPr>
        <w:t xml:space="preserve">Model výchozí (MV) </w:t>
      </w:r>
      <w:r>
        <w:t>se vyplňují hodnoty cenotvorných položek pro 10 let trvání Smlouvy v cenách roku 2018.</w:t>
      </w:r>
    </w:p>
    <w:p w:rsidR="008A28E6" w:rsidRDefault="00172DBD">
      <w:pPr>
        <w:spacing w:after="0"/>
        <w:jc w:val="both"/>
      </w:pPr>
      <w:r>
        <w:rPr>
          <w:b/>
          <w:i/>
        </w:rPr>
        <w:lastRenderedPageBreak/>
        <w:t>Cenotvorné položky</w:t>
      </w:r>
      <w:r>
        <w:t xml:space="preserve"> – struktura nákladů (řádky 3 až 22) a zisku (řádek 23), v některých případech rozdělená do větší podrobnosti, slovně definovaná v této příloze. cenotvorné položky vycházejí z provozně a ekonomicky odůvodnitelného základu a rozvržení v čase. </w:t>
      </w:r>
    </w:p>
    <w:p w:rsidR="008A28E6" w:rsidRDefault="00172DBD">
      <w:pPr>
        <w:spacing w:after="0"/>
        <w:ind w:left="1080" w:hanging="360"/>
        <w:jc w:val="both"/>
        <w:rPr>
          <w:b/>
          <w:i/>
        </w:rPr>
      </w:pPr>
      <w:r>
        <w:rPr>
          <w:rFonts w:ascii="Noto Sans Symbols" w:eastAsia="Noto Sans Symbols" w:hAnsi="Noto Sans Symbols" w:cs="Noto Sans Symbols"/>
        </w:rPr>
        <w:t xml:space="preserve">●        </w:t>
      </w:r>
      <w:r>
        <w:rPr>
          <w:b/>
          <w:i/>
        </w:rPr>
        <w:t>Pohonné hmoty a oleje</w:t>
      </w:r>
    </w:p>
    <w:p w:rsidR="008A28E6" w:rsidRDefault="00172DBD">
      <w:pPr>
        <w:spacing w:after="0"/>
        <w:ind w:left="1800" w:hanging="360"/>
        <w:jc w:val="both"/>
      </w:pPr>
      <w:r>
        <w:rPr>
          <w:rFonts w:ascii="Courier New" w:eastAsia="Courier New" w:hAnsi="Courier New" w:cs="Courier New"/>
        </w:rPr>
        <w:t xml:space="preserve">o   </w:t>
      </w:r>
      <w:r>
        <w:rPr>
          <w:b/>
          <w:i/>
        </w:rPr>
        <w:t xml:space="preserve">a) pohonné </w:t>
      </w:r>
      <w:proofErr w:type="gramStart"/>
      <w:r>
        <w:rPr>
          <w:b/>
          <w:i/>
        </w:rPr>
        <w:t xml:space="preserve">hmoty - </w:t>
      </w:r>
      <w:r>
        <w:t>předpokládaná</w:t>
      </w:r>
      <w:proofErr w:type="gramEnd"/>
      <w:r>
        <w:t xml:space="preserve"> spotřeba pohonných hmot (nafta)</w:t>
      </w:r>
    </w:p>
    <w:p w:rsidR="008A28E6" w:rsidRDefault="00172DBD">
      <w:pPr>
        <w:spacing w:after="0"/>
        <w:ind w:left="1800" w:hanging="360"/>
        <w:jc w:val="both"/>
      </w:pPr>
      <w:r>
        <w:rPr>
          <w:rFonts w:ascii="Courier New" w:eastAsia="Courier New" w:hAnsi="Courier New" w:cs="Courier New"/>
        </w:rPr>
        <w:t xml:space="preserve">o   </w:t>
      </w:r>
      <w:r>
        <w:rPr>
          <w:b/>
          <w:i/>
        </w:rPr>
        <w:t xml:space="preserve">b) oleje, maziva a ostatní </w:t>
      </w:r>
      <w:r>
        <w:t>– náklady na oleje a jiná maziva a příměsi, včetně AD Blue a energie (topné nafty) na vytápění vozidel v zimním období</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Přímý materiál a energie </w:t>
      </w:r>
      <w:r>
        <w:t xml:space="preserve">– spotřeba materiálu a energie spojená především s provozem a běžnou údržbou Vozidel, jakož i přímo přiřaditelná spotřeba energie; tj. náklady spotřebované přímo na autobus nebo náležitost s ním spojenou (řidič) (např. náhradní díly a materiál na běžné opravy, </w:t>
      </w:r>
      <w:proofErr w:type="spellStart"/>
      <w:r>
        <w:t>pneu</w:t>
      </w:r>
      <w:proofErr w:type="spellEnd"/>
      <w:r>
        <w:t xml:space="preserve">, spojovací materiál, elektromateriál, čisticí a mycí </w:t>
      </w:r>
      <w:proofErr w:type="gramStart"/>
      <w:r>
        <w:t>potřeby,</w:t>
      </w:r>
      <w:proofErr w:type="gramEnd"/>
      <w:r>
        <w:t xml:space="preserve"> apod.), shodná pro všechny typy vozidel</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Opravy a údržba vozidel </w:t>
      </w:r>
      <w:r>
        <w:t>– opravy Vozidel vyšších stupňů v souladu s údržbářsko-opravárenskými předpisy, pravidelná kontrola Vozidel v předepsaných intervalech, neplánované opravy Vozidel po poškození či nehodě, náhradní díly;  uvedou se náklady na opravy a údržbu, a to jak externí, tak interní; vč. osobních nákladů pracovníků údržby (neuvedou se náklady na přímý materiál, pokud je tento uveden v řádku Přímý materiál a energie); v závislosti na typu vozidla</w:t>
      </w:r>
    </w:p>
    <w:p w:rsidR="008A28E6" w:rsidRDefault="00172DBD">
      <w:pPr>
        <w:spacing w:after="0"/>
        <w:ind w:left="1080" w:hanging="360"/>
        <w:jc w:val="both"/>
        <w:rPr>
          <w:b/>
          <w:i/>
        </w:rPr>
      </w:pPr>
      <w:r>
        <w:rPr>
          <w:rFonts w:ascii="Noto Sans Symbols" w:eastAsia="Noto Sans Symbols" w:hAnsi="Noto Sans Symbols" w:cs="Noto Sans Symbols"/>
        </w:rPr>
        <w:t xml:space="preserve">●        </w:t>
      </w:r>
      <w:r>
        <w:rPr>
          <w:b/>
          <w:i/>
        </w:rPr>
        <w:t>Odpisy dlouhodobého majetku</w:t>
      </w:r>
    </w:p>
    <w:p w:rsidR="008A28E6" w:rsidRDefault="00172DBD">
      <w:pPr>
        <w:spacing w:after="0"/>
        <w:ind w:left="1800" w:hanging="360"/>
        <w:jc w:val="both"/>
      </w:pPr>
      <w:r>
        <w:rPr>
          <w:rFonts w:ascii="Courier New" w:eastAsia="Courier New" w:hAnsi="Courier New" w:cs="Courier New"/>
        </w:rPr>
        <w:t xml:space="preserve">o   </w:t>
      </w:r>
      <w:r>
        <w:rPr>
          <w:b/>
          <w:i/>
        </w:rPr>
        <w:t xml:space="preserve">c) Vozidla </w:t>
      </w:r>
      <w:r>
        <w:t>– odpisy za Vozidla sloužící k Plnění Smlouvy při pořízení Vozidel do majetku Dopravce; každé Vozidlo se odepisuje rovnoměrně po dobu 10 let, a to i v případě pořízení v průběhu Plnění Smlouvy</w:t>
      </w:r>
    </w:p>
    <w:p w:rsidR="008A28E6" w:rsidRDefault="00172DBD">
      <w:pPr>
        <w:spacing w:after="0"/>
        <w:ind w:left="1800" w:hanging="360"/>
        <w:jc w:val="both"/>
      </w:pPr>
      <w:r>
        <w:rPr>
          <w:rFonts w:ascii="Courier New" w:eastAsia="Courier New" w:hAnsi="Courier New" w:cs="Courier New"/>
        </w:rPr>
        <w:t xml:space="preserve">o   </w:t>
      </w:r>
      <w:r>
        <w:rPr>
          <w:b/>
          <w:i/>
        </w:rPr>
        <w:t xml:space="preserve">d) Ostatní majetek </w:t>
      </w:r>
      <w:r>
        <w:t xml:space="preserve">– odpisy za majetek (budovy, stroje a zařízení, software) sloužící k Plnění Smlouvy, mimo Vozidla; tedy např. odpisy provozních budov a dále majetku v souvislosti s odbavováním cestujících, předprodeje jízdenek, cyklovleky, </w:t>
      </w:r>
      <w:proofErr w:type="spellStart"/>
      <w:r>
        <w:t>cyklonosiče</w:t>
      </w:r>
      <w:proofErr w:type="spellEnd"/>
      <w:r>
        <w:t xml:space="preserve"> apod.; odpisy cyklovleků a </w:t>
      </w:r>
      <w:proofErr w:type="spellStart"/>
      <w:r>
        <w:t>cyklonosičů</w:t>
      </w:r>
      <w:proofErr w:type="spellEnd"/>
      <w:r>
        <w:t xml:space="preserve"> budou počítány na 10 let</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Pronájem a leasing vozidel </w:t>
      </w:r>
      <w:r>
        <w:t>– náklady na zajištění Vozidel sloužících k Plnění Smlouvy formou pronájmu či leasingu, kdy nedochází k pořízení Vozidel do majetku Dopravce; náklady na leasing dopravních prostředků v časovém rozlišení dle leasingové smlouvy; dále se zde uvede pronájem od externího pronajímatele;</w:t>
      </w:r>
    </w:p>
    <w:p w:rsidR="008A28E6" w:rsidRDefault="00172DBD">
      <w:pPr>
        <w:spacing w:after="0"/>
        <w:ind w:left="1080" w:hanging="360"/>
        <w:jc w:val="both"/>
        <w:rPr>
          <w:b/>
          <w:i/>
        </w:rPr>
      </w:pPr>
      <w:r>
        <w:rPr>
          <w:rFonts w:ascii="Noto Sans Symbols" w:eastAsia="Noto Sans Symbols" w:hAnsi="Noto Sans Symbols" w:cs="Noto Sans Symbols"/>
        </w:rPr>
        <w:t xml:space="preserve">●        </w:t>
      </w:r>
      <w:r>
        <w:rPr>
          <w:b/>
          <w:i/>
        </w:rPr>
        <w:t>Mzdové náklady</w:t>
      </w:r>
    </w:p>
    <w:p w:rsidR="008A28E6" w:rsidRDefault="00172DBD">
      <w:pPr>
        <w:spacing w:after="0"/>
        <w:ind w:left="1800" w:hanging="360"/>
        <w:jc w:val="both"/>
      </w:pPr>
      <w:r>
        <w:rPr>
          <w:rFonts w:ascii="Courier New" w:eastAsia="Courier New" w:hAnsi="Courier New" w:cs="Courier New"/>
        </w:rPr>
        <w:t xml:space="preserve">o   </w:t>
      </w:r>
      <w:r>
        <w:rPr>
          <w:b/>
          <w:i/>
        </w:rPr>
        <w:t xml:space="preserve">e) Řidiči </w:t>
      </w:r>
      <w:r>
        <w:t>– osobní mzdové náklady za zaměstnance, kteří se přímo účastní provozu Spojů</w:t>
      </w:r>
    </w:p>
    <w:p w:rsidR="008A28E6" w:rsidRDefault="00172DBD">
      <w:pPr>
        <w:spacing w:after="0"/>
        <w:ind w:left="1800" w:hanging="360"/>
        <w:jc w:val="both"/>
      </w:pPr>
      <w:r>
        <w:rPr>
          <w:rFonts w:ascii="Courier New" w:eastAsia="Courier New" w:hAnsi="Courier New" w:cs="Courier New"/>
        </w:rPr>
        <w:t xml:space="preserve">o   </w:t>
      </w:r>
      <w:r>
        <w:rPr>
          <w:b/>
          <w:i/>
        </w:rPr>
        <w:t xml:space="preserve">f) Ostatní zaměstnanci </w:t>
      </w:r>
      <w:r>
        <w:t>– osobní mzdové náklady za zaměstnance, kteří jsou do provozu Spojů zapojeni nepřímým způsobem (např. pokladní)</w:t>
      </w:r>
    </w:p>
    <w:p w:rsidR="008A28E6" w:rsidRDefault="00172DBD">
      <w:pPr>
        <w:spacing w:after="0"/>
        <w:ind w:left="1080" w:hanging="360"/>
        <w:jc w:val="both"/>
        <w:rPr>
          <w:b/>
          <w:i/>
        </w:rPr>
      </w:pPr>
      <w:r>
        <w:rPr>
          <w:rFonts w:ascii="Noto Sans Symbols" w:eastAsia="Noto Sans Symbols" w:hAnsi="Noto Sans Symbols" w:cs="Noto Sans Symbols"/>
        </w:rPr>
        <w:t xml:space="preserve">●        </w:t>
      </w:r>
      <w:r>
        <w:rPr>
          <w:b/>
          <w:i/>
        </w:rPr>
        <w:t>Sociální a zdravotní pojištění</w:t>
      </w:r>
    </w:p>
    <w:p w:rsidR="008A28E6" w:rsidRDefault="00172DBD">
      <w:pPr>
        <w:spacing w:after="0"/>
        <w:ind w:left="1800" w:hanging="360"/>
        <w:jc w:val="both"/>
      </w:pPr>
      <w:r>
        <w:rPr>
          <w:rFonts w:ascii="Courier New" w:eastAsia="Courier New" w:hAnsi="Courier New" w:cs="Courier New"/>
        </w:rPr>
        <w:t xml:space="preserve">o   </w:t>
      </w:r>
      <w:r>
        <w:rPr>
          <w:b/>
          <w:i/>
        </w:rPr>
        <w:t xml:space="preserve">g) Řidiči </w:t>
      </w:r>
      <w:r>
        <w:t>– odvody na sociálním a zdravotním pojištění za zaměstnance, kteří se přímo účastní provozu Spojů (řidiči)</w:t>
      </w:r>
    </w:p>
    <w:p w:rsidR="008A28E6" w:rsidRDefault="00172DBD">
      <w:pPr>
        <w:spacing w:after="0"/>
        <w:ind w:left="1800" w:hanging="360"/>
        <w:jc w:val="both"/>
      </w:pPr>
      <w:r>
        <w:rPr>
          <w:rFonts w:ascii="Courier New" w:eastAsia="Courier New" w:hAnsi="Courier New" w:cs="Courier New"/>
        </w:rPr>
        <w:t xml:space="preserve">o   </w:t>
      </w:r>
      <w:r>
        <w:rPr>
          <w:b/>
          <w:i/>
        </w:rPr>
        <w:t xml:space="preserve">h) Ostatní zaměstnanci </w:t>
      </w:r>
      <w:r>
        <w:t>– odvody na sociálním a zdravotním pojištění za zaměstnance, kteří jsou do provozu Spojů zapojeni nepřímým způsobem (např. pokladní)</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Cestovné </w:t>
      </w:r>
      <w:r>
        <w:t>– cestovné vyplývající ze zákoníku práce; pouze těch zaměstnancům, jejichž mzdy se uvedou v řádcích Mzdové náklady</w:t>
      </w:r>
    </w:p>
    <w:p w:rsidR="008A28E6" w:rsidRDefault="00172DBD">
      <w:pPr>
        <w:spacing w:after="0"/>
        <w:ind w:left="1080" w:hanging="360"/>
        <w:jc w:val="both"/>
      </w:pPr>
      <w:r>
        <w:rPr>
          <w:rFonts w:ascii="Noto Sans Symbols" w:eastAsia="Noto Sans Symbols" w:hAnsi="Noto Sans Symbols" w:cs="Noto Sans Symbols"/>
        </w:rPr>
        <w:lastRenderedPageBreak/>
        <w:t xml:space="preserve">●        </w:t>
      </w:r>
      <w:r>
        <w:rPr>
          <w:b/>
          <w:i/>
        </w:rPr>
        <w:t xml:space="preserve">Úhrada za použití infrastruktury </w:t>
      </w:r>
      <w:r>
        <w:t>– náklady na užití infrastruktury, vyjma položky Elektronické mýto a Silniční daň</w:t>
      </w:r>
    </w:p>
    <w:p w:rsidR="008A28E6" w:rsidRDefault="00172DBD">
      <w:pPr>
        <w:spacing w:after="0"/>
        <w:ind w:left="1800" w:hanging="360"/>
        <w:jc w:val="both"/>
      </w:pPr>
      <w:r>
        <w:rPr>
          <w:rFonts w:ascii="Courier New" w:eastAsia="Courier New" w:hAnsi="Courier New" w:cs="Courier New"/>
        </w:rPr>
        <w:t xml:space="preserve">o   </w:t>
      </w:r>
      <w:r>
        <w:rPr>
          <w:b/>
          <w:i/>
        </w:rPr>
        <w:t>i) z toho užití autobusových nádraží</w:t>
      </w:r>
      <w:r>
        <w:t xml:space="preserve"> – náklady vynaložené na užití AN (vjezdy a definované odstavení v souladu s platným CV MF)</w:t>
      </w:r>
    </w:p>
    <w:p w:rsidR="008A28E6" w:rsidRDefault="00172DBD">
      <w:pPr>
        <w:spacing w:after="0"/>
        <w:ind w:left="1800" w:hanging="360"/>
        <w:jc w:val="both"/>
      </w:pPr>
      <w:r>
        <w:rPr>
          <w:rFonts w:ascii="Courier New" w:eastAsia="Courier New" w:hAnsi="Courier New" w:cs="Courier New"/>
        </w:rPr>
        <w:t xml:space="preserve">o   </w:t>
      </w:r>
      <w:r>
        <w:rPr>
          <w:b/>
          <w:i/>
        </w:rPr>
        <w:t xml:space="preserve">j) ostatní </w:t>
      </w:r>
      <w:r>
        <w:t>– do položky se uvede cena za užití odstavných ploch, pokud není uvedena v řádku i)</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Elektronické mýto a Silniční daň - </w:t>
      </w:r>
      <w:r>
        <w:t>náklady (propočtené dle zákona č. 16/1993 Sb., o dani silniční, v platném znění) na silniční daň, pokud tyto souvisí s plněním předmětu Smlouvy. (Vozidla zabezpečující linkovou osobní vnitrostátní přepravu za předpokladu, že ujedou pro tento účel více než 80 % kilometrů z celkového počtu kilometrů jimi ujetých ve zdaňovacím období, jsou od silniční daně dle zákona č. 16/1993 Sb., v platném znění od silniční daně osvobozena.)</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Pojištění (zákonné, havarijní) -</w:t>
      </w:r>
      <w:r>
        <w:t xml:space="preserve"> náklady na pojistné ze zákonné odpovědnosti za </w:t>
      </w:r>
      <w:proofErr w:type="gramStart"/>
      <w:r>
        <w:t>provoz  Vozidel</w:t>
      </w:r>
      <w:proofErr w:type="gramEnd"/>
      <w:r>
        <w:t>, popř. havarijní pojištění Vozidel v rámci plnění předmětu VZ; náleží sem i pojištění pro případ pracovních úrazů a nemocí z povolání zaměstnanců (řidičů) a pojištění sedadel</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Ostatní přímé náklady </w:t>
      </w:r>
      <w:r>
        <w:t>(zastávkové služby a jiné – náklady spojené s provozními zaměstnanci (ošacení, pracovní a ochranné pomůcky), finanční náklady Vozidel (úroky) apod.;</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Ostatní služby </w:t>
      </w:r>
      <w:r>
        <w:t>– náklady na služby nezařazené do výše uvedených položek, které jednoznačně (přímo) souvisí s předmětem VZ, avšak je nelze vztáhnout na konkrétní vozidlo; jedná se např. o náklady na čištění, úklid a ostrahu Vozidel v případě externí služby, platby za přechodné ubytování provozních zaměstnanců, telekomunikační a IT služby, marketingové služby a další; provoz nocležen, školení řidičů, technické prohlídky, vzdělávání (interní) a lékařské prohlídky zaměstnanců apod.; telekomunikační služby související s Vozidlem budou hrazeny Objednatelem dle podmínek Smlouvy</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Provozní režie </w:t>
      </w:r>
      <w:r>
        <w:t xml:space="preserve">– režijní náklady provozního charakteru (řízení a provoz provozoven, např. garážmistři), nezávislé na výši Objednávky, spojené s poskytováním Plnění předmětné Smlouvy; jedná se např. o provoz odbavovacího systému či jiných zařízení </w:t>
      </w:r>
      <w:proofErr w:type="gramStart"/>
      <w:r>
        <w:t>Dopravce,  provoz</w:t>
      </w:r>
      <w:proofErr w:type="gramEnd"/>
      <w:r>
        <w:t xml:space="preserve"> služebních vozidel na provozovnách apod.</w:t>
      </w:r>
    </w:p>
    <w:p w:rsidR="008A28E6" w:rsidRDefault="00172DBD">
      <w:pPr>
        <w:spacing w:after="0"/>
        <w:ind w:left="1080" w:hanging="360"/>
        <w:jc w:val="both"/>
      </w:pPr>
      <w:r>
        <w:rPr>
          <w:rFonts w:ascii="Noto Sans Symbols" w:eastAsia="Noto Sans Symbols" w:hAnsi="Noto Sans Symbols" w:cs="Noto Sans Symbols"/>
        </w:rPr>
        <w:t xml:space="preserve">●        </w:t>
      </w:r>
      <w:r>
        <w:rPr>
          <w:b/>
          <w:i/>
        </w:rPr>
        <w:t xml:space="preserve">Správní režie </w:t>
      </w:r>
      <w:r>
        <w:t xml:space="preserve">– režijní náklady správního charakteru, nezávislé na výši Objednávky, spojené s řízením a správou Smlouvy (vedení společnosti nebo divize, např. </w:t>
      </w:r>
      <w:proofErr w:type="spellStart"/>
      <w:r>
        <w:t>technicko-hospodářští</w:t>
      </w:r>
      <w:proofErr w:type="spellEnd"/>
      <w:r>
        <w:t xml:space="preserve"> pracovníci, provoz služebních vozidel, telekomunikační a IT služby, poplatky za účetní SW apod.). Dopravce do této položky může započítat i výnosy z komerční činnosti.</w:t>
      </w:r>
    </w:p>
    <w:p w:rsidR="008A28E6" w:rsidRDefault="00172DBD">
      <w:pPr>
        <w:spacing w:after="0"/>
        <w:jc w:val="both"/>
      </w:pPr>
      <w:r>
        <w:rPr>
          <w:b/>
          <w:i/>
        </w:rPr>
        <w:t xml:space="preserve">Zisk </w:t>
      </w:r>
      <w:r>
        <w:t>– kalkulovaný zisk Dopravce z poskytování v Době plnění dle Smlouvy</w:t>
      </w:r>
    </w:p>
    <w:p w:rsidR="008A28E6" w:rsidRDefault="00172DBD">
      <w:pPr>
        <w:spacing w:after="0"/>
        <w:jc w:val="both"/>
      </w:pPr>
      <w:r>
        <w:t xml:space="preserve"> </w:t>
      </w:r>
    </w:p>
    <w:p w:rsidR="008A28E6" w:rsidRDefault="00172DBD">
      <w:pPr>
        <w:spacing w:after="0"/>
        <w:jc w:val="both"/>
      </w:pPr>
      <w:r>
        <w:t>V listu</w:t>
      </w:r>
      <w:r>
        <w:rPr>
          <w:i/>
        </w:rPr>
        <w:t xml:space="preserve"> Indexy skutečné</w:t>
      </w:r>
      <w:r>
        <w:t xml:space="preserve"> Dopravce zjistí míry nárůstu/poklesu hodnot cenotvorných položek po dobu 10 let trvání Smlouvy. Dopravce může v listu </w:t>
      </w:r>
      <w:r>
        <w:rPr>
          <w:i/>
        </w:rPr>
        <w:t xml:space="preserve">Model výchozí (MV) </w:t>
      </w:r>
      <w:r>
        <w:t xml:space="preserve">vyplnit hodnoty ve žlutě podbarvených řádcích podle svých požadavků a výše hodnot pro konkrétní cenotvornou položku se v průběhu 10 let trvání Smlouvy může měnit. Povoluje-li Objednatel indexaci položky, je zdroj indexu uveden v listu </w:t>
      </w:r>
      <w:r>
        <w:rPr>
          <w:i/>
        </w:rPr>
        <w:t>Indexy skutečné</w:t>
      </w:r>
      <w:r>
        <w:t xml:space="preserve">, ve sloupci V. Způsob výpočtu indexu je uveden ve sloupcích W (pro objednávku) a X (pro realizaci, resp. pro vyúčtování II). Cesta k publikaci konkrétní hodnoty statistického ukazatele je znázorněna v </w:t>
      </w:r>
      <w:proofErr w:type="spellStart"/>
      <w:r>
        <w:t>Tab</w:t>
      </w:r>
      <w:proofErr w:type="spellEnd"/>
      <w:r>
        <w:t xml:space="preserve"> 2. Publikace indexu.</w:t>
      </w:r>
    </w:p>
    <w:p w:rsidR="008A28E6" w:rsidRDefault="00172DBD">
      <w:pPr>
        <w:spacing w:after="0"/>
        <w:jc w:val="both"/>
      </w:pPr>
      <w:r>
        <w:t xml:space="preserve"> </w:t>
      </w:r>
    </w:p>
    <w:p w:rsidR="008A28E6" w:rsidRDefault="00172DBD">
      <w:pPr>
        <w:spacing w:after="0"/>
        <w:jc w:val="both"/>
      </w:pPr>
      <w:r>
        <w:lastRenderedPageBreak/>
        <w:t>Na listu</w:t>
      </w:r>
      <w:r>
        <w:rPr>
          <w:i/>
        </w:rPr>
        <w:t xml:space="preserve"> Model výchozí (MV)</w:t>
      </w:r>
      <w:r>
        <w:t xml:space="preserve"> nevyplňuje Dopravce hodnoty buněk G6 a G7 (přenáší se automaticky z předchozího listu</w:t>
      </w:r>
      <w:r>
        <w:rPr>
          <w:i/>
        </w:rPr>
        <w:t xml:space="preserve"> Variabilní náklady dle typu</w:t>
      </w:r>
      <w:r>
        <w:t>), dále řádek 8, buňky G8 až P8, kam se automaticky přenáší odpisy všech Vozidel uvedené na listu</w:t>
      </w:r>
      <w:r>
        <w:rPr>
          <w:i/>
        </w:rPr>
        <w:t xml:space="preserve"> Vozidla</w:t>
      </w:r>
      <w:r>
        <w:t>, v buňce I40 (jsou součtem odpisů Výchozího počtu Základních a Zálohových vozidel, která jsou v majetku Dopravce vč. vozidel řešených poddodávkou).</w:t>
      </w:r>
    </w:p>
    <w:p w:rsidR="008A28E6" w:rsidRDefault="00172DBD">
      <w:pPr>
        <w:spacing w:after="0"/>
        <w:jc w:val="both"/>
      </w:pPr>
      <w:r>
        <w:t xml:space="preserve"> </w:t>
      </w:r>
    </w:p>
    <w:p w:rsidR="008A28E6" w:rsidRDefault="00172DBD">
      <w:pPr>
        <w:spacing w:after="0"/>
        <w:jc w:val="both"/>
      </w:pPr>
      <w:r>
        <w:t>Na tomto listu</w:t>
      </w:r>
      <w:r>
        <w:rPr>
          <w:i/>
        </w:rPr>
        <w:t xml:space="preserve"> Model výchozí (MV) </w:t>
      </w:r>
      <w:r>
        <w:t>se nevyplňuje ani hodnota buňky G10 a dalších v tomto řádku, která se automaticky přenáší z listu</w:t>
      </w:r>
      <w:r>
        <w:rPr>
          <w:i/>
        </w:rPr>
        <w:t xml:space="preserve"> Vozidla</w:t>
      </w:r>
      <w:r>
        <w:t>, z buňky N40.</w:t>
      </w:r>
    </w:p>
    <w:p w:rsidR="008A28E6" w:rsidRDefault="00172DBD">
      <w:pPr>
        <w:spacing w:after="0"/>
        <w:jc w:val="both"/>
      </w:pPr>
      <w:r>
        <w:t xml:space="preserve"> </w:t>
      </w:r>
    </w:p>
    <w:p w:rsidR="008A28E6" w:rsidRDefault="00172DBD">
      <w:pPr>
        <w:spacing w:after="0"/>
        <w:jc w:val="both"/>
      </w:pPr>
      <w:r>
        <w:t>Řádek 18 Úhrada za použití infrastruktury, z toho za použití autobusových nádraží (AN), se počítá automaticky z dat vyplněných Dopravcem/Objednatelem, a sice jako součin počtu vjezdů na AN a ceny za vjezd (např. C33*G33). Ceny za vjezdy na autobusová nádraží CAN v Plzni a autobusové nádraží v Klatovech si dojedná Dopravce a doplní do buněk C33 a C35. Pro Terminál Hlavní nádraží (v Plzni) Dopravce použije cenu za jeden vjezd hodnotu uvedenou v buňce C34, stanovenou vlastníkem a zadanou Objednatelem.</w:t>
      </w:r>
    </w:p>
    <w:p w:rsidR="008A28E6" w:rsidRDefault="00172DBD">
      <w:pPr>
        <w:spacing w:after="0"/>
        <w:jc w:val="both"/>
      </w:pPr>
      <w:r>
        <w:t xml:space="preserve"> </w:t>
      </w:r>
    </w:p>
    <w:p w:rsidR="008A28E6" w:rsidRDefault="00172DBD">
      <w:pPr>
        <w:spacing w:after="0"/>
        <w:jc w:val="both"/>
      </w:pPr>
      <w:r>
        <w:t>Dopravce vyplní hodnoty žlutě podbarvených buněk v řádcích 3 až 23, CDV celkem (v Kč) (řádek 24) je součtem buněk 3 až 23 (např. ve sloupci G pro první rok trvání smlouvy).</w:t>
      </w:r>
    </w:p>
    <w:p w:rsidR="008A28E6" w:rsidRDefault="00172DBD">
      <w:pPr>
        <w:spacing w:after="0"/>
        <w:jc w:val="both"/>
      </w:pPr>
      <w:r>
        <w:t xml:space="preserve"> </w:t>
      </w:r>
    </w:p>
    <w:p w:rsidR="008A28E6" w:rsidRDefault="00172DBD">
      <w:pPr>
        <w:spacing w:after="0"/>
        <w:jc w:val="both"/>
      </w:pPr>
      <w:r>
        <w:t xml:space="preserve">Dále v listu </w:t>
      </w:r>
      <w:r>
        <w:rPr>
          <w:i/>
        </w:rPr>
        <w:t>Model výchozí (MV)</w:t>
      </w:r>
      <w:r>
        <w:t xml:space="preserve"> Dopravce vyplní žluté buňky ve sloupcích X, Y, tj. položku Výkon a Vozidlo. Jedná se o stanovení poměru (variabilních) nákladů, které se vztahují k Výkonu nebo k Vozidlu. Hodnoty v hnědě podbarvených buňkách stanovil Objednatel a Dopravce je nemůže ovlivnit.</w:t>
      </w:r>
    </w:p>
    <w:p w:rsidR="008A28E6" w:rsidRDefault="00172DBD">
      <w:pPr>
        <w:spacing w:after="0"/>
        <w:jc w:val="both"/>
      </w:pPr>
      <w:r>
        <w:t xml:space="preserve"> </w:t>
      </w:r>
    </w:p>
    <w:p w:rsidR="008A28E6" w:rsidRDefault="00172DBD">
      <w:pPr>
        <w:spacing w:after="0"/>
        <w:jc w:val="both"/>
      </w:pPr>
      <w:r>
        <w:t>Ve sloupci AA je uvedena Maximálně přípustná meziroční změna, tj. Objednatel stanovil maximální možnou meziroční procentuální změnu oproti předchozímu roku. V případě, že by byla buňka podbarvena červeně, Dopravce nevyplnil data podle požadavků. Ve sloupci AB Kontrola složek ceny je kontrolní součet buněk z variabilních (Výkony a Vozidlo) a fixních nákladů, který musí být vždy roven 100 %.</w:t>
      </w:r>
    </w:p>
    <w:p w:rsidR="008A28E6" w:rsidRDefault="00172DBD">
      <w:pPr>
        <w:spacing w:after="0"/>
        <w:jc w:val="both"/>
      </w:pPr>
      <w:r>
        <w:t xml:space="preserve"> </w:t>
      </w:r>
    </w:p>
    <w:p w:rsidR="008A28E6" w:rsidRDefault="00172DBD">
      <w:pPr>
        <w:spacing w:after="0"/>
        <w:jc w:val="both"/>
      </w:pPr>
      <w:r>
        <w:rPr>
          <w:b/>
        </w:rPr>
        <w:t>Na listu</w:t>
      </w:r>
      <w:r>
        <w:rPr>
          <w:b/>
          <w:i/>
        </w:rPr>
        <w:t xml:space="preserve"> Model výchozí (MV)</w:t>
      </w:r>
      <w:r>
        <w:rPr>
          <w:b/>
        </w:rPr>
        <w:t xml:space="preserve"> je vypočítána průměrná </w:t>
      </w:r>
      <w:r>
        <w:rPr>
          <w:b/>
          <w:u w:val="single"/>
        </w:rPr>
        <w:t>Cena dopravního výkonu (CDV) jednotková</w:t>
      </w:r>
      <w:r>
        <w:rPr>
          <w:b/>
        </w:rPr>
        <w:t xml:space="preserve"> (v Kč/km) (buňka W26), která je prvním z hodnotících kritérií a přenáší se do </w:t>
      </w:r>
      <w:r>
        <w:rPr>
          <w:b/>
          <w:i/>
        </w:rPr>
        <w:t>listu Nabídková cena</w:t>
      </w:r>
      <w:r>
        <w:rPr>
          <w:b/>
        </w:rPr>
        <w:t xml:space="preserve">, do buňky B3. </w:t>
      </w:r>
      <w:r>
        <w:t>Průměrná Cena dopravního výkonu (CDV) jednotková za první rok trvání smlouvy se automaticky vypočte jako součet buněk G3 až G23 podělený výkonem uvedeným Objednatelem v buňce G25. V řádcích 3 až 23, sloupce G Dopravce vyplňuje všechny žluté buňky. Dopravce nevyplňuje buňky G6, G7, G8 a G10, jejichž hodnota se přenáší z předchozích listů a buňky G17, jejíž hodnotu stanovil Objednatel. Buňku G18 Dopravce rovněž nevyplňuje, hodnota se vypočte z podkladů o cenách za vjezd na autobusová nádraží (terminály) a počtu těchto vjezdů v souladu s jízdními řády. Průměrná Cena dopravního výkonu (CDV) jednotková za další (druhý až desátý) roky trvání Smlouvy se vypočte analogicky. Hodnotící kritérium, průměrná Cena dopravního výkonu (CDV) jednotková (v Kč/km) (buňka W26), se vypočte jako průměr z hodnot Cena dopravního výkonu (CDV) jednotková za první až desátý rok smlouvy.</w:t>
      </w:r>
    </w:p>
    <w:p w:rsidR="008A28E6" w:rsidRDefault="00172DBD">
      <w:pPr>
        <w:spacing w:after="0"/>
        <w:jc w:val="both"/>
      </w:pPr>
      <w:r>
        <w:t xml:space="preserve"> </w:t>
      </w:r>
    </w:p>
    <w:p w:rsidR="008A28E6" w:rsidRDefault="00172DBD">
      <w:pPr>
        <w:spacing w:after="0"/>
        <w:jc w:val="both"/>
      </w:pPr>
      <w:r>
        <w:t>Upozornění: Objednatel rozhodl, že maximální výše průměrné Výchozí jednotkové CDV nesmí překročit výši hodnotu 40,00 Kč/km (viz Nabídková cena v úvodu tohoto dokumentu).</w:t>
      </w:r>
    </w:p>
    <w:p w:rsidR="008A28E6" w:rsidRDefault="00172DBD">
      <w:pPr>
        <w:spacing w:after="0"/>
        <w:jc w:val="both"/>
      </w:pPr>
      <w:r>
        <w:lastRenderedPageBreak/>
        <w:t xml:space="preserve"> </w:t>
      </w:r>
    </w:p>
    <w:p w:rsidR="008A28E6" w:rsidRDefault="00172DBD">
      <w:pPr>
        <w:spacing w:after="0"/>
        <w:jc w:val="both"/>
        <w:rPr>
          <w:b/>
          <w:i/>
        </w:rPr>
      </w:pPr>
      <w:r>
        <w:rPr>
          <w:b/>
          <w:i/>
        </w:rPr>
        <w:t>List MV navýšený rozsah</w:t>
      </w:r>
    </w:p>
    <w:p w:rsidR="008A28E6" w:rsidRDefault="00172DBD">
      <w:pPr>
        <w:spacing w:after="0"/>
        <w:jc w:val="both"/>
      </w:pPr>
      <w:r>
        <w:t xml:space="preserve">V </w:t>
      </w:r>
      <w:r>
        <w:rPr>
          <w:i/>
        </w:rPr>
        <w:t>listu MV navýšený</w:t>
      </w:r>
      <w:r>
        <w:t xml:space="preserve"> se Model výchozí automaticky přepočte na navýšený výkon (stanovený Objednatelem) bez potřeby zvýšení Výchozího počtu Základních vozidel.</w:t>
      </w:r>
    </w:p>
    <w:p w:rsidR="008A28E6" w:rsidRDefault="00172DBD">
      <w:pPr>
        <w:spacing w:after="0"/>
        <w:jc w:val="both"/>
      </w:pPr>
      <w:r>
        <w:t xml:space="preserve"> </w:t>
      </w:r>
    </w:p>
    <w:p w:rsidR="008A28E6" w:rsidRDefault="00172DBD">
      <w:pPr>
        <w:spacing w:after="0"/>
        <w:jc w:val="both"/>
        <w:rPr>
          <w:i/>
        </w:rPr>
      </w:pPr>
      <w:r>
        <w:rPr>
          <w:b/>
        </w:rPr>
        <w:t xml:space="preserve">Hodnota CDV jednotková (v Kč/km) pro navýšený výkon bez potřeby dalšího Vozidla vypočtená v buňce W26 je druhým hodnotícím kritériem a přenáší se do listu Nabídková cena, do buňky B4. </w:t>
      </w:r>
      <w:r>
        <w:t>Princip výpočtu této hodnoty je stejný jako v předchozím listu</w:t>
      </w:r>
      <w:r>
        <w:rPr>
          <w:i/>
        </w:rPr>
        <w:t xml:space="preserve"> Model výchozí.</w:t>
      </w:r>
    </w:p>
    <w:p w:rsidR="008A28E6" w:rsidRDefault="00172DBD">
      <w:pPr>
        <w:spacing w:after="0"/>
        <w:jc w:val="both"/>
      </w:pPr>
      <w:r>
        <w:t xml:space="preserve"> </w:t>
      </w:r>
    </w:p>
    <w:p w:rsidR="008A28E6" w:rsidRDefault="00172DBD">
      <w:pPr>
        <w:spacing w:after="0"/>
        <w:jc w:val="both"/>
      </w:pPr>
      <w:r>
        <w:t>V uvedeném listu Dopravce neprovádí žádné doplnění.</w:t>
      </w:r>
    </w:p>
    <w:p w:rsidR="008A28E6" w:rsidRDefault="00172DBD">
      <w:pPr>
        <w:spacing w:after="0"/>
        <w:jc w:val="both"/>
        <w:rPr>
          <w:b/>
        </w:rPr>
      </w:pPr>
      <w:r>
        <w:rPr>
          <w:b/>
        </w:rPr>
        <w:t xml:space="preserve"> </w:t>
      </w:r>
    </w:p>
    <w:p w:rsidR="008A28E6" w:rsidRDefault="00172DBD">
      <w:pPr>
        <w:spacing w:after="0"/>
        <w:jc w:val="both"/>
        <w:rPr>
          <w:b/>
          <w:i/>
        </w:rPr>
      </w:pPr>
      <w:r>
        <w:rPr>
          <w:b/>
          <w:i/>
        </w:rPr>
        <w:t>List Indexy nabídky</w:t>
      </w:r>
    </w:p>
    <w:p w:rsidR="008A28E6" w:rsidRDefault="00172DBD">
      <w:pPr>
        <w:spacing w:after="0"/>
        <w:jc w:val="both"/>
      </w:pPr>
      <w:r>
        <w:t xml:space="preserve">Indexy nabídky jsou teoretické indexy stanovené Objednatelem, které jsou pro všechny Dopravce stejné. Indexy slouží pro přepočtení Modelu výchozího (MV) do listu </w:t>
      </w:r>
      <w:r>
        <w:rPr>
          <w:i/>
        </w:rPr>
        <w:t>Model Indexovaný.</w:t>
      </w:r>
      <w:r>
        <w:t xml:space="preserve"> </w:t>
      </w:r>
    </w:p>
    <w:p w:rsidR="008A28E6" w:rsidRDefault="008A28E6">
      <w:pPr>
        <w:spacing w:after="0"/>
        <w:jc w:val="both"/>
        <w:rPr>
          <w:b/>
          <w:i/>
        </w:rPr>
      </w:pPr>
    </w:p>
    <w:p w:rsidR="008A28E6" w:rsidRDefault="00172DBD">
      <w:pPr>
        <w:spacing w:after="0"/>
        <w:jc w:val="both"/>
        <w:rPr>
          <w:b/>
          <w:i/>
        </w:rPr>
      </w:pPr>
      <w:r>
        <w:rPr>
          <w:b/>
          <w:i/>
        </w:rPr>
        <w:t>List MV indexovaný</w:t>
      </w:r>
    </w:p>
    <w:p w:rsidR="008A28E6" w:rsidRDefault="00172DBD">
      <w:pPr>
        <w:spacing w:after="0"/>
        <w:jc w:val="both"/>
      </w:pPr>
      <w:r>
        <w:t xml:space="preserve">Ani v tomto listu Dopravce nic nevyplňuje. V listu se přepočítají hodnoty z </w:t>
      </w:r>
      <w:r>
        <w:rPr>
          <w:i/>
        </w:rPr>
        <w:t>listu Model výchozí (MV)</w:t>
      </w:r>
      <w:r>
        <w:t xml:space="preserve"> za použití indexů uvedených v listu</w:t>
      </w:r>
      <w:r>
        <w:rPr>
          <w:i/>
        </w:rPr>
        <w:t xml:space="preserve"> Indexy Nabídky</w:t>
      </w:r>
      <w:r>
        <w:t>. Hodnoty indexů v uvedeném listu stanovil Objednatel.</w:t>
      </w:r>
    </w:p>
    <w:p w:rsidR="008A28E6" w:rsidRDefault="00172DBD">
      <w:pPr>
        <w:spacing w:after="0"/>
        <w:jc w:val="both"/>
      </w:pPr>
      <w:r>
        <w:t xml:space="preserve"> </w:t>
      </w:r>
    </w:p>
    <w:p w:rsidR="008A28E6" w:rsidRDefault="00172DBD">
      <w:pPr>
        <w:spacing w:after="0"/>
        <w:jc w:val="both"/>
        <w:rPr>
          <w:i/>
        </w:rPr>
      </w:pPr>
      <w:r>
        <w:rPr>
          <w:b/>
        </w:rPr>
        <w:t xml:space="preserve">Hodnota CDV jednotková (v Kč/km) pro MV indexovaný, je vypočtená v buňce W26 a je třetím hodnotícím kritériem; přenáší se do </w:t>
      </w:r>
      <w:r>
        <w:rPr>
          <w:b/>
          <w:i/>
        </w:rPr>
        <w:t>listu Nabídková cena</w:t>
      </w:r>
      <w:r>
        <w:rPr>
          <w:b/>
        </w:rPr>
        <w:t xml:space="preserve">, do buňky B5. </w:t>
      </w:r>
      <w:r>
        <w:t>Princip výpočtu této hodnoty je stejný jako v listu</w:t>
      </w:r>
      <w:r>
        <w:rPr>
          <w:i/>
        </w:rPr>
        <w:t xml:space="preserve"> Model výchozí.</w:t>
      </w:r>
    </w:p>
    <w:p w:rsidR="008A28E6" w:rsidRDefault="00172DBD">
      <w:pPr>
        <w:spacing w:after="0"/>
        <w:jc w:val="both"/>
        <w:rPr>
          <w:b/>
          <w:i/>
        </w:rPr>
      </w:pPr>
      <w:r>
        <w:rPr>
          <w:b/>
          <w:i/>
        </w:rPr>
        <w:t xml:space="preserve"> </w:t>
      </w:r>
    </w:p>
    <w:p w:rsidR="008A28E6" w:rsidRDefault="00172DBD">
      <w:pPr>
        <w:spacing w:after="0"/>
        <w:jc w:val="both"/>
        <w:rPr>
          <w:b/>
          <w:i/>
        </w:rPr>
      </w:pPr>
      <w:r>
        <w:rPr>
          <w:b/>
          <w:i/>
        </w:rPr>
        <w:t>List Nabídková cena</w:t>
      </w:r>
    </w:p>
    <w:p w:rsidR="008A28E6" w:rsidRDefault="00172DBD">
      <w:pPr>
        <w:spacing w:after="0"/>
        <w:jc w:val="both"/>
        <w:rPr>
          <w:b/>
        </w:rPr>
      </w:pPr>
      <w:r>
        <w:t>Do listu</w:t>
      </w:r>
      <w:r>
        <w:rPr>
          <w:i/>
        </w:rPr>
        <w:t xml:space="preserve"> Nabídková cena</w:t>
      </w:r>
      <w:r>
        <w:t xml:space="preserve"> se přenášejí automaticky hodnoty “CDV jednotková” z </w:t>
      </w:r>
      <w:r>
        <w:rPr>
          <w:i/>
        </w:rPr>
        <w:t>listů Model výchozí (MV), MV navýšený výkon a MV indexovaný</w:t>
      </w:r>
      <w:r>
        <w:t xml:space="preserve">. S využitím váhy uvedené v buňkách C3 až C5 je přepočítána hodnota </w:t>
      </w:r>
      <w:r>
        <w:rPr>
          <w:b/>
        </w:rPr>
        <w:t>Nabídkové ceny (v Kč/km), která je uváděna v aukci jako soutěžní hodnota (buňka B6).</w:t>
      </w:r>
    </w:p>
    <w:p w:rsidR="008A28E6" w:rsidRDefault="00172DBD">
      <w:pPr>
        <w:spacing w:after="0"/>
        <w:jc w:val="both"/>
      </w:pPr>
      <w:r>
        <w:t>Nabídková cena (v Kč/km) je uváděna s přesností na dvě desetinná místa.</w:t>
      </w:r>
    </w:p>
    <w:p w:rsidR="008A28E6" w:rsidRDefault="00172DBD">
      <w:pPr>
        <w:spacing w:after="0"/>
        <w:jc w:val="both"/>
      </w:pPr>
      <w:r>
        <w:t>V případě úplné shody v této hodnotě více dopravců, o pořadí rozhoduje nižší hodnota Předpokládané celkové hodnoty zakázky. Předpokládaná celková hodnota zakázky, uvedená v buňce B12, je vypočítána jako vážený průměr tří položek - CDV celkem - za 10 let (</w:t>
      </w:r>
      <w:r w:rsidRPr="00A5179A">
        <w:rPr>
          <w:i/>
        </w:rPr>
        <w:t>Model výchozí (MV)</w:t>
      </w:r>
      <w:r>
        <w:t xml:space="preserve"> výchozí, buňka V24), CDV celkem po navýšení rozsahu (</w:t>
      </w:r>
      <w:r w:rsidRPr="00A5179A">
        <w:rPr>
          <w:i/>
        </w:rPr>
        <w:t>MV navýšený rozsah</w:t>
      </w:r>
      <w:r>
        <w:t>, buňka V24), CDV celkem po indexaci teoretickými indexy (</w:t>
      </w:r>
      <w:r w:rsidRPr="00A5179A">
        <w:rPr>
          <w:i/>
        </w:rPr>
        <w:t>MV Indexovaný</w:t>
      </w:r>
      <w:r>
        <w:t>, buňka V24) s využitím váhy uvedené v buňkách C9 až C11. Předpokládaná hodnota zakázky se uvádí s přesností na celé koruny.</w:t>
      </w:r>
    </w:p>
    <w:p w:rsidR="008A28E6" w:rsidRDefault="00172DBD">
      <w:pPr>
        <w:spacing w:after="0"/>
        <w:jc w:val="both"/>
        <w:rPr>
          <w:b/>
        </w:rPr>
      </w:pPr>
      <w:r>
        <w:rPr>
          <w:b/>
        </w:rPr>
        <w:t xml:space="preserve"> </w:t>
      </w:r>
    </w:p>
    <w:p w:rsidR="008A28E6" w:rsidRDefault="00172DBD">
      <w:pPr>
        <w:spacing w:after="0"/>
        <w:jc w:val="both"/>
      </w:pPr>
      <w:r>
        <w:t xml:space="preserve">Upozornění: Objednatel rozhodl, že maximální výše průměrné Výchozí jednotkové CDV nesmí překročit hodnotu 40,00 Kč/km (list </w:t>
      </w:r>
      <w:r>
        <w:rPr>
          <w:i/>
        </w:rPr>
        <w:t>Model výchozí (MV)</w:t>
      </w:r>
      <w:r>
        <w:t xml:space="preserve">, buňka W26). Hodnota se přenáší do listu </w:t>
      </w:r>
      <w:r>
        <w:rPr>
          <w:i/>
        </w:rPr>
        <w:t>Nabídková cena</w:t>
      </w:r>
      <w:r>
        <w:t>, do buňky B3. V případě, že by hodnota převyšovala Objednatelem stanovenou hodnotu, Nabídková cena pro zakázku nepůjde vypočítat, buňka B6 bude hlásit chybu.</w:t>
      </w:r>
    </w:p>
    <w:p w:rsidR="008A28E6" w:rsidRDefault="00172DBD">
      <w:pPr>
        <w:spacing w:after="0"/>
        <w:jc w:val="both"/>
      </w:pPr>
      <w:r>
        <w:t>Další listy modelu slouží pro stanovení Objednávky a vyúčtování Dopravního roku (list Realizace skutečná).</w:t>
      </w:r>
    </w:p>
    <w:p w:rsidR="008A28E6" w:rsidRDefault="008A28E6">
      <w:pPr>
        <w:spacing w:after="0"/>
        <w:jc w:val="both"/>
        <w:rPr>
          <w:b/>
          <w:i/>
        </w:rPr>
      </w:pPr>
    </w:p>
    <w:p w:rsidR="008A28E6" w:rsidRDefault="00172DBD">
      <w:pPr>
        <w:spacing w:after="0"/>
        <w:jc w:val="both"/>
        <w:rPr>
          <w:b/>
          <w:i/>
        </w:rPr>
      </w:pPr>
      <w:r>
        <w:rPr>
          <w:b/>
          <w:i/>
        </w:rPr>
        <w:t>List Indexy skutečné</w:t>
      </w:r>
    </w:p>
    <w:p w:rsidR="008A28E6" w:rsidRDefault="00172DBD">
      <w:pPr>
        <w:spacing w:after="0"/>
        <w:jc w:val="both"/>
      </w:pPr>
      <w:r>
        <w:lastRenderedPageBreak/>
        <w:t xml:space="preserve">Na tomto listu jsou uvedeny odkazy na zdroje indexů potřebných k valorizaci Modelu výchozího (MV) během Doby plnění. V buňkách G5 až P24 budou doplňovány (po jejich zveřejnění) hodnoty nárůstu/poklesu pro úpravu jednotlivých cenotvorných položek pro následující/předchozí Dopravní rok. Objednatel bude tedy v tomto listu zadávat indexy pro konkrétní Dopravní rok dvakrát, a to nárůsty/poklesy pro Objednávku a nárůsty/poklesy pro Vyúčtování II. V řádcích 2 a 3 jsou uvedeny měsíc/rok Objednávky (řádek 2) a Realizace (tj. Vyúčtování II realizovaného roku - řádek 3). Zeleně podbarvená buňka (Objednávka/Realizace) bude značit platnost indexů v řádku 5 až 24 v příslušném sloupci pro uvedenou Objednávku/Realizaci (zde příklad pro Dopravní rok 2020/2021). </w:t>
      </w:r>
    </w:p>
    <w:p w:rsidR="008A28E6" w:rsidRDefault="00172DBD">
      <w:pPr>
        <w:spacing w:after="0"/>
        <w:jc w:val="both"/>
      </w:pPr>
      <w:r>
        <w:t xml:space="preserve"> </w:t>
      </w:r>
    </w:p>
    <w:p w:rsidR="008A28E6" w:rsidRDefault="00172DBD">
      <w:pPr>
        <w:spacing w:after="0"/>
        <w:jc w:val="both"/>
      </w:pPr>
      <w:r>
        <w:t xml:space="preserve">Do hnědě podbarvených buněk (G5 až P24) zadává Objednatel hodnoty publikovaných nárůstů/poklesů (dále pak index) popř. hodnoty vypočítané na základě publikovaných absolutních hodnot - viz </w:t>
      </w:r>
      <w:proofErr w:type="spellStart"/>
      <w:r>
        <w:t>Tab</w:t>
      </w:r>
      <w:proofErr w:type="spellEnd"/>
      <w:r>
        <w:t xml:space="preserve"> 3. Způsob výpočtu indexu pro Objednávku a </w:t>
      </w:r>
      <w:proofErr w:type="spellStart"/>
      <w:r>
        <w:t>Tab</w:t>
      </w:r>
      <w:proofErr w:type="spellEnd"/>
      <w:r>
        <w:t xml:space="preserve"> 4. Způsob výpočtu indexu pro Realizaci (Vyúčtování II), vždy ve sloupcích pro konkrétní Dopravní rok. Hodnotou indexu bude odpovídající cenotvorná položka Modelu výchozího (MV) vynásobena. Skutečné hodnoty Indexů jsou získány ze zdroje uvedeného v příslušném řádku ve sloupci Index - publikace indexu (sloupec V). V tomto dokumentu je uvedena jako Tab. 1. Typ indexu a jeho publikace. Přesná cesta ke zdroji statistických dat se nachází v </w:t>
      </w:r>
      <w:proofErr w:type="spellStart"/>
      <w:r>
        <w:t>Tab</w:t>
      </w:r>
      <w:proofErr w:type="spellEnd"/>
      <w:r>
        <w:t xml:space="preserve"> 2. Publikace indexu.</w:t>
      </w:r>
    </w:p>
    <w:p w:rsidR="008A28E6" w:rsidRDefault="008A28E6">
      <w:pPr>
        <w:spacing w:after="0"/>
        <w:jc w:val="both"/>
        <w:rPr>
          <w:shd w:val="clear" w:color="auto" w:fill="999999"/>
        </w:rPr>
      </w:pPr>
    </w:p>
    <w:p w:rsidR="008A28E6" w:rsidRDefault="00172DBD">
      <w:pPr>
        <w:spacing w:after="0"/>
        <w:jc w:val="both"/>
      </w:pPr>
      <w:r>
        <w:t xml:space="preserve">Objednatel rozhodl o přiřazení Indexů k cenotvorným položkám. Název indexu je uveden v příslušném řádku cenotvorné položky (v buňkách V5 až V25). Vybrané cenotvorné položky nebudou valorizovány (označeno „Bez indexace“ v buňkách V5 až V25). </w:t>
      </w:r>
    </w:p>
    <w:p w:rsidR="00664B92" w:rsidRDefault="00664B92">
      <w:r>
        <w:br w:type="page"/>
      </w:r>
    </w:p>
    <w:p w:rsidR="008A28E6" w:rsidRDefault="00172DBD">
      <w:pPr>
        <w:spacing w:after="0"/>
        <w:ind w:left="-142"/>
        <w:jc w:val="both"/>
        <w:rPr>
          <w:highlight w:val="green"/>
        </w:rPr>
      </w:pPr>
      <w:proofErr w:type="spellStart"/>
      <w:r>
        <w:rPr>
          <w:b/>
        </w:rPr>
        <w:lastRenderedPageBreak/>
        <w:t>Tab</w:t>
      </w:r>
      <w:proofErr w:type="spellEnd"/>
      <w:r>
        <w:rPr>
          <w:b/>
        </w:rPr>
        <w:t xml:space="preserve"> 1. Typ indexu a jeho publikace</w:t>
      </w:r>
    </w:p>
    <w:tbl>
      <w:tblPr>
        <w:tblStyle w:val="a"/>
        <w:tblW w:w="92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7"/>
        <w:gridCol w:w="5249"/>
      </w:tblGrid>
      <w:tr w:rsidR="008A28E6">
        <w:trPr>
          <w:trHeight w:val="300"/>
        </w:trPr>
        <w:tc>
          <w:tcPr>
            <w:tcW w:w="4037" w:type="dxa"/>
          </w:tcPr>
          <w:p w:rsidR="008A28E6" w:rsidRDefault="00172DBD">
            <w:pPr>
              <w:jc w:val="both"/>
              <w:rPr>
                <w:b/>
              </w:rPr>
            </w:pPr>
            <w:r>
              <w:rPr>
                <w:b/>
              </w:rPr>
              <w:t>cenotvorné položky</w:t>
            </w:r>
          </w:p>
        </w:tc>
        <w:tc>
          <w:tcPr>
            <w:tcW w:w="5249" w:type="dxa"/>
          </w:tcPr>
          <w:p w:rsidR="008A28E6" w:rsidRDefault="00172DBD">
            <w:pPr>
              <w:jc w:val="both"/>
              <w:rPr>
                <w:b/>
              </w:rPr>
            </w:pPr>
            <w:r>
              <w:rPr>
                <w:b/>
              </w:rPr>
              <w:t>Index - publikace indexu</w:t>
            </w:r>
          </w:p>
        </w:tc>
      </w:tr>
      <w:tr w:rsidR="008A28E6">
        <w:trPr>
          <w:trHeight w:val="320"/>
        </w:trPr>
        <w:tc>
          <w:tcPr>
            <w:tcW w:w="4037" w:type="dxa"/>
          </w:tcPr>
          <w:p w:rsidR="008A28E6" w:rsidRDefault="00172DBD">
            <w:pPr>
              <w:jc w:val="both"/>
            </w:pPr>
            <w:r>
              <w:t>Pohonné hmoty, oleje</w:t>
            </w:r>
          </w:p>
        </w:tc>
        <w:tc>
          <w:tcPr>
            <w:tcW w:w="5249" w:type="dxa"/>
          </w:tcPr>
          <w:p w:rsidR="008A28E6" w:rsidRDefault="00172DBD">
            <w:pPr>
              <w:jc w:val="both"/>
              <w:rPr>
                <w:b/>
              </w:rPr>
            </w:pPr>
            <w:r>
              <w:rPr>
                <w:b/>
              </w:rPr>
              <w:t xml:space="preserve"> </w:t>
            </w:r>
          </w:p>
        </w:tc>
      </w:tr>
      <w:tr w:rsidR="008A28E6">
        <w:trPr>
          <w:trHeight w:val="400"/>
        </w:trPr>
        <w:tc>
          <w:tcPr>
            <w:tcW w:w="4037" w:type="dxa"/>
          </w:tcPr>
          <w:p w:rsidR="008A28E6" w:rsidRDefault="00172DBD">
            <w:pPr>
              <w:rPr>
                <w:i/>
              </w:rPr>
            </w:pPr>
            <w:r>
              <w:rPr>
                <w:i/>
              </w:rPr>
              <w:t xml:space="preserve">                 a Nafta</w:t>
            </w:r>
          </w:p>
        </w:tc>
        <w:tc>
          <w:tcPr>
            <w:tcW w:w="5249" w:type="dxa"/>
          </w:tcPr>
          <w:p w:rsidR="008A28E6" w:rsidRDefault="007B676F">
            <w:pPr>
              <w:jc w:val="both"/>
              <w:rPr>
                <w:u w:val="single"/>
              </w:rPr>
            </w:pPr>
            <w:hyperlink r:id="rId6">
              <w:r w:rsidR="00172DBD">
                <w:rPr>
                  <w:color w:val="0563C1"/>
                  <w:u w:val="single"/>
                </w:rPr>
                <w:t>Průměrná cena nafty v rámci měsíčně reportovaného CPI (ČSÚ)</w:t>
              </w:r>
            </w:hyperlink>
          </w:p>
        </w:tc>
      </w:tr>
      <w:tr w:rsidR="008A28E6">
        <w:trPr>
          <w:trHeight w:val="300"/>
        </w:trPr>
        <w:tc>
          <w:tcPr>
            <w:tcW w:w="4037" w:type="dxa"/>
          </w:tcPr>
          <w:p w:rsidR="008A28E6" w:rsidRDefault="00172DBD">
            <w:pPr>
              <w:jc w:val="center"/>
              <w:rPr>
                <w:i/>
              </w:rPr>
            </w:pPr>
            <w:r>
              <w:rPr>
                <w:i/>
              </w:rPr>
              <w:t>b Oleje, maziva a ostatní</w:t>
            </w:r>
          </w:p>
        </w:tc>
        <w:tc>
          <w:tcPr>
            <w:tcW w:w="5249" w:type="dxa"/>
          </w:tcPr>
          <w:p w:rsidR="008A28E6" w:rsidRDefault="007B676F">
            <w:pPr>
              <w:jc w:val="both"/>
              <w:rPr>
                <w:u w:val="single"/>
              </w:rPr>
            </w:pPr>
            <w:hyperlink r:id="rId7">
              <w:r w:rsidR="00172DBD">
                <w:rPr>
                  <w:color w:val="0563C1"/>
                  <w:u w:val="single"/>
                </w:rPr>
                <w:t xml:space="preserve">Index spotřebitelských cen </w:t>
              </w:r>
            </w:hyperlink>
          </w:p>
        </w:tc>
      </w:tr>
      <w:tr w:rsidR="008A28E6">
        <w:trPr>
          <w:trHeight w:val="300"/>
        </w:trPr>
        <w:tc>
          <w:tcPr>
            <w:tcW w:w="4037" w:type="dxa"/>
          </w:tcPr>
          <w:p w:rsidR="008A28E6" w:rsidRDefault="00172DBD">
            <w:pPr>
              <w:jc w:val="both"/>
            </w:pPr>
            <w:r>
              <w:t xml:space="preserve">Přímý materiál a energie </w:t>
            </w:r>
          </w:p>
        </w:tc>
        <w:tc>
          <w:tcPr>
            <w:tcW w:w="5249" w:type="dxa"/>
          </w:tcPr>
          <w:p w:rsidR="008A28E6" w:rsidRDefault="007B676F">
            <w:pPr>
              <w:jc w:val="both"/>
              <w:rPr>
                <w:u w:val="single"/>
              </w:rPr>
            </w:pPr>
            <w:hyperlink r:id="rId8">
              <w:r w:rsidR="00172DBD">
                <w:rPr>
                  <w:color w:val="0563C1"/>
                  <w:u w:val="single"/>
                </w:rPr>
                <w:t xml:space="preserve">Index spotřebitelských cen </w:t>
              </w:r>
            </w:hyperlink>
          </w:p>
        </w:tc>
      </w:tr>
      <w:tr w:rsidR="008A28E6">
        <w:trPr>
          <w:trHeight w:val="300"/>
        </w:trPr>
        <w:tc>
          <w:tcPr>
            <w:tcW w:w="4037" w:type="dxa"/>
          </w:tcPr>
          <w:p w:rsidR="008A28E6" w:rsidRDefault="00172DBD">
            <w:pPr>
              <w:jc w:val="both"/>
            </w:pPr>
            <w:r>
              <w:t>Opravy a údržba vozidel</w:t>
            </w:r>
          </w:p>
        </w:tc>
        <w:tc>
          <w:tcPr>
            <w:tcW w:w="5249" w:type="dxa"/>
          </w:tcPr>
          <w:p w:rsidR="008A28E6" w:rsidRDefault="007B676F">
            <w:pPr>
              <w:jc w:val="both"/>
              <w:rPr>
                <w:u w:val="single"/>
              </w:rPr>
            </w:pPr>
            <w:hyperlink r:id="rId9">
              <w:r w:rsidR="00172DBD">
                <w:rPr>
                  <w:color w:val="0563C1"/>
                  <w:u w:val="single"/>
                </w:rPr>
                <w:t>Díly a příslušenství pro motorová vozidla (kromě motocyklů) (CL293)</w:t>
              </w:r>
            </w:hyperlink>
          </w:p>
        </w:tc>
      </w:tr>
      <w:tr w:rsidR="008A28E6">
        <w:trPr>
          <w:trHeight w:val="300"/>
        </w:trPr>
        <w:tc>
          <w:tcPr>
            <w:tcW w:w="4037" w:type="dxa"/>
          </w:tcPr>
          <w:p w:rsidR="008A28E6" w:rsidRDefault="00172DBD">
            <w:pPr>
              <w:jc w:val="both"/>
            </w:pPr>
            <w:r>
              <w:t>Pojištění (zákonné, havarijní)</w:t>
            </w:r>
          </w:p>
        </w:tc>
        <w:tc>
          <w:tcPr>
            <w:tcW w:w="5249" w:type="dxa"/>
          </w:tcPr>
          <w:p w:rsidR="008A28E6" w:rsidRDefault="007B676F">
            <w:pPr>
              <w:jc w:val="both"/>
              <w:rPr>
                <w:u w:val="single"/>
              </w:rPr>
            </w:pPr>
            <w:hyperlink r:id="rId10">
              <w:r w:rsidR="00172DBD">
                <w:rPr>
                  <w:color w:val="0563C1"/>
                  <w:u w:val="single"/>
                </w:rPr>
                <w:t>Pojištění motorových vozidel (K65122)</w:t>
              </w:r>
            </w:hyperlink>
          </w:p>
        </w:tc>
      </w:tr>
      <w:tr w:rsidR="008A28E6">
        <w:trPr>
          <w:trHeight w:val="300"/>
        </w:trPr>
        <w:tc>
          <w:tcPr>
            <w:tcW w:w="4037" w:type="dxa"/>
          </w:tcPr>
          <w:p w:rsidR="008A28E6" w:rsidRDefault="00172DBD">
            <w:pPr>
              <w:jc w:val="both"/>
            </w:pPr>
            <w:r>
              <w:t>Odpisy dlouhodobého majetku</w:t>
            </w:r>
          </w:p>
        </w:tc>
        <w:tc>
          <w:tcPr>
            <w:tcW w:w="5249" w:type="dxa"/>
          </w:tcPr>
          <w:p w:rsidR="008A28E6" w:rsidRDefault="00172DBD">
            <w:pPr>
              <w:jc w:val="both"/>
            </w:pPr>
            <w:r>
              <w:t> </w:t>
            </w:r>
          </w:p>
        </w:tc>
      </w:tr>
      <w:tr w:rsidR="008A28E6">
        <w:trPr>
          <w:trHeight w:val="300"/>
        </w:trPr>
        <w:tc>
          <w:tcPr>
            <w:tcW w:w="4037" w:type="dxa"/>
          </w:tcPr>
          <w:p w:rsidR="008A28E6" w:rsidRDefault="00172DBD">
            <w:pPr>
              <w:rPr>
                <w:i/>
              </w:rPr>
            </w:pPr>
            <w:r>
              <w:rPr>
                <w:i/>
              </w:rPr>
              <w:t xml:space="preserve">                 c Vozidla</w:t>
            </w:r>
          </w:p>
        </w:tc>
        <w:tc>
          <w:tcPr>
            <w:tcW w:w="5249" w:type="dxa"/>
          </w:tcPr>
          <w:p w:rsidR="008A28E6" w:rsidRDefault="00172DBD">
            <w:pPr>
              <w:jc w:val="both"/>
            </w:pPr>
            <w:r>
              <w:t>Bez indexace</w:t>
            </w:r>
          </w:p>
        </w:tc>
      </w:tr>
      <w:tr w:rsidR="008A28E6">
        <w:trPr>
          <w:trHeight w:val="300"/>
        </w:trPr>
        <w:tc>
          <w:tcPr>
            <w:tcW w:w="4037" w:type="dxa"/>
          </w:tcPr>
          <w:p w:rsidR="008A28E6" w:rsidRDefault="00172DBD">
            <w:pPr>
              <w:rPr>
                <w:i/>
              </w:rPr>
            </w:pPr>
            <w:r>
              <w:rPr>
                <w:i/>
              </w:rPr>
              <w:t xml:space="preserve">                 d Ostatní majetek</w:t>
            </w:r>
          </w:p>
        </w:tc>
        <w:tc>
          <w:tcPr>
            <w:tcW w:w="5249" w:type="dxa"/>
          </w:tcPr>
          <w:p w:rsidR="008A28E6" w:rsidRDefault="00172DBD">
            <w:pPr>
              <w:jc w:val="both"/>
            </w:pPr>
            <w:r>
              <w:t>Bez indexace</w:t>
            </w:r>
          </w:p>
        </w:tc>
      </w:tr>
      <w:tr w:rsidR="008A28E6">
        <w:trPr>
          <w:trHeight w:val="300"/>
        </w:trPr>
        <w:tc>
          <w:tcPr>
            <w:tcW w:w="4037" w:type="dxa"/>
          </w:tcPr>
          <w:p w:rsidR="008A28E6" w:rsidRDefault="00172DBD">
            <w:pPr>
              <w:jc w:val="both"/>
            </w:pPr>
            <w:r>
              <w:t>Pronájem a leasing Vozidel</w:t>
            </w:r>
          </w:p>
        </w:tc>
        <w:tc>
          <w:tcPr>
            <w:tcW w:w="5249" w:type="dxa"/>
          </w:tcPr>
          <w:p w:rsidR="008A28E6" w:rsidRDefault="00172DBD">
            <w:pPr>
              <w:jc w:val="both"/>
            </w:pPr>
            <w:r>
              <w:t>Bez indexace</w:t>
            </w:r>
          </w:p>
        </w:tc>
      </w:tr>
      <w:tr w:rsidR="008A28E6">
        <w:trPr>
          <w:trHeight w:val="300"/>
        </w:trPr>
        <w:tc>
          <w:tcPr>
            <w:tcW w:w="4037" w:type="dxa"/>
          </w:tcPr>
          <w:p w:rsidR="008A28E6" w:rsidRDefault="00172DBD">
            <w:pPr>
              <w:jc w:val="both"/>
            </w:pPr>
            <w:r>
              <w:t>Mzdové náklady</w:t>
            </w:r>
          </w:p>
        </w:tc>
        <w:tc>
          <w:tcPr>
            <w:tcW w:w="5249" w:type="dxa"/>
          </w:tcPr>
          <w:p w:rsidR="008A28E6" w:rsidRDefault="00172DBD">
            <w:pPr>
              <w:jc w:val="both"/>
            </w:pPr>
            <w:r>
              <w:t> </w:t>
            </w:r>
          </w:p>
        </w:tc>
      </w:tr>
      <w:tr w:rsidR="008A28E6">
        <w:trPr>
          <w:trHeight w:val="300"/>
        </w:trPr>
        <w:tc>
          <w:tcPr>
            <w:tcW w:w="4037" w:type="dxa"/>
          </w:tcPr>
          <w:p w:rsidR="008A28E6" w:rsidRDefault="00172DBD">
            <w:pPr>
              <w:rPr>
                <w:i/>
              </w:rPr>
            </w:pPr>
            <w:r>
              <w:rPr>
                <w:i/>
              </w:rPr>
              <w:t xml:space="preserve">                 e Řidiči Vozidel</w:t>
            </w:r>
          </w:p>
        </w:tc>
        <w:tc>
          <w:tcPr>
            <w:tcW w:w="5249" w:type="dxa"/>
          </w:tcPr>
          <w:p w:rsidR="008A28E6" w:rsidRDefault="007B676F">
            <w:pPr>
              <w:jc w:val="both"/>
              <w:rPr>
                <w:u w:val="single"/>
              </w:rPr>
            </w:pPr>
            <w:hyperlink r:id="rId11">
              <w:r w:rsidR="00172DBD">
                <w:rPr>
                  <w:color w:val="0563C1"/>
                  <w:u w:val="single"/>
                </w:rPr>
                <w:t>Průměrná hrubá měsíční mzda řidičů dle MPSV - kategorie 8331 - pro celou ČR</w:t>
              </w:r>
            </w:hyperlink>
          </w:p>
        </w:tc>
      </w:tr>
      <w:tr w:rsidR="008A28E6">
        <w:trPr>
          <w:trHeight w:val="300"/>
        </w:trPr>
        <w:tc>
          <w:tcPr>
            <w:tcW w:w="4037" w:type="dxa"/>
          </w:tcPr>
          <w:p w:rsidR="008A28E6" w:rsidRDefault="00172DBD">
            <w:pPr>
              <w:rPr>
                <w:i/>
              </w:rPr>
            </w:pPr>
            <w:r>
              <w:rPr>
                <w:i/>
              </w:rPr>
              <w:t xml:space="preserve">                  f Ostatní zaměstnanci</w:t>
            </w:r>
          </w:p>
        </w:tc>
        <w:tc>
          <w:tcPr>
            <w:tcW w:w="5249" w:type="dxa"/>
          </w:tcPr>
          <w:p w:rsidR="008A28E6" w:rsidRDefault="007B676F">
            <w:pPr>
              <w:jc w:val="both"/>
              <w:rPr>
                <w:u w:val="single"/>
              </w:rPr>
            </w:pPr>
            <w:hyperlink r:id="rId12">
              <w:r w:rsidR="00172DBD">
                <w:rPr>
                  <w:color w:val="0563C1"/>
                  <w:u w:val="single"/>
                </w:rPr>
                <w:t>Průměrná hrubá měsíční mzda podle odvětví - doprava a skladová</w:t>
              </w:r>
            </w:hyperlink>
            <w:hyperlink r:id="rId13">
              <w:r w:rsidR="00172DBD">
                <w:rPr>
                  <w:color w:val="0563C1"/>
                  <w:u w:val="single"/>
                </w:rPr>
                <w:t>ní - pro celou ČR</w:t>
              </w:r>
            </w:hyperlink>
          </w:p>
        </w:tc>
      </w:tr>
      <w:tr w:rsidR="008A28E6">
        <w:trPr>
          <w:trHeight w:val="300"/>
        </w:trPr>
        <w:tc>
          <w:tcPr>
            <w:tcW w:w="4037" w:type="dxa"/>
          </w:tcPr>
          <w:p w:rsidR="008A28E6" w:rsidRDefault="00172DBD">
            <w:pPr>
              <w:jc w:val="both"/>
            </w:pPr>
            <w:r>
              <w:t>Sociální a zdravotní pojištění</w:t>
            </w:r>
          </w:p>
        </w:tc>
        <w:tc>
          <w:tcPr>
            <w:tcW w:w="5249" w:type="dxa"/>
          </w:tcPr>
          <w:p w:rsidR="008A28E6" w:rsidRDefault="00172DBD">
            <w:pPr>
              <w:jc w:val="both"/>
            </w:pPr>
            <w:r>
              <w:t> </w:t>
            </w:r>
          </w:p>
        </w:tc>
      </w:tr>
      <w:tr w:rsidR="008A28E6">
        <w:trPr>
          <w:trHeight w:val="300"/>
        </w:trPr>
        <w:tc>
          <w:tcPr>
            <w:tcW w:w="4037" w:type="dxa"/>
          </w:tcPr>
          <w:p w:rsidR="008A28E6" w:rsidRDefault="00172DBD">
            <w:pPr>
              <w:rPr>
                <w:i/>
              </w:rPr>
            </w:pPr>
            <w:r>
              <w:rPr>
                <w:i/>
              </w:rPr>
              <w:t xml:space="preserve">                  g Řidiči Vozidel</w:t>
            </w:r>
          </w:p>
        </w:tc>
        <w:tc>
          <w:tcPr>
            <w:tcW w:w="5249" w:type="dxa"/>
          </w:tcPr>
          <w:p w:rsidR="008A28E6" w:rsidRDefault="007B676F">
            <w:pPr>
              <w:jc w:val="both"/>
              <w:rPr>
                <w:u w:val="single"/>
              </w:rPr>
            </w:pPr>
            <w:hyperlink r:id="rId14">
              <w:r w:rsidR="00172DBD">
                <w:rPr>
                  <w:color w:val="0563C1"/>
                  <w:u w:val="single"/>
                </w:rPr>
                <w:t>Průměrná měsíční mzda řidičů dle MPSV - kategorie 8331 - pro celou ČR</w:t>
              </w:r>
            </w:hyperlink>
          </w:p>
        </w:tc>
      </w:tr>
      <w:tr w:rsidR="008A28E6">
        <w:trPr>
          <w:trHeight w:val="300"/>
        </w:trPr>
        <w:tc>
          <w:tcPr>
            <w:tcW w:w="4037" w:type="dxa"/>
          </w:tcPr>
          <w:p w:rsidR="008A28E6" w:rsidRDefault="00172DBD">
            <w:pPr>
              <w:rPr>
                <w:i/>
              </w:rPr>
            </w:pPr>
            <w:r>
              <w:rPr>
                <w:i/>
              </w:rPr>
              <w:t xml:space="preserve">                  h Ostatní zaměstnanci</w:t>
            </w:r>
          </w:p>
        </w:tc>
        <w:tc>
          <w:tcPr>
            <w:tcW w:w="5249" w:type="dxa"/>
          </w:tcPr>
          <w:p w:rsidR="008A28E6" w:rsidRDefault="007B676F">
            <w:pPr>
              <w:jc w:val="both"/>
              <w:rPr>
                <w:u w:val="single"/>
              </w:rPr>
            </w:pPr>
            <w:hyperlink r:id="rId15">
              <w:r w:rsidR="00172DBD">
                <w:rPr>
                  <w:color w:val="0563C1"/>
                  <w:u w:val="single"/>
                </w:rPr>
                <w:t>Průměrná hrubá měsíční mzda podle odvětví - doprava a skladování - pro celou ČR</w:t>
              </w:r>
            </w:hyperlink>
          </w:p>
        </w:tc>
      </w:tr>
      <w:tr w:rsidR="008A28E6">
        <w:trPr>
          <w:trHeight w:val="300"/>
        </w:trPr>
        <w:tc>
          <w:tcPr>
            <w:tcW w:w="4037" w:type="dxa"/>
          </w:tcPr>
          <w:p w:rsidR="008A28E6" w:rsidRDefault="00172DBD">
            <w:pPr>
              <w:jc w:val="both"/>
            </w:pPr>
            <w:r>
              <w:t>Cestovné</w:t>
            </w:r>
          </w:p>
        </w:tc>
        <w:tc>
          <w:tcPr>
            <w:tcW w:w="5249" w:type="dxa"/>
          </w:tcPr>
          <w:p w:rsidR="008A28E6" w:rsidRDefault="007B676F">
            <w:pPr>
              <w:jc w:val="both"/>
              <w:rPr>
                <w:u w:val="single"/>
              </w:rPr>
            </w:pPr>
            <w:hyperlink r:id="rId16">
              <w:r w:rsidR="00172DBD">
                <w:rPr>
                  <w:color w:val="0563C1"/>
                  <w:u w:val="single"/>
                </w:rPr>
                <w:t>Index spotřebitelských cen</w:t>
              </w:r>
            </w:hyperlink>
          </w:p>
        </w:tc>
      </w:tr>
      <w:tr w:rsidR="008A28E6">
        <w:trPr>
          <w:trHeight w:val="300"/>
        </w:trPr>
        <w:tc>
          <w:tcPr>
            <w:tcW w:w="4037" w:type="dxa"/>
          </w:tcPr>
          <w:p w:rsidR="008A28E6" w:rsidRDefault="00172DBD">
            <w:pPr>
              <w:jc w:val="both"/>
            </w:pPr>
            <w:r>
              <w:t>Ostatní přímé náklady</w:t>
            </w:r>
          </w:p>
        </w:tc>
        <w:tc>
          <w:tcPr>
            <w:tcW w:w="5249" w:type="dxa"/>
          </w:tcPr>
          <w:p w:rsidR="008A28E6" w:rsidRDefault="00172DBD">
            <w:pPr>
              <w:jc w:val="both"/>
            </w:pPr>
            <w:r>
              <w:t>Bez indexace</w:t>
            </w:r>
          </w:p>
        </w:tc>
      </w:tr>
      <w:tr w:rsidR="008A28E6">
        <w:trPr>
          <w:trHeight w:val="300"/>
        </w:trPr>
        <w:tc>
          <w:tcPr>
            <w:tcW w:w="4037" w:type="dxa"/>
          </w:tcPr>
          <w:p w:rsidR="008A28E6" w:rsidRDefault="00172DBD">
            <w:pPr>
              <w:jc w:val="both"/>
            </w:pPr>
            <w:r>
              <w:t>Elektronické mýto a silniční daň</w:t>
            </w:r>
          </w:p>
        </w:tc>
        <w:tc>
          <w:tcPr>
            <w:tcW w:w="5249" w:type="dxa"/>
          </w:tcPr>
          <w:p w:rsidR="008A28E6" w:rsidRDefault="00172DBD">
            <w:pPr>
              <w:jc w:val="both"/>
            </w:pPr>
            <w:r>
              <w:t>Bez indexace</w:t>
            </w:r>
          </w:p>
        </w:tc>
      </w:tr>
      <w:tr w:rsidR="008A28E6">
        <w:trPr>
          <w:trHeight w:val="300"/>
        </w:trPr>
        <w:tc>
          <w:tcPr>
            <w:tcW w:w="4037" w:type="dxa"/>
          </w:tcPr>
          <w:p w:rsidR="008A28E6" w:rsidRDefault="00172DBD">
            <w:pPr>
              <w:jc w:val="both"/>
            </w:pPr>
            <w:r>
              <w:t>Úhrada za použití infrastruktury</w:t>
            </w:r>
          </w:p>
        </w:tc>
        <w:tc>
          <w:tcPr>
            <w:tcW w:w="5249" w:type="dxa"/>
          </w:tcPr>
          <w:p w:rsidR="008A28E6" w:rsidRDefault="00172DBD">
            <w:pPr>
              <w:jc w:val="both"/>
            </w:pPr>
            <w:r>
              <w:t> </w:t>
            </w:r>
          </w:p>
        </w:tc>
      </w:tr>
      <w:tr w:rsidR="008A28E6">
        <w:trPr>
          <w:trHeight w:val="300"/>
        </w:trPr>
        <w:tc>
          <w:tcPr>
            <w:tcW w:w="4037" w:type="dxa"/>
          </w:tcPr>
          <w:p w:rsidR="008A28E6" w:rsidRDefault="00172DBD">
            <w:pPr>
              <w:jc w:val="center"/>
              <w:rPr>
                <w:i/>
              </w:rPr>
            </w:pPr>
            <w:r>
              <w:rPr>
                <w:i/>
              </w:rPr>
              <w:t xml:space="preserve">              i Z toho za užití Autobusových nádraží</w:t>
            </w:r>
          </w:p>
        </w:tc>
        <w:tc>
          <w:tcPr>
            <w:tcW w:w="5249" w:type="dxa"/>
          </w:tcPr>
          <w:p w:rsidR="008A28E6" w:rsidRDefault="00172DBD">
            <w:pPr>
              <w:jc w:val="both"/>
            </w:pPr>
            <w:r>
              <w:t>Bez indexace</w:t>
            </w:r>
          </w:p>
        </w:tc>
      </w:tr>
      <w:tr w:rsidR="008A28E6">
        <w:trPr>
          <w:trHeight w:val="300"/>
        </w:trPr>
        <w:tc>
          <w:tcPr>
            <w:tcW w:w="4037" w:type="dxa"/>
          </w:tcPr>
          <w:p w:rsidR="008A28E6" w:rsidRDefault="00172DBD">
            <w:pPr>
              <w:rPr>
                <w:i/>
              </w:rPr>
            </w:pPr>
            <w:r>
              <w:rPr>
                <w:i/>
              </w:rPr>
              <w:t xml:space="preserve">                   j Ostatní</w:t>
            </w:r>
          </w:p>
        </w:tc>
        <w:tc>
          <w:tcPr>
            <w:tcW w:w="5249" w:type="dxa"/>
          </w:tcPr>
          <w:p w:rsidR="008A28E6" w:rsidRDefault="007B676F">
            <w:pPr>
              <w:jc w:val="both"/>
              <w:rPr>
                <w:u w:val="single"/>
              </w:rPr>
            </w:pPr>
            <w:hyperlink r:id="rId17">
              <w:r w:rsidR="00172DBD">
                <w:rPr>
                  <w:color w:val="0563C1"/>
                  <w:u w:val="single"/>
                </w:rPr>
                <w:t>Index spotřebitelských cen</w:t>
              </w:r>
            </w:hyperlink>
          </w:p>
        </w:tc>
      </w:tr>
      <w:tr w:rsidR="008A28E6">
        <w:trPr>
          <w:trHeight w:val="300"/>
        </w:trPr>
        <w:tc>
          <w:tcPr>
            <w:tcW w:w="4037" w:type="dxa"/>
          </w:tcPr>
          <w:p w:rsidR="008A28E6" w:rsidRDefault="00172DBD">
            <w:pPr>
              <w:jc w:val="both"/>
            </w:pPr>
            <w:r>
              <w:t>Ostatní služby</w:t>
            </w:r>
          </w:p>
        </w:tc>
        <w:tc>
          <w:tcPr>
            <w:tcW w:w="5249" w:type="dxa"/>
          </w:tcPr>
          <w:p w:rsidR="008A28E6" w:rsidRDefault="007B676F">
            <w:pPr>
              <w:jc w:val="both"/>
              <w:rPr>
                <w:u w:val="single"/>
              </w:rPr>
            </w:pPr>
            <w:hyperlink r:id="rId18">
              <w:r w:rsidR="00172DBD">
                <w:rPr>
                  <w:color w:val="0563C1"/>
                  <w:u w:val="single"/>
                </w:rPr>
                <w:t>Index spotřebitelských cen</w:t>
              </w:r>
            </w:hyperlink>
          </w:p>
        </w:tc>
      </w:tr>
      <w:tr w:rsidR="008A28E6">
        <w:trPr>
          <w:trHeight w:val="300"/>
        </w:trPr>
        <w:tc>
          <w:tcPr>
            <w:tcW w:w="4037" w:type="dxa"/>
          </w:tcPr>
          <w:p w:rsidR="008A28E6" w:rsidRDefault="00172DBD">
            <w:pPr>
              <w:jc w:val="both"/>
            </w:pPr>
            <w:r>
              <w:t>Provozní režie</w:t>
            </w:r>
          </w:p>
        </w:tc>
        <w:tc>
          <w:tcPr>
            <w:tcW w:w="5249" w:type="dxa"/>
          </w:tcPr>
          <w:p w:rsidR="008A28E6" w:rsidRDefault="007B676F">
            <w:pPr>
              <w:jc w:val="both"/>
              <w:rPr>
                <w:u w:val="single"/>
              </w:rPr>
            </w:pPr>
            <w:hyperlink r:id="rId19">
              <w:r w:rsidR="00172DBD">
                <w:rPr>
                  <w:color w:val="0563C1"/>
                  <w:u w:val="single"/>
                </w:rPr>
                <w:t>Index spotřebitelských cen</w:t>
              </w:r>
            </w:hyperlink>
          </w:p>
        </w:tc>
      </w:tr>
      <w:tr w:rsidR="008A28E6">
        <w:trPr>
          <w:trHeight w:val="300"/>
        </w:trPr>
        <w:tc>
          <w:tcPr>
            <w:tcW w:w="4037" w:type="dxa"/>
          </w:tcPr>
          <w:p w:rsidR="008A28E6" w:rsidRDefault="00172DBD">
            <w:pPr>
              <w:jc w:val="both"/>
            </w:pPr>
            <w:r>
              <w:t>Správní režie a výnosy z komerční činnosti</w:t>
            </w:r>
          </w:p>
        </w:tc>
        <w:tc>
          <w:tcPr>
            <w:tcW w:w="5249" w:type="dxa"/>
          </w:tcPr>
          <w:p w:rsidR="008A28E6" w:rsidRDefault="007B676F">
            <w:pPr>
              <w:jc w:val="both"/>
              <w:rPr>
                <w:u w:val="single"/>
              </w:rPr>
            </w:pPr>
            <w:hyperlink r:id="rId20">
              <w:r w:rsidR="00172DBD">
                <w:rPr>
                  <w:color w:val="0563C1"/>
                  <w:u w:val="single"/>
                </w:rPr>
                <w:t>Index spotřebitelských cen</w:t>
              </w:r>
            </w:hyperlink>
          </w:p>
        </w:tc>
      </w:tr>
      <w:tr w:rsidR="008A28E6">
        <w:trPr>
          <w:trHeight w:val="300"/>
        </w:trPr>
        <w:tc>
          <w:tcPr>
            <w:tcW w:w="4037" w:type="dxa"/>
          </w:tcPr>
          <w:p w:rsidR="008A28E6" w:rsidRDefault="00172DBD">
            <w:pPr>
              <w:jc w:val="both"/>
            </w:pPr>
            <w:r>
              <w:t>Zisk</w:t>
            </w:r>
          </w:p>
        </w:tc>
        <w:tc>
          <w:tcPr>
            <w:tcW w:w="5249" w:type="dxa"/>
          </w:tcPr>
          <w:p w:rsidR="008A28E6" w:rsidRDefault="00172DBD">
            <w:pPr>
              <w:jc w:val="both"/>
            </w:pPr>
            <w:r>
              <w:t>Bez indexace</w:t>
            </w:r>
          </w:p>
        </w:tc>
      </w:tr>
    </w:tbl>
    <w:p w:rsidR="00664B92" w:rsidRDefault="00664B92">
      <w:pPr>
        <w:spacing w:after="0"/>
        <w:jc w:val="both"/>
        <w:rPr>
          <w:highlight w:val="green"/>
        </w:rPr>
      </w:pPr>
    </w:p>
    <w:p w:rsidR="00664B92" w:rsidRDefault="00664B92">
      <w:pPr>
        <w:rPr>
          <w:highlight w:val="green"/>
        </w:rPr>
      </w:pPr>
      <w:r>
        <w:rPr>
          <w:highlight w:val="green"/>
        </w:rPr>
        <w:br w:type="page"/>
      </w:r>
    </w:p>
    <w:p w:rsidR="008A28E6" w:rsidRDefault="00172DBD">
      <w:pPr>
        <w:spacing w:after="0"/>
        <w:ind w:left="-141"/>
        <w:jc w:val="both"/>
        <w:rPr>
          <w:b/>
        </w:rPr>
      </w:pPr>
      <w:proofErr w:type="spellStart"/>
      <w:r>
        <w:rPr>
          <w:b/>
        </w:rPr>
        <w:lastRenderedPageBreak/>
        <w:t>Tab</w:t>
      </w:r>
      <w:proofErr w:type="spellEnd"/>
      <w:r>
        <w:rPr>
          <w:b/>
        </w:rPr>
        <w:t xml:space="preserve"> 2. Publikace indexu</w:t>
      </w:r>
    </w:p>
    <w:tbl>
      <w:tblPr>
        <w:tblStyle w:val="a0"/>
        <w:tblW w:w="9752" w:type="dxa"/>
        <w:tblInd w:w="-72" w:type="dxa"/>
        <w:tblLayout w:type="fixed"/>
        <w:tblLook w:val="0400" w:firstRow="0" w:lastRow="0" w:firstColumn="0" w:lastColumn="0" w:noHBand="0" w:noVBand="1"/>
      </w:tblPr>
      <w:tblGrid>
        <w:gridCol w:w="5215"/>
        <w:gridCol w:w="4537"/>
      </w:tblGrid>
      <w:tr w:rsidR="008A28E6">
        <w:trPr>
          <w:trHeight w:val="180"/>
        </w:trPr>
        <w:tc>
          <w:tcPr>
            <w:tcW w:w="5215" w:type="dxa"/>
            <w:tcBorders>
              <w:top w:val="single" w:sz="8" w:space="0" w:color="000000"/>
              <w:left w:val="single" w:sz="8" w:space="0" w:color="000000"/>
              <w:bottom w:val="single" w:sz="6" w:space="0" w:color="000000"/>
              <w:right w:val="nil"/>
            </w:tcBorders>
            <w:shd w:val="clear" w:color="auto" w:fill="auto"/>
            <w:vAlign w:val="bottom"/>
          </w:tcPr>
          <w:p w:rsidR="008A28E6" w:rsidRDefault="00172DBD">
            <w:pPr>
              <w:spacing w:after="0" w:line="240" w:lineRule="auto"/>
              <w:rPr>
                <w:b/>
              </w:rPr>
            </w:pPr>
            <w:r>
              <w:rPr>
                <w:b/>
              </w:rPr>
              <w:t>Index</w:t>
            </w:r>
          </w:p>
        </w:tc>
        <w:tc>
          <w:tcPr>
            <w:tcW w:w="4537" w:type="dxa"/>
            <w:tcBorders>
              <w:top w:val="single" w:sz="8" w:space="0" w:color="000000"/>
              <w:left w:val="single" w:sz="8" w:space="0" w:color="000000"/>
              <w:bottom w:val="single" w:sz="6" w:space="0" w:color="000000"/>
              <w:right w:val="single" w:sz="8" w:space="0" w:color="000000"/>
            </w:tcBorders>
            <w:shd w:val="clear" w:color="auto" w:fill="auto"/>
            <w:vAlign w:val="bottom"/>
          </w:tcPr>
          <w:p w:rsidR="008A28E6" w:rsidRDefault="00172DBD">
            <w:pPr>
              <w:spacing w:after="0" w:line="240" w:lineRule="auto"/>
              <w:rPr>
                <w:b/>
              </w:rPr>
            </w:pPr>
            <w:r>
              <w:rPr>
                <w:b/>
              </w:rPr>
              <w:t>Přesná cesta</w:t>
            </w:r>
          </w:p>
        </w:tc>
      </w:tr>
      <w:tr w:rsidR="008A28E6">
        <w:trPr>
          <w:trHeight w:val="380"/>
        </w:trPr>
        <w:tc>
          <w:tcPr>
            <w:tcW w:w="5215" w:type="dxa"/>
            <w:tcBorders>
              <w:top w:val="nil"/>
              <w:left w:val="single" w:sz="8" w:space="0" w:color="000000"/>
              <w:bottom w:val="nil"/>
              <w:right w:val="nil"/>
            </w:tcBorders>
            <w:shd w:val="clear" w:color="auto" w:fill="auto"/>
            <w:vAlign w:val="center"/>
          </w:tcPr>
          <w:p w:rsidR="008A28E6" w:rsidRDefault="007B676F">
            <w:pPr>
              <w:spacing w:after="0" w:line="240" w:lineRule="auto"/>
              <w:rPr>
                <w:color w:val="0563C1"/>
                <w:u w:val="single"/>
              </w:rPr>
            </w:pPr>
            <w:hyperlink r:id="rId21">
              <w:r w:rsidR="00172DBD">
                <w:rPr>
                  <w:color w:val="0563C1"/>
                  <w:u w:val="single"/>
                </w:rPr>
                <w:t>Průměrná cena nafty v rámci měsíčně reportovaného CPI (ČSÚ)</w:t>
              </w:r>
            </w:hyperlink>
          </w:p>
        </w:tc>
        <w:tc>
          <w:tcPr>
            <w:tcW w:w="4537" w:type="dxa"/>
            <w:tcBorders>
              <w:top w:val="nil"/>
              <w:left w:val="single" w:sz="8" w:space="0" w:color="000000"/>
              <w:bottom w:val="single" w:sz="4" w:space="0" w:color="000000"/>
              <w:right w:val="single" w:sz="8" w:space="0" w:color="000000"/>
            </w:tcBorders>
            <w:shd w:val="clear" w:color="auto" w:fill="auto"/>
            <w:vAlign w:val="center"/>
          </w:tcPr>
          <w:p w:rsidR="008A28E6" w:rsidRDefault="00172DBD">
            <w:pPr>
              <w:spacing w:after="0" w:line="240" w:lineRule="auto"/>
            </w:pPr>
            <w:r>
              <w:t xml:space="preserve">Tab. 8. Průměrné ceny pohonných hmot za jednotlivé měsíce, list </w:t>
            </w:r>
            <w:r>
              <w:rPr>
                <w:i/>
              </w:rPr>
              <w:t>PHM</w:t>
            </w:r>
            <w:r>
              <w:t xml:space="preserve">, </w:t>
            </w:r>
            <w:r>
              <w:rPr>
                <w:i/>
              </w:rPr>
              <w:t>kategorie Diesel</w:t>
            </w:r>
          </w:p>
        </w:tc>
      </w:tr>
      <w:tr w:rsidR="008A28E6">
        <w:trPr>
          <w:trHeight w:val="560"/>
        </w:trPr>
        <w:tc>
          <w:tcPr>
            <w:tcW w:w="5215" w:type="dxa"/>
            <w:tcBorders>
              <w:top w:val="single" w:sz="4" w:space="0" w:color="000000"/>
              <w:left w:val="single" w:sz="8" w:space="0" w:color="000000"/>
              <w:bottom w:val="single" w:sz="4" w:space="0" w:color="000000"/>
              <w:right w:val="nil"/>
            </w:tcBorders>
            <w:shd w:val="clear" w:color="auto" w:fill="auto"/>
            <w:vAlign w:val="center"/>
          </w:tcPr>
          <w:p w:rsidR="008A28E6" w:rsidRDefault="007B676F">
            <w:pPr>
              <w:spacing w:after="0" w:line="240" w:lineRule="auto"/>
              <w:jc w:val="both"/>
              <w:rPr>
                <w:color w:val="0563C1"/>
                <w:u w:val="single"/>
              </w:rPr>
            </w:pPr>
            <w:hyperlink r:id="rId22">
              <w:r w:rsidR="00172DBD">
                <w:rPr>
                  <w:color w:val="0563C1"/>
                  <w:u w:val="single"/>
                </w:rPr>
                <w:t>Díly a příslušenství pro motorová vozidla (kromě motocyklů) (CL293)</w:t>
              </w:r>
            </w:hyperlink>
          </w:p>
        </w:tc>
        <w:tc>
          <w:tcPr>
            <w:tcW w:w="4537" w:type="dxa"/>
            <w:tcBorders>
              <w:top w:val="nil"/>
              <w:left w:val="single" w:sz="8" w:space="0" w:color="000000"/>
              <w:bottom w:val="single" w:sz="4" w:space="0" w:color="000000"/>
              <w:right w:val="single" w:sz="8" w:space="0" w:color="000000"/>
            </w:tcBorders>
            <w:shd w:val="clear" w:color="auto" w:fill="auto"/>
            <w:vAlign w:val="center"/>
          </w:tcPr>
          <w:p w:rsidR="008A28E6" w:rsidRDefault="00172DBD">
            <w:pPr>
              <w:spacing w:after="0" w:line="240" w:lineRule="auto"/>
            </w:pPr>
            <w:r>
              <w:t xml:space="preserve">Tab. 2.1 Indexy ceny průmyslových výrobců podle CZ-CPA, list: </w:t>
            </w:r>
            <w:r>
              <w:rPr>
                <w:i/>
              </w:rPr>
              <w:t>IR15 měsíční (</w:t>
            </w:r>
            <w:proofErr w:type="spellStart"/>
            <w:r>
              <w:rPr>
                <w:i/>
              </w:rPr>
              <w:t>monthly</w:t>
            </w:r>
            <w:proofErr w:type="spellEnd"/>
            <w:proofErr w:type="gramStart"/>
            <w:r>
              <w:rPr>
                <w:i/>
              </w:rPr>
              <w:t>),  kategorie</w:t>
            </w:r>
            <w:proofErr w:type="gramEnd"/>
            <w:r>
              <w:rPr>
                <w:i/>
              </w:rPr>
              <w:t xml:space="preserve"> CL 293 Díly a příslušenství pro motorová vozidla (kromě motocyklů)</w:t>
            </w:r>
          </w:p>
        </w:tc>
      </w:tr>
      <w:tr w:rsidR="008A28E6">
        <w:trPr>
          <w:trHeight w:val="360"/>
        </w:trPr>
        <w:tc>
          <w:tcPr>
            <w:tcW w:w="5215" w:type="dxa"/>
            <w:tcBorders>
              <w:top w:val="nil"/>
              <w:left w:val="single" w:sz="8" w:space="0" w:color="000000"/>
              <w:bottom w:val="single" w:sz="4" w:space="0" w:color="000000"/>
              <w:right w:val="nil"/>
            </w:tcBorders>
            <w:shd w:val="clear" w:color="auto" w:fill="auto"/>
            <w:vAlign w:val="center"/>
          </w:tcPr>
          <w:p w:rsidR="008A28E6" w:rsidRDefault="007B676F">
            <w:pPr>
              <w:spacing w:after="0" w:line="240" w:lineRule="auto"/>
              <w:rPr>
                <w:color w:val="0563C1"/>
                <w:u w:val="single"/>
              </w:rPr>
            </w:pPr>
            <w:hyperlink r:id="rId23">
              <w:r w:rsidR="00172DBD">
                <w:rPr>
                  <w:color w:val="0563C1"/>
                  <w:u w:val="single"/>
                </w:rPr>
                <w:t>Pojištění motorových vozidel (K65122)</w:t>
              </w:r>
            </w:hyperlink>
          </w:p>
        </w:tc>
        <w:tc>
          <w:tcPr>
            <w:tcW w:w="4537" w:type="dxa"/>
            <w:tcBorders>
              <w:top w:val="nil"/>
              <w:left w:val="single" w:sz="8" w:space="0" w:color="000000"/>
              <w:bottom w:val="single" w:sz="4" w:space="0" w:color="000000"/>
              <w:right w:val="single" w:sz="8" w:space="0" w:color="000000"/>
            </w:tcBorders>
            <w:shd w:val="clear" w:color="auto" w:fill="auto"/>
            <w:vAlign w:val="center"/>
          </w:tcPr>
          <w:p w:rsidR="008A28E6" w:rsidRDefault="00172DBD">
            <w:pPr>
              <w:spacing w:after="0" w:line="240" w:lineRule="auto"/>
            </w:pPr>
            <w:r>
              <w:t xml:space="preserve">viz. </w:t>
            </w:r>
            <w:proofErr w:type="gramStart"/>
            <w:r>
              <w:t>odkaz - Kategorie</w:t>
            </w:r>
            <w:proofErr w:type="gramEnd"/>
            <w:r>
              <w:t xml:space="preserve"> </w:t>
            </w:r>
            <w:r>
              <w:rPr>
                <w:i/>
              </w:rPr>
              <w:t>K65122</w:t>
            </w:r>
            <w:r>
              <w:t>,</w:t>
            </w:r>
            <w:r>
              <w:br/>
              <w:t xml:space="preserve">odvětví </w:t>
            </w:r>
            <w:r>
              <w:rPr>
                <w:i/>
              </w:rPr>
              <w:t>Pojištění motorových vozidel</w:t>
            </w:r>
          </w:p>
        </w:tc>
      </w:tr>
      <w:tr w:rsidR="008A28E6">
        <w:trPr>
          <w:trHeight w:val="360"/>
        </w:trPr>
        <w:tc>
          <w:tcPr>
            <w:tcW w:w="5215" w:type="dxa"/>
            <w:tcBorders>
              <w:top w:val="nil"/>
              <w:left w:val="single" w:sz="8" w:space="0" w:color="000000"/>
              <w:bottom w:val="single" w:sz="4" w:space="0" w:color="000000"/>
              <w:right w:val="nil"/>
            </w:tcBorders>
            <w:shd w:val="clear" w:color="auto" w:fill="auto"/>
            <w:vAlign w:val="center"/>
          </w:tcPr>
          <w:p w:rsidR="008A28E6" w:rsidRDefault="007B676F">
            <w:pPr>
              <w:spacing w:after="0" w:line="240" w:lineRule="auto"/>
              <w:rPr>
                <w:color w:val="0563C1"/>
                <w:u w:val="single"/>
              </w:rPr>
            </w:pPr>
            <w:hyperlink r:id="rId24">
              <w:r w:rsidR="00172DBD">
                <w:rPr>
                  <w:color w:val="0563C1"/>
                  <w:u w:val="single"/>
                </w:rPr>
                <w:t>Průměrná hrubá měsíční mzda řidičů dle MPSV - kategorie 8331</w:t>
              </w:r>
            </w:hyperlink>
            <w:r w:rsidR="00172DBD">
              <w:rPr>
                <w:color w:val="0563C1"/>
                <w:u w:val="single"/>
              </w:rPr>
              <w:t xml:space="preserve"> - pro celou ČR</w:t>
            </w:r>
          </w:p>
        </w:tc>
        <w:tc>
          <w:tcPr>
            <w:tcW w:w="4537" w:type="dxa"/>
            <w:tcBorders>
              <w:top w:val="nil"/>
              <w:left w:val="single" w:sz="8" w:space="0" w:color="000000"/>
              <w:bottom w:val="single" w:sz="4" w:space="0" w:color="000000"/>
              <w:right w:val="single" w:sz="8" w:space="0" w:color="000000"/>
            </w:tcBorders>
            <w:shd w:val="clear" w:color="auto" w:fill="auto"/>
            <w:vAlign w:val="center"/>
          </w:tcPr>
          <w:p w:rsidR="008A28E6" w:rsidRDefault="00172DBD">
            <w:pPr>
              <w:spacing w:after="0" w:line="240" w:lineRule="auto"/>
            </w:pPr>
            <w:r>
              <w:t xml:space="preserve">Soubor za celý rok, list </w:t>
            </w:r>
            <w:r>
              <w:rPr>
                <w:i/>
              </w:rPr>
              <w:t>MZS-M8</w:t>
            </w:r>
            <w:r>
              <w:t xml:space="preserve">, kategorie </w:t>
            </w:r>
            <w:r>
              <w:rPr>
                <w:i/>
              </w:rPr>
              <w:t>8331 Řidiči autobusů, trolejbusů a tramvají</w:t>
            </w:r>
          </w:p>
        </w:tc>
      </w:tr>
      <w:tr w:rsidR="008A28E6">
        <w:trPr>
          <w:trHeight w:val="360"/>
        </w:trPr>
        <w:tc>
          <w:tcPr>
            <w:tcW w:w="5215" w:type="dxa"/>
            <w:tcBorders>
              <w:top w:val="nil"/>
              <w:left w:val="single" w:sz="8" w:space="0" w:color="000000"/>
              <w:bottom w:val="single" w:sz="4" w:space="0" w:color="000000"/>
              <w:right w:val="nil"/>
            </w:tcBorders>
            <w:shd w:val="clear" w:color="auto" w:fill="auto"/>
            <w:vAlign w:val="center"/>
          </w:tcPr>
          <w:p w:rsidR="008A28E6" w:rsidRDefault="007B676F">
            <w:pPr>
              <w:spacing w:after="0" w:line="240" w:lineRule="auto"/>
              <w:rPr>
                <w:color w:val="0563C1"/>
                <w:u w:val="single"/>
              </w:rPr>
            </w:pPr>
            <w:hyperlink r:id="rId25">
              <w:r w:rsidR="00172DBD">
                <w:rPr>
                  <w:color w:val="0563C1"/>
                  <w:u w:val="single"/>
                </w:rPr>
                <w:t>Průměrná hrubá měsíční mzda podle odvětví - doprava a skladování</w:t>
              </w:r>
            </w:hyperlink>
          </w:p>
        </w:tc>
        <w:tc>
          <w:tcPr>
            <w:tcW w:w="4537" w:type="dxa"/>
            <w:tcBorders>
              <w:top w:val="nil"/>
              <w:left w:val="single" w:sz="8" w:space="0" w:color="000000"/>
              <w:bottom w:val="single" w:sz="4" w:space="0" w:color="000000"/>
              <w:right w:val="single" w:sz="8" w:space="0" w:color="000000"/>
            </w:tcBorders>
            <w:shd w:val="clear" w:color="auto" w:fill="auto"/>
            <w:vAlign w:val="center"/>
          </w:tcPr>
          <w:p w:rsidR="008A28E6" w:rsidRDefault="00172DBD">
            <w:pPr>
              <w:spacing w:after="0" w:line="240" w:lineRule="auto"/>
            </w:pPr>
            <w:r>
              <w:t>Tab. 2 Průměrná hrubá mzda podle odvětví - sekce CZ-NACE, kód: 110030-18, kategorie H Doprava a skladování, sloupec “Q1-Q4” pro daný rok</w:t>
            </w:r>
          </w:p>
        </w:tc>
      </w:tr>
      <w:tr w:rsidR="008A28E6">
        <w:trPr>
          <w:trHeight w:val="380"/>
        </w:trPr>
        <w:tc>
          <w:tcPr>
            <w:tcW w:w="5215" w:type="dxa"/>
            <w:tcBorders>
              <w:top w:val="single" w:sz="4" w:space="0" w:color="000000"/>
              <w:left w:val="single" w:sz="8" w:space="0" w:color="000000"/>
              <w:bottom w:val="single" w:sz="8" w:space="0" w:color="000000"/>
              <w:right w:val="nil"/>
            </w:tcBorders>
            <w:shd w:val="clear" w:color="auto" w:fill="auto"/>
            <w:vAlign w:val="center"/>
          </w:tcPr>
          <w:p w:rsidR="008A28E6" w:rsidRDefault="007B676F">
            <w:pPr>
              <w:spacing w:after="0" w:line="240" w:lineRule="auto"/>
              <w:rPr>
                <w:color w:val="0563C1"/>
                <w:u w:val="single"/>
              </w:rPr>
            </w:pPr>
            <w:hyperlink r:id="rId26">
              <w:r w:rsidR="00172DBD">
                <w:rPr>
                  <w:color w:val="0563C1"/>
                  <w:u w:val="single"/>
                </w:rPr>
                <w:t>Index spotřebitelských cen</w:t>
              </w:r>
            </w:hyperlink>
          </w:p>
        </w:tc>
        <w:tc>
          <w:tcPr>
            <w:tcW w:w="4537" w:type="dxa"/>
            <w:tcBorders>
              <w:top w:val="single" w:sz="4" w:space="0" w:color="000000"/>
              <w:left w:val="single" w:sz="8" w:space="0" w:color="000000"/>
              <w:bottom w:val="single" w:sz="8" w:space="0" w:color="000000"/>
              <w:right w:val="single" w:sz="8" w:space="0" w:color="000000"/>
            </w:tcBorders>
            <w:shd w:val="clear" w:color="auto" w:fill="auto"/>
            <w:vAlign w:val="center"/>
          </w:tcPr>
          <w:p w:rsidR="008A28E6" w:rsidRDefault="00172DBD">
            <w:pPr>
              <w:spacing w:after="0" w:line="240" w:lineRule="auto"/>
            </w:pPr>
            <w:r>
              <w:t>Indexy spotřebitelských cen podle klasifikace ECOICOP (měsíčně), Úhrn CPI</w:t>
            </w:r>
          </w:p>
        </w:tc>
      </w:tr>
    </w:tbl>
    <w:p w:rsidR="008A28E6" w:rsidRDefault="008A28E6">
      <w:pPr>
        <w:spacing w:after="0"/>
        <w:jc w:val="both"/>
      </w:pPr>
    </w:p>
    <w:p w:rsidR="008A28E6" w:rsidRDefault="00172DBD">
      <w:pPr>
        <w:spacing w:after="0"/>
        <w:jc w:val="both"/>
        <w:rPr>
          <w:b/>
        </w:rPr>
      </w:pPr>
      <w:r>
        <w:t xml:space="preserve">V modelu se používá 6 indexů (u průměrných hrubých mezd a nafty se jedná o absolutní hodnoty v Kč), které jsou popsány v </w:t>
      </w:r>
      <w:proofErr w:type="spellStart"/>
      <w:r>
        <w:t>Tab</w:t>
      </w:r>
      <w:proofErr w:type="spellEnd"/>
      <w:r>
        <w:t xml:space="preserve"> 1. Typ indexu a jeho publikace. Způsob výpočtu hodnoty indexu použitého do modelu je pro Objednávku definován v </w:t>
      </w:r>
      <w:proofErr w:type="spellStart"/>
      <w:r>
        <w:t>Tab</w:t>
      </w:r>
      <w:proofErr w:type="spellEnd"/>
      <w:r>
        <w:t xml:space="preserve"> 3.</w:t>
      </w:r>
      <w:r>
        <w:rPr>
          <w:b/>
        </w:rPr>
        <w:t xml:space="preserve"> </w:t>
      </w:r>
      <w:r>
        <w:t xml:space="preserve">Způsob výpočtu indexu pro Objednávku a pro Realizaci v </w:t>
      </w:r>
      <w:proofErr w:type="spellStart"/>
      <w:r>
        <w:t>Tab</w:t>
      </w:r>
      <w:proofErr w:type="spellEnd"/>
      <w:r>
        <w:t xml:space="preserve"> 4.</w:t>
      </w:r>
      <w:r>
        <w:rPr>
          <w:b/>
        </w:rPr>
        <w:t xml:space="preserve"> </w:t>
      </w:r>
      <w:r>
        <w:t>Způsob výpočtu indexu pro Realizaci (Vyúčtování II).</w:t>
      </w:r>
      <w:r>
        <w:rPr>
          <w:b/>
        </w:rPr>
        <w:t xml:space="preserve"> </w:t>
      </w:r>
    </w:p>
    <w:p w:rsidR="008A28E6" w:rsidRDefault="008A28E6">
      <w:pPr>
        <w:spacing w:after="0"/>
        <w:ind w:left="-142"/>
        <w:jc w:val="both"/>
      </w:pPr>
    </w:p>
    <w:p w:rsidR="00664B92" w:rsidRDefault="00664B92">
      <w:pPr>
        <w:rPr>
          <w:b/>
        </w:rPr>
      </w:pPr>
      <w:r>
        <w:rPr>
          <w:b/>
        </w:rPr>
        <w:br w:type="page"/>
      </w:r>
    </w:p>
    <w:p w:rsidR="008A28E6" w:rsidRDefault="00172DBD">
      <w:pPr>
        <w:spacing w:after="0"/>
        <w:ind w:left="-142"/>
        <w:jc w:val="both"/>
      </w:pPr>
      <w:proofErr w:type="spellStart"/>
      <w:r>
        <w:rPr>
          <w:b/>
        </w:rPr>
        <w:lastRenderedPageBreak/>
        <w:t>Tab</w:t>
      </w:r>
      <w:proofErr w:type="spellEnd"/>
      <w:r>
        <w:rPr>
          <w:b/>
        </w:rPr>
        <w:t xml:space="preserve"> 3. Způsob výpočtu indexu pro Objednávku</w:t>
      </w:r>
    </w:p>
    <w:tbl>
      <w:tblPr>
        <w:tblStyle w:val="Mkatabulky"/>
        <w:tblW w:w="10207" w:type="dxa"/>
        <w:tblLayout w:type="fixed"/>
        <w:tblLook w:val="0400" w:firstRow="0" w:lastRow="0" w:firstColumn="0" w:lastColumn="0" w:noHBand="0" w:noVBand="1"/>
      </w:tblPr>
      <w:tblGrid>
        <w:gridCol w:w="4840"/>
        <w:gridCol w:w="5367"/>
      </w:tblGrid>
      <w:tr w:rsidR="008A28E6" w:rsidTr="00664B92">
        <w:trPr>
          <w:trHeight w:val="240"/>
        </w:trPr>
        <w:tc>
          <w:tcPr>
            <w:tcW w:w="4840" w:type="dxa"/>
          </w:tcPr>
          <w:p w:rsidR="008A28E6" w:rsidRDefault="00664B92" w:rsidP="00664B92">
            <w:pPr>
              <w:jc w:val="both"/>
              <w:rPr>
                <w:b/>
                <w:color w:val="FFFFFF"/>
              </w:rPr>
            </w:pPr>
            <w:r>
              <w:rPr>
                <w:b/>
              </w:rPr>
              <w:t>c</w:t>
            </w:r>
            <w:r w:rsidRPr="00664B92">
              <w:rPr>
                <w:b/>
              </w:rPr>
              <w:t>enotvorné položky</w:t>
            </w:r>
          </w:p>
        </w:tc>
        <w:tc>
          <w:tcPr>
            <w:tcW w:w="5367" w:type="dxa"/>
            <w:shd w:val="clear" w:color="auto" w:fill="00B0F0"/>
          </w:tcPr>
          <w:p w:rsidR="008A28E6" w:rsidRDefault="00172DBD">
            <w:pPr>
              <w:rPr>
                <w:b/>
              </w:rPr>
            </w:pPr>
            <w:r>
              <w:rPr>
                <w:b/>
              </w:rPr>
              <w:t>Výpočet indexu/typ indexu - objednávka</w:t>
            </w:r>
          </w:p>
        </w:tc>
      </w:tr>
      <w:tr w:rsidR="008A28E6" w:rsidTr="00664B92">
        <w:trPr>
          <w:trHeight w:val="260"/>
        </w:trPr>
        <w:tc>
          <w:tcPr>
            <w:tcW w:w="4840" w:type="dxa"/>
          </w:tcPr>
          <w:p w:rsidR="008A28E6" w:rsidRDefault="00172DBD">
            <w:r>
              <w:t>Pohonné hmoty, oleje</w:t>
            </w:r>
          </w:p>
        </w:tc>
        <w:tc>
          <w:tcPr>
            <w:tcW w:w="5367" w:type="dxa"/>
          </w:tcPr>
          <w:p w:rsidR="008A28E6" w:rsidRDefault="00172DBD">
            <w:r>
              <w:t> </w:t>
            </w:r>
          </w:p>
        </w:tc>
      </w:tr>
      <w:tr w:rsidR="008A28E6" w:rsidTr="00664B92">
        <w:trPr>
          <w:trHeight w:val="480"/>
        </w:trPr>
        <w:tc>
          <w:tcPr>
            <w:tcW w:w="4840" w:type="dxa"/>
          </w:tcPr>
          <w:p w:rsidR="008A28E6" w:rsidRDefault="00172DBD">
            <w:pPr>
              <w:jc w:val="center"/>
              <w:rPr>
                <w:i/>
              </w:rPr>
            </w:pPr>
            <w:r>
              <w:rPr>
                <w:i/>
              </w:rPr>
              <w:t>a Nafta</w:t>
            </w:r>
          </w:p>
        </w:tc>
        <w:tc>
          <w:tcPr>
            <w:tcW w:w="5367" w:type="dxa"/>
          </w:tcPr>
          <w:p w:rsidR="008A28E6" w:rsidRDefault="00172DBD">
            <w:r>
              <w:t>Vážené průměry po měsících (vážené na základě realizovaného výkonu za daný měsíc) říjen (rok objednávky - 1) až</w:t>
            </w:r>
            <w:r>
              <w:br/>
              <w:t>září (rok objednávky)</w:t>
            </w:r>
          </w:p>
        </w:tc>
      </w:tr>
      <w:tr w:rsidR="008A28E6" w:rsidTr="00664B92">
        <w:trPr>
          <w:trHeight w:val="460"/>
        </w:trPr>
        <w:tc>
          <w:tcPr>
            <w:tcW w:w="4840" w:type="dxa"/>
          </w:tcPr>
          <w:p w:rsidR="008A28E6" w:rsidRDefault="00172DBD">
            <w:pPr>
              <w:jc w:val="center"/>
              <w:rPr>
                <w:i/>
              </w:rPr>
            </w:pPr>
            <w:r>
              <w:rPr>
                <w:i/>
              </w:rPr>
              <w:t>b Oleje, maziva a ostatní</w:t>
            </w:r>
          </w:p>
        </w:tc>
        <w:tc>
          <w:tcPr>
            <w:tcW w:w="5367" w:type="dxa"/>
          </w:tcPr>
          <w:p w:rsidR="008A28E6" w:rsidRDefault="00172DBD">
            <w:r>
              <w:t>Aritmetický průměr z měsíců říjen (rok objednávky - 1) až</w:t>
            </w:r>
            <w:r>
              <w:br/>
              <w:t>září (rok objednávky)</w:t>
            </w:r>
          </w:p>
        </w:tc>
      </w:tr>
      <w:tr w:rsidR="008A28E6" w:rsidTr="00664B92">
        <w:trPr>
          <w:trHeight w:val="460"/>
        </w:trPr>
        <w:tc>
          <w:tcPr>
            <w:tcW w:w="4840" w:type="dxa"/>
          </w:tcPr>
          <w:p w:rsidR="008A28E6" w:rsidRDefault="00172DBD">
            <w:r>
              <w:t>Přímý materiál a energie</w:t>
            </w:r>
          </w:p>
        </w:tc>
        <w:tc>
          <w:tcPr>
            <w:tcW w:w="5367" w:type="dxa"/>
          </w:tcPr>
          <w:p w:rsidR="008A28E6" w:rsidRDefault="00172DBD">
            <w:r>
              <w:t>Aritmetický průměr z měsíců říjen (rok objednávky - 1) až</w:t>
            </w:r>
            <w:r>
              <w:br/>
              <w:t>září (rok objednávky)</w:t>
            </w:r>
          </w:p>
        </w:tc>
      </w:tr>
      <w:tr w:rsidR="008A28E6" w:rsidTr="00664B92">
        <w:trPr>
          <w:trHeight w:val="460"/>
        </w:trPr>
        <w:tc>
          <w:tcPr>
            <w:tcW w:w="4840" w:type="dxa"/>
          </w:tcPr>
          <w:p w:rsidR="008A28E6" w:rsidRDefault="00172DBD">
            <w:r>
              <w:t>Opravy a údržba vozidel</w:t>
            </w:r>
          </w:p>
        </w:tc>
        <w:tc>
          <w:tcPr>
            <w:tcW w:w="5367" w:type="dxa"/>
          </w:tcPr>
          <w:p w:rsidR="008A28E6" w:rsidRDefault="00172DBD">
            <w:r>
              <w:t>Aritmetický průměr z měsíců říjen (rok objednávky - 1) až</w:t>
            </w:r>
            <w:r>
              <w:br/>
              <w:t>září (rok objednávky)</w:t>
            </w:r>
          </w:p>
        </w:tc>
      </w:tr>
      <w:tr w:rsidR="008A28E6" w:rsidTr="00664B92">
        <w:trPr>
          <w:trHeight w:val="460"/>
        </w:trPr>
        <w:tc>
          <w:tcPr>
            <w:tcW w:w="4840" w:type="dxa"/>
          </w:tcPr>
          <w:p w:rsidR="008A28E6" w:rsidRDefault="00172DBD">
            <w:r>
              <w:t>Pojištění (zákonné, havarijní)</w:t>
            </w:r>
          </w:p>
        </w:tc>
        <w:tc>
          <w:tcPr>
            <w:tcW w:w="5367" w:type="dxa"/>
          </w:tcPr>
          <w:p w:rsidR="008A28E6" w:rsidRDefault="00172DBD">
            <w:r>
              <w:t>Aritmetický průměr z měsíců říjen (rok objednávky - 1) až</w:t>
            </w:r>
            <w:r>
              <w:br/>
              <w:t>září (rok objednávky)</w:t>
            </w:r>
          </w:p>
        </w:tc>
      </w:tr>
      <w:tr w:rsidR="008A28E6" w:rsidTr="00664B92">
        <w:trPr>
          <w:trHeight w:val="220"/>
        </w:trPr>
        <w:tc>
          <w:tcPr>
            <w:tcW w:w="4840" w:type="dxa"/>
          </w:tcPr>
          <w:p w:rsidR="008A28E6" w:rsidRDefault="00172DBD">
            <w:r>
              <w:t>Odpisy dlouhodobého majetku</w:t>
            </w:r>
          </w:p>
        </w:tc>
        <w:tc>
          <w:tcPr>
            <w:tcW w:w="5367" w:type="dxa"/>
          </w:tcPr>
          <w:p w:rsidR="008A28E6" w:rsidRDefault="00172DBD">
            <w:r>
              <w:t> </w:t>
            </w:r>
          </w:p>
        </w:tc>
      </w:tr>
      <w:tr w:rsidR="008A28E6" w:rsidTr="00664B92">
        <w:trPr>
          <w:trHeight w:val="220"/>
        </w:trPr>
        <w:tc>
          <w:tcPr>
            <w:tcW w:w="4840" w:type="dxa"/>
          </w:tcPr>
          <w:p w:rsidR="008A28E6" w:rsidRDefault="00172DBD">
            <w:pPr>
              <w:jc w:val="center"/>
              <w:rPr>
                <w:i/>
              </w:rPr>
            </w:pPr>
            <w:r>
              <w:rPr>
                <w:i/>
              </w:rPr>
              <w:t>c Vozidla</w:t>
            </w:r>
          </w:p>
        </w:tc>
        <w:tc>
          <w:tcPr>
            <w:tcW w:w="5367" w:type="dxa"/>
          </w:tcPr>
          <w:p w:rsidR="008A28E6" w:rsidRDefault="00172DBD">
            <w:r>
              <w:t>Bez indexace</w:t>
            </w:r>
          </w:p>
        </w:tc>
      </w:tr>
      <w:tr w:rsidR="008A28E6" w:rsidTr="00664B92">
        <w:trPr>
          <w:trHeight w:val="220"/>
        </w:trPr>
        <w:tc>
          <w:tcPr>
            <w:tcW w:w="4840" w:type="dxa"/>
          </w:tcPr>
          <w:p w:rsidR="008A28E6" w:rsidRDefault="00172DBD">
            <w:pPr>
              <w:jc w:val="center"/>
              <w:rPr>
                <w:i/>
              </w:rPr>
            </w:pPr>
            <w:r>
              <w:rPr>
                <w:i/>
              </w:rPr>
              <w:t>d Ostatní majetek</w:t>
            </w:r>
          </w:p>
        </w:tc>
        <w:tc>
          <w:tcPr>
            <w:tcW w:w="5367" w:type="dxa"/>
          </w:tcPr>
          <w:p w:rsidR="008A28E6" w:rsidRDefault="00172DBD">
            <w:r>
              <w:t>Bez indexace</w:t>
            </w:r>
          </w:p>
        </w:tc>
      </w:tr>
      <w:tr w:rsidR="008A28E6" w:rsidTr="00664B92">
        <w:trPr>
          <w:trHeight w:val="220"/>
        </w:trPr>
        <w:tc>
          <w:tcPr>
            <w:tcW w:w="4840" w:type="dxa"/>
          </w:tcPr>
          <w:p w:rsidR="008A28E6" w:rsidRDefault="00172DBD">
            <w:r>
              <w:t>Pronájem a leasing Vozidel</w:t>
            </w:r>
          </w:p>
        </w:tc>
        <w:tc>
          <w:tcPr>
            <w:tcW w:w="5367" w:type="dxa"/>
          </w:tcPr>
          <w:p w:rsidR="008A28E6" w:rsidRDefault="00172DBD">
            <w:r>
              <w:t>Bez indexace</w:t>
            </w:r>
          </w:p>
        </w:tc>
      </w:tr>
      <w:tr w:rsidR="008A28E6" w:rsidTr="00664B92">
        <w:trPr>
          <w:trHeight w:val="220"/>
        </w:trPr>
        <w:tc>
          <w:tcPr>
            <w:tcW w:w="4840" w:type="dxa"/>
          </w:tcPr>
          <w:p w:rsidR="008A28E6" w:rsidRDefault="00172DBD">
            <w:r>
              <w:t>Mzdové náklady</w:t>
            </w:r>
          </w:p>
        </w:tc>
        <w:tc>
          <w:tcPr>
            <w:tcW w:w="5367" w:type="dxa"/>
          </w:tcPr>
          <w:p w:rsidR="008A28E6" w:rsidRDefault="00172DBD">
            <w:r>
              <w:t> </w:t>
            </w:r>
          </w:p>
        </w:tc>
      </w:tr>
      <w:tr w:rsidR="008A28E6" w:rsidTr="00664B92">
        <w:trPr>
          <w:trHeight w:val="460"/>
        </w:trPr>
        <w:tc>
          <w:tcPr>
            <w:tcW w:w="4840" w:type="dxa"/>
          </w:tcPr>
          <w:p w:rsidR="008A28E6" w:rsidRDefault="00172DBD">
            <w:pPr>
              <w:jc w:val="center"/>
              <w:rPr>
                <w:i/>
              </w:rPr>
            </w:pPr>
            <w:r>
              <w:rPr>
                <w:i/>
              </w:rPr>
              <w:t>e Řidiči Vozidel</w:t>
            </w:r>
          </w:p>
        </w:tc>
        <w:tc>
          <w:tcPr>
            <w:tcW w:w="5367" w:type="dxa"/>
          </w:tcPr>
          <w:p w:rsidR="008A28E6" w:rsidRDefault="00172DBD">
            <w:proofErr w:type="gramStart"/>
            <w:r>
              <w:t>Průměrná  měsíční</w:t>
            </w:r>
            <w:proofErr w:type="gramEnd"/>
            <w:r>
              <w:t xml:space="preserve"> mzda za rok (rok objednávky - 1)/</w:t>
            </w:r>
            <w:r>
              <w:br/>
              <w:t>roční průměrná mzda 2018</w:t>
            </w:r>
          </w:p>
        </w:tc>
      </w:tr>
      <w:tr w:rsidR="008A28E6" w:rsidTr="00664B92">
        <w:trPr>
          <w:trHeight w:val="460"/>
        </w:trPr>
        <w:tc>
          <w:tcPr>
            <w:tcW w:w="4840" w:type="dxa"/>
          </w:tcPr>
          <w:p w:rsidR="008A28E6" w:rsidRDefault="00172DBD">
            <w:pPr>
              <w:jc w:val="center"/>
              <w:rPr>
                <w:i/>
              </w:rPr>
            </w:pPr>
            <w:r>
              <w:rPr>
                <w:i/>
              </w:rPr>
              <w:t>f Ostatní zaměstnanci</w:t>
            </w:r>
          </w:p>
        </w:tc>
        <w:tc>
          <w:tcPr>
            <w:tcW w:w="5367" w:type="dxa"/>
          </w:tcPr>
          <w:p w:rsidR="008A28E6" w:rsidRDefault="00172DBD">
            <w:r>
              <w:t>Průměrná měsíční mzda za rok (rok objednávky - 1)/</w:t>
            </w:r>
            <w:r>
              <w:br/>
              <w:t>roční průměrná mzda 2018</w:t>
            </w:r>
          </w:p>
        </w:tc>
      </w:tr>
      <w:tr w:rsidR="008A28E6" w:rsidTr="00664B92">
        <w:trPr>
          <w:trHeight w:val="220"/>
        </w:trPr>
        <w:tc>
          <w:tcPr>
            <w:tcW w:w="4840" w:type="dxa"/>
          </w:tcPr>
          <w:p w:rsidR="008A28E6" w:rsidRDefault="00172DBD">
            <w:r>
              <w:t>Sociální a zdravotní pojištění</w:t>
            </w:r>
          </w:p>
        </w:tc>
        <w:tc>
          <w:tcPr>
            <w:tcW w:w="5367" w:type="dxa"/>
          </w:tcPr>
          <w:p w:rsidR="008A28E6" w:rsidRDefault="00172DBD">
            <w:r>
              <w:t> </w:t>
            </w:r>
          </w:p>
        </w:tc>
      </w:tr>
      <w:tr w:rsidR="008A28E6" w:rsidTr="00664B92">
        <w:trPr>
          <w:trHeight w:val="460"/>
        </w:trPr>
        <w:tc>
          <w:tcPr>
            <w:tcW w:w="4840" w:type="dxa"/>
          </w:tcPr>
          <w:p w:rsidR="008A28E6" w:rsidRDefault="00172DBD">
            <w:pPr>
              <w:jc w:val="center"/>
              <w:rPr>
                <w:i/>
              </w:rPr>
            </w:pPr>
            <w:r>
              <w:rPr>
                <w:i/>
              </w:rPr>
              <w:t>g Řidiči Vozidel</w:t>
            </w:r>
          </w:p>
        </w:tc>
        <w:tc>
          <w:tcPr>
            <w:tcW w:w="5367" w:type="dxa"/>
          </w:tcPr>
          <w:p w:rsidR="008A28E6" w:rsidRDefault="00172DBD">
            <w:r>
              <w:t xml:space="preserve">Průměrná měsíční mzda za </w:t>
            </w:r>
            <w:proofErr w:type="gramStart"/>
            <w:r>
              <w:t>rok  (</w:t>
            </w:r>
            <w:proofErr w:type="gramEnd"/>
            <w:r>
              <w:t>rok objednávky - 1)/</w:t>
            </w:r>
            <w:r>
              <w:br/>
              <w:t>roční průměrná mzda 2018</w:t>
            </w:r>
          </w:p>
        </w:tc>
      </w:tr>
      <w:tr w:rsidR="008A28E6" w:rsidTr="00664B92">
        <w:trPr>
          <w:trHeight w:val="460"/>
        </w:trPr>
        <w:tc>
          <w:tcPr>
            <w:tcW w:w="4840" w:type="dxa"/>
          </w:tcPr>
          <w:p w:rsidR="008A28E6" w:rsidRDefault="00172DBD">
            <w:pPr>
              <w:jc w:val="center"/>
              <w:rPr>
                <w:i/>
              </w:rPr>
            </w:pPr>
            <w:r>
              <w:rPr>
                <w:i/>
              </w:rPr>
              <w:t>h Ostatní zaměstnanci</w:t>
            </w:r>
          </w:p>
        </w:tc>
        <w:tc>
          <w:tcPr>
            <w:tcW w:w="5367" w:type="dxa"/>
          </w:tcPr>
          <w:p w:rsidR="008A28E6" w:rsidRDefault="00172DBD">
            <w:r>
              <w:t xml:space="preserve">Průměrná měsíční mzda za </w:t>
            </w:r>
            <w:proofErr w:type="gramStart"/>
            <w:r>
              <w:t>rok  (</w:t>
            </w:r>
            <w:proofErr w:type="gramEnd"/>
            <w:r>
              <w:t>rok objednávky - 1)/</w:t>
            </w:r>
            <w:r>
              <w:br/>
              <w:t>roční průměrná mzda 2018</w:t>
            </w:r>
          </w:p>
        </w:tc>
      </w:tr>
      <w:tr w:rsidR="008A28E6" w:rsidTr="00664B92">
        <w:trPr>
          <w:trHeight w:val="460"/>
        </w:trPr>
        <w:tc>
          <w:tcPr>
            <w:tcW w:w="4840" w:type="dxa"/>
          </w:tcPr>
          <w:p w:rsidR="008A28E6" w:rsidRDefault="00172DBD">
            <w:r>
              <w:t>Cestovné</w:t>
            </w:r>
          </w:p>
        </w:tc>
        <w:tc>
          <w:tcPr>
            <w:tcW w:w="5367" w:type="dxa"/>
          </w:tcPr>
          <w:p w:rsidR="008A28E6" w:rsidRDefault="00172DBD">
            <w:r>
              <w:t>Aritmetický průměr z měsíců říjen (rok objednávky - 1) až</w:t>
            </w:r>
            <w:r>
              <w:br/>
              <w:t>září (rok objednávky)</w:t>
            </w:r>
          </w:p>
        </w:tc>
      </w:tr>
      <w:tr w:rsidR="008A28E6" w:rsidTr="00664B92">
        <w:trPr>
          <w:trHeight w:val="220"/>
        </w:trPr>
        <w:tc>
          <w:tcPr>
            <w:tcW w:w="4840" w:type="dxa"/>
          </w:tcPr>
          <w:p w:rsidR="008A28E6" w:rsidRDefault="00172DBD">
            <w:r>
              <w:t>Ostatní přímé náklady</w:t>
            </w:r>
          </w:p>
        </w:tc>
        <w:tc>
          <w:tcPr>
            <w:tcW w:w="5367" w:type="dxa"/>
          </w:tcPr>
          <w:p w:rsidR="008A28E6" w:rsidRDefault="00172DBD">
            <w:r>
              <w:t>Bez indexace</w:t>
            </w:r>
          </w:p>
        </w:tc>
      </w:tr>
      <w:tr w:rsidR="008A28E6" w:rsidTr="00664B92">
        <w:trPr>
          <w:trHeight w:val="220"/>
        </w:trPr>
        <w:tc>
          <w:tcPr>
            <w:tcW w:w="4840" w:type="dxa"/>
          </w:tcPr>
          <w:p w:rsidR="008A28E6" w:rsidRDefault="00172DBD">
            <w:r>
              <w:t>Elektronické mýto a silniční daň</w:t>
            </w:r>
          </w:p>
        </w:tc>
        <w:tc>
          <w:tcPr>
            <w:tcW w:w="5367" w:type="dxa"/>
          </w:tcPr>
          <w:p w:rsidR="008A28E6" w:rsidRDefault="00172DBD">
            <w:r>
              <w:t>Bez indexace</w:t>
            </w:r>
          </w:p>
        </w:tc>
      </w:tr>
      <w:tr w:rsidR="008A28E6" w:rsidTr="00664B92">
        <w:trPr>
          <w:trHeight w:val="220"/>
        </w:trPr>
        <w:tc>
          <w:tcPr>
            <w:tcW w:w="4840" w:type="dxa"/>
          </w:tcPr>
          <w:p w:rsidR="008A28E6" w:rsidRDefault="00172DBD">
            <w:r>
              <w:t>Úhrada za použití infrastruktury</w:t>
            </w:r>
          </w:p>
        </w:tc>
        <w:tc>
          <w:tcPr>
            <w:tcW w:w="5367" w:type="dxa"/>
          </w:tcPr>
          <w:p w:rsidR="008A28E6" w:rsidRDefault="00172DBD">
            <w:r>
              <w:t> </w:t>
            </w:r>
          </w:p>
        </w:tc>
      </w:tr>
      <w:tr w:rsidR="008A28E6" w:rsidTr="00664B92">
        <w:trPr>
          <w:trHeight w:val="220"/>
        </w:trPr>
        <w:tc>
          <w:tcPr>
            <w:tcW w:w="4840" w:type="dxa"/>
          </w:tcPr>
          <w:p w:rsidR="008A28E6" w:rsidRDefault="00172DBD">
            <w:pPr>
              <w:jc w:val="center"/>
              <w:rPr>
                <w:i/>
              </w:rPr>
            </w:pPr>
            <w:r>
              <w:rPr>
                <w:i/>
              </w:rPr>
              <w:t>i z toho za užití Autobusových nádraží</w:t>
            </w:r>
          </w:p>
        </w:tc>
        <w:tc>
          <w:tcPr>
            <w:tcW w:w="5367" w:type="dxa"/>
          </w:tcPr>
          <w:p w:rsidR="008A28E6" w:rsidRDefault="00172DBD">
            <w:pPr>
              <w:jc w:val="both"/>
            </w:pPr>
            <w:r>
              <w:t>Bez indexace</w:t>
            </w:r>
          </w:p>
        </w:tc>
      </w:tr>
      <w:tr w:rsidR="008A28E6" w:rsidTr="00664B92">
        <w:trPr>
          <w:trHeight w:val="460"/>
        </w:trPr>
        <w:tc>
          <w:tcPr>
            <w:tcW w:w="4840" w:type="dxa"/>
          </w:tcPr>
          <w:p w:rsidR="008A28E6" w:rsidRDefault="00172DBD">
            <w:pPr>
              <w:jc w:val="center"/>
              <w:rPr>
                <w:i/>
              </w:rPr>
            </w:pPr>
            <w:r>
              <w:rPr>
                <w:i/>
              </w:rPr>
              <w:t>j Ostatní</w:t>
            </w:r>
          </w:p>
        </w:tc>
        <w:tc>
          <w:tcPr>
            <w:tcW w:w="5367" w:type="dxa"/>
          </w:tcPr>
          <w:p w:rsidR="008A28E6" w:rsidRDefault="00172DBD">
            <w:r>
              <w:t>Aritmetický průměr z měsíců říjen (rok objednávky - 1) až</w:t>
            </w:r>
            <w:r>
              <w:br/>
              <w:t>září (rok objednávky)</w:t>
            </w:r>
          </w:p>
        </w:tc>
      </w:tr>
      <w:tr w:rsidR="008A28E6" w:rsidTr="00664B92">
        <w:trPr>
          <w:trHeight w:val="460"/>
        </w:trPr>
        <w:tc>
          <w:tcPr>
            <w:tcW w:w="4840" w:type="dxa"/>
          </w:tcPr>
          <w:p w:rsidR="008A28E6" w:rsidRDefault="00172DBD">
            <w:r>
              <w:t>Ostatní služby</w:t>
            </w:r>
          </w:p>
        </w:tc>
        <w:tc>
          <w:tcPr>
            <w:tcW w:w="5367" w:type="dxa"/>
          </w:tcPr>
          <w:p w:rsidR="008A28E6" w:rsidRDefault="00172DBD">
            <w:r>
              <w:t>Aritmetický průměr z měsíců říjen (rok objednávky - 1) až</w:t>
            </w:r>
            <w:r>
              <w:br/>
              <w:t>září (rok objednávky)</w:t>
            </w:r>
          </w:p>
        </w:tc>
      </w:tr>
      <w:tr w:rsidR="008A28E6" w:rsidTr="00664B92">
        <w:trPr>
          <w:trHeight w:val="460"/>
        </w:trPr>
        <w:tc>
          <w:tcPr>
            <w:tcW w:w="4840" w:type="dxa"/>
          </w:tcPr>
          <w:p w:rsidR="008A28E6" w:rsidRDefault="00172DBD">
            <w:r>
              <w:t>Provozní režie</w:t>
            </w:r>
          </w:p>
        </w:tc>
        <w:tc>
          <w:tcPr>
            <w:tcW w:w="5367" w:type="dxa"/>
          </w:tcPr>
          <w:p w:rsidR="008A28E6" w:rsidRDefault="00172DBD">
            <w:r>
              <w:t>Aritmetický průměr z měsíců říjen (rok objednávky - 1) až</w:t>
            </w:r>
            <w:r>
              <w:br/>
              <w:t>září (rok objednávky)</w:t>
            </w:r>
          </w:p>
        </w:tc>
      </w:tr>
      <w:tr w:rsidR="008A28E6" w:rsidTr="00664B92">
        <w:trPr>
          <w:trHeight w:val="460"/>
        </w:trPr>
        <w:tc>
          <w:tcPr>
            <w:tcW w:w="4840" w:type="dxa"/>
          </w:tcPr>
          <w:p w:rsidR="008A28E6" w:rsidRDefault="00172DBD">
            <w:r>
              <w:t>Správní režie a výnosy z komerční činnosti</w:t>
            </w:r>
          </w:p>
        </w:tc>
        <w:tc>
          <w:tcPr>
            <w:tcW w:w="5367" w:type="dxa"/>
          </w:tcPr>
          <w:p w:rsidR="008A28E6" w:rsidRDefault="00172DBD">
            <w:r>
              <w:t>Aritmetický průměr z měsíců říjen (rok objednávky - 1) až</w:t>
            </w:r>
            <w:r>
              <w:br/>
              <w:t>září (rok objednávky)</w:t>
            </w:r>
          </w:p>
        </w:tc>
      </w:tr>
      <w:tr w:rsidR="008A28E6" w:rsidTr="00664B92">
        <w:trPr>
          <w:trHeight w:val="240"/>
        </w:trPr>
        <w:tc>
          <w:tcPr>
            <w:tcW w:w="4840" w:type="dxa"/>
          </w:tcPr>
          <w:p w:rsidR="008A28E6" w:rsidRDefault="00172DBD">
            <w:r>
              <w:t>Zisk</w:t>
            </w:r>
          </w:p>
        </w:tc>
        <w:tc>
          <w:tcPr>
            <w:tcW w:w="5367" w:type="dxa"/>
          </w:tcPr>
          <w:p w:rsidR="008A28E6" w:rsidRDefault="00172DBD">
            <w:r>
              <w:t>Bez indexace</w:t>
            </w:r>
          </w:p>
        </w:tc>
      </w:tr>
    </w:tbl>
    <w:p w:rsidR="008A28E6" w:rsidRDefault="008A28E6">
      <w:pPr>
        <w:spacing w:after="0"/>
        <w:jc w:val="both"/>
      </w:pPr>
    </w:p>
    <w:p w:rsidR="00664B92" w:rsidRDefault="00664B92">
      <w:pPr>
        <w:rPr>
          <w:i/>
          <w:shd w:val="clear" w:color="auto" w:fill="999999"/>
        </w:rPr>
      </w:pPr>
      <w:r>
        <w:rPr>
          <w:i/>
          <w:shd w:val="clear" w:color="auto" w:fill="999999"/>
        </w:rPr>
        <w:br w:type="page"/>
      </w:r>
    </w:p>
    <w:p w:rsidR="008A28E6" w:rsidRDefault="00172DBD">
      <w:pPr>
        <w:spacing w:after="0" w:line="240" w:lineRule="auto"/>
        <w:jc w:val="both"/>
        <w:rPr>
          <w:b/>
        </w:rPr>
      </w:pPr>
      <w:proofErr w:type="spellStart"/>
      <w:r>
        <w:rPr>
          <w:b/>
        </w:rPr>
        <w:lastRenderedPageBreak/>
        <w:t>Tab</w:t>
      </w:r>
      <w:proofErr w:type="spellEnd"/>
      <w:r>
        <w:rPr>
          <w:b/>
        </w:rPr>
        <w:t xml:space="preserve"> 4. Způsob výpočtu indexu pro Realizaci (Vyúčtování II)</w:t>
      </w:r>
    </w:p>
    <w:tbl>
      <w:tblPr>
        <w:tblStyle w:val="Mkatabulky"/>
        <w:tblW w:w="10123" w:type="dxa"/>
        <w:tblLayout w:type="fixed"/>
        <w:tblLook w:val="0400" w:firstRow="0" w:lastRow="0" w:firstColumn="0" w:lastColumn="0" w:noHBand="0" w:noVBand="1"/>
      </w:tblPr>
      <w:tblGrid>
        <w:gridCol w:w="4999"/>
        <w:gridCol w:w="5124"/>
      </w:tblGrid>
      <w:tr w:rsidR="008A28E6" w:rsidTr="00664B92">
        <w:trPr>
          <w:trHeight w:val="200"/>
        </w:trPr>
        <w:tc>
          <w:tcPr>
            <w:tcW w:w="4999" w:type="dxa"/>
          </w:tcPr>
          <w:p w:rsidR="008A28E6" w:rsidRPr="00664B92" w:rsidRDefault="00172DBD">
            <w:pPr>
              <w:rPr>
                <w:b/>
              </w:rPr>
            </w:pPr>
            <w:r w:rsidRPr="00664B92">
              <w:rPr>
                <w:b/>
              </w:rPr>
              <w:t>cenotvorné položky</w:t>
            </w:r>
          </w:p>
        </w:tc>
        <w:tc>
          <w:tcPr>
            <w:tcW w:w="5124" w:type="dxa"/>
            <w:shd w:val="clear" w:color="auto" w:fill="00B050"/>
          </w:tcPr>
          <w:p w:rsidR="008A28E6" w:rsidRDefault="00172DBD">
            <w:pPr>
              <w:rPr>
                <w:b/>
              </w:rPr>
            </w:pPr>
            <w:r>
              <w:rPr>
                <w:b/>
              </w:rPr>
              <w:t>Výpočet indexu/typ indexu - realizace</w:t>
            </w:r>
          </w:p>
        </w:tc>
      </w:tr>
      <w:tr w:rsidR="008A28E6" w:rsidTr="00664B92">
        <w:trPr>
          <w:trHeight w:val="220"/>
        </w:trPr>
        <w:tc>
          <w:tcPr>
            <w:tcW w:w="4999" w:type="dxa"/>
          </w:tcPr>
          <w:p w:rsidR="008A28E6" w:rsidRDefault="00172DBD">
            <w:r>
              <w:t>Pohonné hmoty, oleje</w:t>
            </w:r>
          </w:p>
        </w:tc>
        <w:tc>
          <w:tcPr>
            <w:tcW w:w="5124" w:type="dxa"/>
          </w:tcPr>
          <w:p w:rsidR="008A28E6" w:rsidRDefault="00172DBD">
            <w:r>
              <w:t> </w:t>
            </w:r>
          </w:p>
        </w:tc>
      </w:tr>
      <w:tr w:rsidR="008A28E6" w:rsidTr="00664B92">
        <w:trPr>
          <w:trHeight w:val="420"/>
        </w:trPr>
        <w:tc>
          <w:tcPr>
            <w:tcW w:w="4999" w:type="dxa"/>
          </w:tcPr>
          <w:p w:rsidR="008A28E6" w:rsidRDefault="00172DBD">
            <w:pPr>
              <w:jc w:val="center"/>
              <w:rPr>
                <w:i/>
              </w:rPr>
            </w:pPr>
            <w:r>
              <w:rPr>
                <w:i/>
              </w:rPr>
              <w:t>a Nafta</w:t>
            </w:r>
          </w:p>
        </w:tc>
        <w:tc>
          <w:tcPr>
            <w:tcW w:w="5124" w:type="dxa"/>
          </w:tcPr>
          <w:p w:rsidR="008A28E6" w:rsidRDefault="00172DBD">
            <w:r>
              <w:t xml:space="preserve">Vážené průměry (vážené na základě realizovaného výkonu za daný měsíc) po měsících </w:t>
            </w:r>
            <w:proofErr w:type="gramStart"/>
            <w:r>
              <w:t>leden  (</w:t>
            </w:r>
            <w:proofErr w:type="gramEnd"/>
            <w:r>
              <w:t>rok realizace) až prosinec (rok realizace)</w:t>
            </w:r>
          </w:p>
        </w:tc>
      </w:tr>
      <w:tr w:rsidR="008A28E6" w:rsidTr="00664B92">
        <w:trPr>
          <w:trHeight w:val="400"/>
        </w:trPr>
        <w:tc>
          <w:tcPr>
            <w:tcW w:w="4999" w:type="dxa"/>
          </w:tcPr>
          <w:p w:rsidR="008A28E6" w:rsidRDefault="00172DBD">
            <w:pPr>
              <w:jc w:val="center"/>
              <w:rPr>
                <w:i/>
              </w:rPr>
            </w:pPr>
            <w:r>
              <w:rPr>
                <w:i/>
              </w:rPr>
              <w:t>b Oleje, maziva a ostatní</w:t>
            </w:r>
          </w:p>
        </w:tc>
        <w:tc>
          <w:tcPr>
            <w:tcW w:w="5124" w:type="dxa"/>
          </w:tcPr>
          <w:p w:rsidR="008A28E6" w:rsidRDefault="00172DBD">
            <w:r>
              <w:t>Aritmetický průměr z měsíců leden (rok realizace) až</w:t>
            </w:r>
            <w:r>
              <w:br/>
              <w:t>prosinec (rok realizace)</w:t>
            </w:r>
          </w:p>
        </w:tc>
      </w:tr>
      <w:tr w:rsidR="008A28E6" w:rsidTr="00664B92">
        <w:trPr>
          <w:trHeight w:val="400"/>
        </w:trPr>
        <w:tc>
          <w:tcPr>
            <w:tcW w:w="4999" w:type="dxa"/>
          </w:tcPr>
          <w:p w:rsidR="008A28E6" w:rsidRDefault="00172DBD">
            <w:r>
              <w:t>Přímý materiál a energie</w:t>
            </w:r>
          </w:p>
        </w:tc>
        <w:tc>
          <w:tcPr>
            <w:tcW w:w="5124" w:type="dxa"/>
          </w:tcPr>
          <w:p w:rsidR="008A28E6" w:rsidRDefault="00172DBD">
            <w:r>
              <w:t>Aritmetický průměr z měsíců leden (rok realizace) až</w:t>
            </w:r>
            <w:r>
              <w:br/>
              <w:t>prosinec (rok realizace)</w:t>
            </w:r>
          </w:p>
        </w:tc>
      </w:tr>
      <w:tr w:rsidR="008A28E6" w:rsidTr="00664B92">
        <w:trPr>
          <w:trHeight w:val="400"/>
        </w:trPr>
        <w:tc>
          <w:tcPr>
            <w:tcW w:w="4999" w:type="dxa"/>
          </w:tcPr>
          <w:p w:rsidR="008A28E6" w:rsidRDefault="00172DBD">
            <w:r>
              <w:t>Opravy a údržba vozidel</w:t>
            </w:r>
          </w:p>
        </w:tc>
        <w:tc>
          <w:tcPr>
            <w:tcW w:w="5124" w:type="dxa"/>
          </w:tcPr>
          <w:p w:rsidR="008A28E6" w:rsidRDefault="00172DBD">
            <w:r>
              <w:t>Aritmetický průměr z měsíců leden (rok realizace) až</w:t>
            </w:r>
            <w:r>
              <w:br/>
              <w:t>prosinec (rok realizace)</w:t>
            </w:r>
          </w:p>
        </w:tc>
      </w:tr>
      <w:tr w:rsidR="008A28E6" w:rsidTr="00664B92">
        <w:trPr>
          <w:trHeight w:val="400"/>
        </w:trPr>
        <w:tc>
          <w:tcPr>
            <w:tcW w:w="4999" w:type="dxa"/>
          </w:tcPr>
          <w:p w:rsidR="008A28E6" w:rsidRDefault="00172DBD">
            <w:r>
              <w:t>Pojištění (zákonné, havarijní)</w:t>
            </w:r>
          </w:p>
        </w:tc>
        <w:tc>
          <w:tcPr>
            <w:tcW w:w="5124" w:type="dxa"/>
          </w:tcPr>
          <w:p w:rsidR="008A28E6" w:rsidRDefault="00172DBD">
            <w:r>
              <w:t>Aritmetický průměr z měsíců leden (rok realizace) až</w:t>
            </w:r>
            <w:r>
              <w:br/>
              <w:t>prosinec (rok realizace)</w:t>
            </w:r>
          </w:p>
        </w:tc>
      </w:tr>
      <w:tr w:rsidR="008A28E6" w:rsidTr="00664B92">
        <w:trPr>
          <w:trHeight w:val="200"/>
        </w:trPr>
        <w:tc>
          <w:tcPr>
            <w:tcW w:w="4999" w:type="dxa"/>
          </w:tcPr>
          <w:p w:rsidR="008A28E6" w:rsidRDefault="00172DBD">
            <w:r>
              <w:t>Odpisy dlouhodobého majetku</w:t>
            </w:r>
          </w:p>
        </w:tc>
        <w:tc>
          <w:tcPr>
            <w:tcW w:w="5124" w:type="dxa"/>
          </w:tcPr>
          <w:p w:rsidR="008A28E6" w:rsidRDefault="00172DBD">
            <w:r>
              <w:t> </w:t>
            </w:r>
          </w:p>
        </w:tc>
      </w:tr>
      <w:tr w:rsidR="008A28E6" w:rsidTr="00664B92">
        <w:trPr>
          <w:trHeight w:val="200"/>
        </w:trPr>
        <w:tc>
          <w:tcPr>
            <w:tcW w:w="4999" w:type="dxa"/>
          </w:tcPr>
          <w:p w:rsidR="008A28E6" w:rsidRDefault="00172DBD">
            <w:pPr>
              <w:jc w:val="center"/>
              <w:rPr>
                <w:i/>
              </w:rPr>
            </w:pPr>
            <w:r>
              <w:rPr>
                <w:i/>
              </w:rPr>
              <w:t>c Vozidla</w:t>
            </w:r>
          </w:p>
        </w:tc>
        <w:tc>
          <w:tcPr>
            <w:tcW w:w="5124" w:type="dxa"/>
          </w:tcPr>
          <w:p w:rsidR="008A28E6" w:rsidRDefault="00172DBD">
            <w:r>
              <w:t>Bez indexace</w:t>
            </w:r>
          </w:p>
        </w:tc>
      </w:tr>
      <w:tr w:rsidR="008A28E6" w:rsidTr="00664B92">
        <w:trPr>
          <w:trHeight w:val="200"/>
        </w:trPr>
        <w:tc>
          <w:tcPr>
            <w:tcW w:w="4999" w:type="dxa"/>
          </w:tcPr>
          <w:p w:rsidR="008A28E6" w:rsidRDefault="00172DBD">
            <w:pPr>
              <w:jc w:val="center"/>
              <w:rPr>
                <w:i/>
              </w:rPr>
            </w:pPr>
            <w:r>
              <w:rPr>
                <w:i/>
              </w:rPr>
              <w:t>d Ostatní majetek</w:t>
            </w:r>
          </w:p>
        </w:tc>
        <w:tc>
          <w:tcPr>
            <w:tcW w:w="5124" w:type="dxa"/>
          </w:tcPr>
          <w:p w:rsidR="008A28E6" w:rsidRDefault="00172DBD">
            <w:r>
              <w:t>Bez indexace</w:t>
            </w:r>
          </w:p>
        </w:tc>
      </w:tr>
      <w:tr w:rsidR="008A28E6" w:rsidTr="00664B92">
        <w:trPr>
          <w:trHeight w:val="200"/>
        </w:trPr>
        <w:tc>
          <w:tcPr>
            <w:tcW w:w="4999" w:type="dxa"/>
          </w:tcPr>
          <w:p w:rsidR="008A28E6" w:rsidRDefault="00172DBD">
            <w:r>
              <w:t>Pronájem a leasing Vozidel</w:t>
            </w:r>
          </w:p>
        </w:tc>
        <w:tc>
          <w:tcPr>
            <w:tcW w:w="5124" w:type="dxa"/>
          </w:tcPr>
          <w:p w:rsidR="008A28E6" w:rsidRDefault="00172DBD">
            <w:r>
              <w:t>Bez indexace</w:t>
            </w:r>
          </w:p>
        </w:tc>
      </w:tr>
      <w:tr w:rsidR="008A28E6" w:rsidTr="00664B92">
        <w:trPr>
          <w:trHeight w:val="200"/>
        </w:trPr>
        <w:tc>
          <w:tcPr>
            <w:tcW w:w="4999" w:type="dxa"/>
          </w:tcPr>
          <w:p w:rsidR="008A28E6" w:rsidRDefault="00172DBD">
            <w:r>
              <w:t>Mzdové náklady</w:t>
            </w:r>
          </w:p>
        </w:tc>
        <w:tc>
          <w:tcPr>
            <w:tcW w:w="5124" w:type="dxa"/>
          </w:tcPr>
          <w:p w:rsidR="008A28E6" w:rsidRDefault="00172DBD">
            <w:r>
              <w:t> </w:t>
            </w:r>
          </w:p>
        </w:tc>
      </w:tr>
      <w:tr w:rsidR="008A28E6" w:rsidTr="00664B92">
        <w:trPr>
          <w:trHeight w:val="400"/>
        </w:trPr>
        <w:tc>
          <w:tcPr>
            <w:tcW w:w="4999" w:type="dxa"/>
          </w:tcPr>
          <w:p w:rsidR="008A28E6" w:rsidRDefault="00172DBD">
            <w:pPr>
              <w:jc w:val="center"/>
              <w:rPr>
                <w:i/>
              </w:rPr>
            </w:pPr>
            <w:r>
              <w:rPr>
                <w:i/>
              </w:rPr>
              <w:t>e Řidiči Vozidel</w:t>
            </w:r>
          </w:p>
        </w:tc>
        <w:tc>
          <w:tcPr>
            <w:tcW w:w="5124" w:type="dxa"/>
          </w:tcPr>
          <w:p w:rsidR="008A28E6" w:rsidRDefault="00172DBD">
            <w:r>
              <w:t>Průměrná měsíční mzda za rok (rok realizace)/</w:t>
            </w:r>
            <w:r>
              <w:br/>
              <w:t>roční průměrná mzda 2018</w:t>
            </w:r>
          </w:p>
        </w:tc>
      </w:tr>
      <w:tr w:rsidR="008A28E6" w:rsidTr="00664B92">
        <w:trPr>
          <w:trHeight w:val="400"/>
        </w:trPr>
        <w:tc>
          <w:tcPr>
            <w:tcW w:w="4999" w:type="dxa"/>
          </w:tcPr>
          <w:p w:rsidR="008A28E6" w:rsidRDefault="00172DBD">
            <w:pPr>
              <w:jc w:val="center"/>
              <w:rPr>
                <w:i/>
              </w:rPr>
            </w:pPr>
            <w:r>
              <w:rPr>
                <w:i/>
              </w:rPr>
              <w:t>f Ostatní zaměstnanci</w:t>
            </w:r>
          </w:p>
        </w:tc>
        <w:tc>
          <w:tcPr>
            <w:tcW w:w="5124" w:type="dxa"/>
          </w:tcPr>
          <w:p w:rsidR="008A28E6" w:rsidRDefault="00172DBD">
            <w:r>
              <w:t>Průměrná měsíční mzda za rok (rok realizace)/</w:t>
            </w:r>
            <w:r>
              <w:br/>
              <w:t>roční průměrná mzda 2018</w:t>
            </w:r>
          </w:p>
        </w:tc>
      </w:tr>
      <w:tr w:rsidR="008A28E6" w:rsidTr="00664B92">
        <w:trPr>
          <w:trHeight w:val="200"/>
        </w:trPr>
        <w:tc>
          <w:tcPr>
            <w:tcW w:w="4999" w:type="dxa"/>
          </w:tcPr>
          <w:p w:rsidR="008A28E6" w:rsidRDefault="00172DBD">
            <w:r>
              <w:t>Sociální a zdravotní pojištění</w:t>
            </w:r>
          </w:p>
        </w:tc>
        <w:tc>
          <w:tcPr>
            <w:tcW w:w="5124" w:type="dxa"/>
          </w:tcPr>
          <w:p w:rsidR="008A28E6" w:rsidRDefault="00172DBD">
            <w:r>
              <w:t> </w:t>
            </w:r>
          </w:p>
        </w:tc>
      </w:tr>
      <w:tr w:rsidR="008A28E6" w:rsidTr="00664B92">
        <w:trPr>
          <w:trHeight w:val="400"/>
        </w:trPr>
        <w:tc>
          <w:tcPr>
            <w:tcW w:w="4999" w:type="dxa"/>
          </w:tcPr>
          <w:p w:rsidR="008A28E6" w:rsidRDefault="00172DBD">
            <w:pPr>
              <w:jc w:val="center"/>
              <w:rPr>
                <w:i/>
              </w:rPr>
            </w:pPr>
            <w:r>
              <w:rPr>
                <w:i/>
              </w:rPr>
              <w:t>g Řidiči Vozidel</w:t>
            </w:r>
          </w:p>
        </w:tc>
        <w:tc>
          <w:tcPr>
            <w:tcW w:w="5124" w:type="dxa"/>
          </w:tcPr>
          <w:p w:rsidR="008A28E6" w:rsidRDefault="00172DBD">
            <w:r>
              <w:t>Průměrná měsíční mzda za rok (rok realizace)/</w:t>
            </w:r>
            <w:r>
              <w:br/>
              <w:t>roční průměrná mzda 2018</w:t>
            </w:r>
          </w:p>
        </w:tc>
      </w:tr>
      <w:tr w:rsidR="008A28E6" w:rsidTr="00664B92">
        <w:trPr>
          <w:trHeight w:val="400"/>
        </w:trPr>
        <w:tc>
          <w:tcPr>
            <w:tcW w:w="4999" w:type="dxa"/>
          </w:tcPr>
          <w:p w:rsidR="008A28E6" w:rsidRDefault="00172DBD">
            <w:pPr>
              <w:jc w:val="center"/>
              <w:rPr>
                <w:i/>
              </w:rPr>
            </w:pPr>
            <w:r>
              <w:rPr>
                <w:i/>
              </w:rPr>
              <w:t>h Ostatní zaměstnanci</w:t>
            </w:r>
          </w:p>
        </w:tc>
        <w:tc>
          <w:tcPr>
            <w:tcW w:w="5124" w:type="dxa"/>
          </w:tcPr>
          <w:p w:rsidR="008A28E6" w:rsidRDefault="00172DBD">
            <w:r>
              <w:t>Průměrná měsíční mzda za rok (rok realizace)/</w:t>
            </w:r>
            <w:r>
              <w:br/>
              <w:t>roční průměrná mzda 2018</w:t>
            </w:r>
          </w:p>
        </w:tc>
      </w:tr>
      <w:tr w:rsidR="008A28E6" w:rsidTr="00664B92">
        <w:trPr>
          <w:trHeight w:val="400"/>
        </w:trPr>
        <w:tc>
          <w:tcPr>
            <w:tcW w:w="4999" w:type="dxa"/>
          </w:tcPr>
          <w:p w:rsidR="008A28E6" w:rsidRDefault="00172DBD">
            <w:r>
              <w:t>Cestovné</w:t>
            </w:r>
          </w:p>
        </w:tc>
        <w:tc>
          <w:tcPr>
            <w:tcW w:w="5124" w:type="dxa"/>
          </w:tcPr>
          <w:p w:rsidR="008A28E6" w:rsidRDefault="00172DBD">
            <w:r>
              <w:t>Aritmetický průměr z měsíců leden (rok realizace) až</w:t>
            </w:r>
            <w:r>
              <w:br/>
              <w:t>prosinec (rok realizace)</w:t>
            </w:r>
          </w:p>
        </w:tc>
      </w:tr>
      <w:tr w:rsidR="008A28E6" w:rsidTr="00664B92">
        <w:trPr>
          <w:trHeight w:val="200"/>
        </w:trPr>
        <w:tc>
          <w:tcPr>
            <w:tcW w:w="4999" w:type="dxa"/>
          </w:tcPr>
          <w:p w:rsidR="008A28E6" w:rsidRDefault="00172DBD">
            <w:r>
              <w:t>Ostatní přímé náklady</w:t>
            </w:r>
          </w:p>
        </w:tc>
        <w:tc>
          <w:tcPr>
            <w:tcW w:w="5124" w:type="dxa"/>
          </w:tcPr>
          <w:p w:rsidR="008A28E6" w:rsidRDefault="00172DBD">
            <w:r>
              <w:t>Bez indexace</w:t>
            </w:r>
          </w:p>
        </w:tc>
      </w:tr>
      <w:tr w:rsidR="008A28E6" w:rsidTr="00664B92">
        <w:trPr>
          <w:trHeight w:val="200"/>
        </w:trPr>
        <w:tc>
          <w:tcPr>
            <w:tcW w:w="4999" w:type="dxa"/>
          </w:tcPr>
          <w:p w:rsidR="008A28E6" w:rsidRDefault="00172DBD">
            <w:r>
              <w:t>Elektronické mýto a silniční daň</w:t>
            </w:r>
          </w:p>
        </w:tc>
        <w:tc>
          <w:tcPr>
            <w:tcW w:w="5124" w:type="dxa"/>
          </w:tcPr>
          <w:p w:rsidR="008A28E6" w:rsidRDefault="00172DBD">
            <w:r>
              <w:t>Bez indexace</w:t>
            </w:r>
          </w:p>
        </w:tc>
      </w:tr>
      <w:tr w:rsidR="008A28E6" w:rsidTr="00664B92">
        <w:trPr>
          <w:trHeight w:val="200"/>
        </w:trPr>
        <w:tc>
          <w:tcPr>
            <w:tcW w:w="4999" w:type="dxa"/>
          </w:tcPr>
          <w:p w:rsidR="008A28E6" w:rsidRDefault="00172DBD">
            <w:r>
              <w:t>Úhrada za použití infrastruktury</w:t>
            </w:r>
          </w:p>
        </w:tc>
        <w:tc>
          <w:tcPr>
            <w:tcW w:w="5124" w:type="dxa"/>
          </w:tcPr>
          <w:p w:rsidR="008A28E6" w:rsidRDefault="00172DBD">
            <w:r>
              <w:t> </w:t>
            </w:r>
          </w:p>
        </w:tc>
      </w:tr>
      <w:tr w:rsidR="008A28E6" w:rsidTr="00664B92">
        <w:trPr>
          <w:trHeight w:val="200"/>
        </w:trPr>
        <w:tc>
          <w:tcPr>
            <w:tcW w:w="4999" w:type="dxa"/>
          </w:tcPr>
          <w:p w:rsidR="008A28E6" w:rsidRDefault="00172DBD">
            <w:pPr>
              <w:jc w:val="center"/>
              <w:rPr>
                <w:i/>
              </w:rPr>
            </w:pPr>
            <w:r>
              <w:rPr>
                <w:i/>
              </w:rPr>
              <w:t>i z toho za užití Autobusových nádraží</w:t>
            </w:r>
          </w:p>
        </w:tc>
        <w:tc>
          <w:tcPr>
            <w:tcW w:w="5124" w:type="dxa"/>
          </w:tcPr>
          <w:p w:rsidR="008A28E6" w:rsidRDefault="00172DBD">
            <w:pPr>
              <w:jc w:val="both"/>
            </w:pPr>
            <w:r>
              <w:t>Bez indexace</w:t>
            </w:r>
          </w:p>
        </w:tc>
      </w:tr>
      <w:tr w:rsidR="008A28E6" w:rsidTr="00664B92">
        <w:trPr>
          <w:trHeight w:val="400"/>
        </w:trPr>
        <w:tc>
          <w:tcPr>
            <w:tcW w:w="4999" w:type="dxa"/>
          </w:tcPr>
          <w:p w:rsidR="008A28E6" w:rsidRDefault="00172DBD">
            <w:pPr>
              <w:jc w:val="center"/>
              <w:rPr>
                <w:i/>
              </w:rPr>
            </w:pPr>
            <w:r>
              <w:rPr>
                <w:i/>
              </w:rPr>
              <w:t>j Ostatní</w:t>
            </w:r>
          </w:p>
        </w:tc>
        <w:tc>
          <w:tcPr>
            <w:tcW w:w="5124" w:type="dxa"/>
          </w:tcPr>
          <w:p w:rsidR="008A28E6" w:rsidRDefault="00172DBD">
            <w:r>
              <w:t>Aritmetický průměr z měsíců leden (rok realizace) až</w:t>
            </w:r>
            <w:r>
              <w:br/>
              <w:t>prosinec (rok realizace)</w:t>
            </w:r>
          </w:p>
        </w:tc>
      </w:tr>
      <w:tr w:rsidR="008A28E6" w:rsidTr="00664B92">
        <w:trPr>
          <w:trHeight w:val="400"/>
        </w:trPr>
        <w:tc>
          <w:tcPr>
            <w:tcW w:w="4999" w:type="dxa"/>
          </w:tcPr>
          <w:p w:rsidR="008A28E6" w:rsidRDefault="00172DBD">
            <w:r>
              <w:t>Ostatní služby</w:t>
            </w:r>
          </w:p>
        </w:tc>
        <w:tc>
          <w:tcPr>
            <w:tcW w:w="5124" w:type="dxa"/>
          </w:tcPr>
          <w:p w:rsidR="008A28E6" w:rsidRDefault="00172DBD">
            <w:r>
              <w:t>Aritmetický průměr z měsíců leden (rok realizace) až</w:t>
            </w:r>
            <w:r>
              <w:br/>
              <w:t>prosinec (rok realizace)</w:t>
            </w:r>
          </w:p>
        </w:tc>
      </w:tr>
      <w:tr w:rsidR="008A28E6" w:rsidTr="00664B92">
        <w:trPr>
          <w:trHeight w:val="400"/>
        </w:trPr>
        <w:tc>
          <w:tcPr>
            <w:tcW w:w="4999" w:type="dxa"/>
          </w:tcPr>
          <w:p w:rsidR="008A28E6" w:rsidRDefault="00172DBD">
            <w:r>
              <w:t>Provozní režie</w:t>
            </w:r>
          </w:p>
        </w:tc>
        <w:tc>
          <w:tcPr>
            <w:tcW w:w="5124" w:type="dxa"/>
          </w:tcPr>
          <w:p w:rsidR="008A28E6" w:rsidRDefault="00172DBD">
            <w:r>
              <w:t>Aritmetický průměr z měsíců leden (rok realizace) až</w:t>
            </w:r>
            <w:r>
              <w:br/>
              <w:t>prosinec (rok realizace)</w:t>
            </w:r>
          </w:p>
        </w:tc>
      </w:tr>
      <w:tr w:rsidR="008A28E6" w:rsidTr="00664B92">
        <w:trPr>
          <w:trHeight w:val="400"/>
        </w:trPr>
        <w:tc>
          <w:tcPr>
            <w:tcW w:w="4999" w:type="dxa"/>
          </w:tcPr>
          <w:p w:rsidR="008A28E6" w:rsidRDefault="00172DBD">
            <w:r>
              <w:t>Správní režie a výnosy z komerční činnosti</w:t>
            </w:r>
          </w:p>
        </w:tc>
        <w:tc>
          <w:tcPr>
            <w:tcW w:w="5124" w:type="dxa"/>
          </w:tcPr>
          <w:p w:rsidR="008A28E6" w:rsidRDefault="00172DBD">
            <w:r>
              <w:t>Aritmetický průměr z měsíců leden (rok realizace) až</w:t>
            </w:r>
            <w:r>
              <w:br/>
              <w:t>prosinec (rok realizace)</w:t>
            </w:r>
          </w:p>
        </w:tc>
      </w:tr>
      <w:tr w:rsidR="008A28E6" w:rsidTr="00664B92">
        <w:trPr>
          <w:trHeight w:val="200"/>
        </w:trPr>
        <w:tc>
          <w:tcPr>
            <w:tcW w:w="4999" w:type="dxa"/>
          </w:tcPr>
          <w:p w:rsidR="008A28E6" w:rsidRDefault="00172DBD">
            <w:r>
              <w:t>Zisk</w:t>
            </w:r>
          </w:p>
        </w:tc>
        <w:tc>
          <w:tcPr>
            <w:tcW w:w="5124" w:type="dxa"/>
          </w:tcPr>
          <w:p w:rsidR="008A28E6" w:rsidRDefault="00172DBD">
            <w:r>
              <w:t>Bez indexace</w:t>
            </w:r>
          </w:p>
        </w:tc>
      </w:tr>
    </w:tbl>
    <w:p w:rsidR="008A28E6" w:rsidRDefault="008A28E6">
      <w:pPr>
        <w:spacing w:after="0"/>
        <w:jc w:val="both"/>
        <w:rPr>
          <w:shd w:val="clear" w:color="auto" w:fill="999999"/>
        </w:rPr>
      </w:pPr>
    </w:p>
    <w:p w:rsidR="008A28E6" w:rsidRDefault="00172DBD">
      <w:pPr>
        <w:spacing w:after="0" w:line="240" w:lineRule="auto"/>
        <w:jc w:val="both"/>
      </w:pPr>
      <w:r>
        <w:t xml:space="preserve">Od řádku 28 níže jsou tabulky jednotlivých indexů, které slouží jako zobrazení doposud zveřejněných hodnot jednotlivých indexů (vč. výše průměrných mezd a nafty) z výše uvedených statistických zdrojů. Tab. 1a. a Tab. 2a. slouží k zobrazení počtu kilometrů v daném měsíci. V Objednávce (Tab. 1a.) se jedná o hodnotu vypočítanou podle jízdních řádů na objednávaný Dopravní rok (prosinec bude součtem odhadovaných výkonů za druhou polovinu měsíce prosince v počátečním měsíci Dopravního roku a </w:t>
      </w:r>
      <w:r>
        <w:lastRenderedPageBreak/>
        <w:t>první polovinu prosince v konečném měsíci Dopravního roku). Vážený průměr bude počítán z měsíčních cen nafty za leden až září roku tvorby Objednávky a za říjen až prosinec předchozího roku Objednávky a odhadovaných výkonů jednotlivých měsíců objednávaného Dopravního roku. Smyslem váženého průměru je co nejlepší odhad změn výkonu a ceny nafty v rámci jednotlivých období (měsíců). Proto používáme nejaktuálnější možné hodnoty ceny nafty k objednaným měsíčním výkonům.</w:t>
      </w:r>
      <w:r>
        <w:rPr>
          <w:vertAlign w:val="superscript"/>
        </w:rPr>
        <w:footnoteReference w:id="1"/>
      </w:r>
      <w:r>
        <w:t xml:space="preserve"> Ve Vyúčtování II (Tab. 2a.) se jedná o skutečně realizovaný výkon v daném měsíci zapsaný Objednatelem. Uvedený rozsah výkonů slouží jako váha k výpočtu nárůstu/poklesu cenotvorné položky Pohonné hmoty, oleje (řádek a. nafta). </w:t>
      </w:r>
    </w:p>
    <w:p w:rsidR="008A28E6" w:rsidRDefault="00172DBD">
      <w:pPr>
        <w:spacing w:after="0" w:line="240" w:lineRule="auto"/>
        <w:jc w:val="both"/>
      </w:pPr>
      <w:r>
        <w:t>V případě zrušení nebo významné změny definice cenového indexu</w:t>
      </w:r>
      <w:r>
        <w:rPr>
          <w:vertAlign w:val="superscript"/>
        </w:rPr>
        <w:footnoteReference w:id="2"/>
      </w:r>
      <w:r>
        <w:t xml:space="preserve"> užitého k indexaci cenotvorných položek bude použit následující postup. Smluvní strany se dohodnou na výběru nového indexu pro indexování cenotvorných položek. Pokud nedojde ke shodě při výběru nového indexu, pak bude původní index nahrazen nejbližším </w:t>
      </w:r>
      <w:r>
        <w:rPr>
          <w:b/>
          <w:u w:val="single"/>
        </w:rPr>
        <w:t>nadřazeným</w:t>
      </w:r>
      <w:r>
        <w:t xml:space="preserve"> agregovaným indexem, kterého při zrušení byl nebo při změně definice bude součástí. Nový index již nebude použit k indexaci cenotvorných položek v cenové hladině roku 2018, ale v cenové hladině předchozího roku, vypočítané pomocí zrušeného indexu. Za tímto účelem nebudou použity hodnoty nového indexu s fixním bazickým obdobím, ale hodnoty nového indexu se základem ve stejném období předchozího roku.</w:t>
      </w:r>
    </w:p>
    <w:p w:rsidR="008A28E6" w:rsidRDefault="00172DBD">
      <w:pPr>
        <w:spacing w:after="0" w:line="240" w:lineRule="auto"/>
        <w:jc w:val="both"/>
      </w:pPr>
      <w:r>
        <w:t xml:space="preserve"> </w:t>
      </w:r>
    </w:p>
    <w:p w:rsidR="008A28E6" w:rsidRDefault="00172DBD">
      <w:pPr>
        <w:spacing w:after="0" w:line="240" w:lineRule="auto"/>
        <w:jc w:val="both"/>
      </w:pPr>
      <w:r>
        <w:t xml:space="preserve">V případě zrušení nebo změny mzdového agregátu vyjadřujícího průměrnou hrubou mzdu bude daný mzdový agregát změněn na základě dohody mezi smluvními stranami. Pokud nedojde k dohodě, bude původní mzdový agregát nahrazen nejbližším </w:t>
      </w:r>
      <w:r>
        <w:rPr>
          <w:b/>
          <w:u w:val="single"/>
        </w:rPr>
        <w:t>nadřazeným</w:t>
      </w:r>
      <w:r>
        <w:t xml:space="preserve"> mzdovým agregátem </w:t>
      </w:r>
      <w:r>
        <w:rPr>
          <w:b/>
        </w:rPr>
        <w:t>(</w:t>
      </w:r>
      <w:r>
        <w:rPr>
          <w:b/>
          <w:u w:val="single"/>
        </w:rPr>
        <w:t>podle kategorií ISCO), který bude v době změny publikován</w:t>
      </w:r>
      <w:r>
        <w:t>. Výpočet indexů pro indexaci cenotvorných položek bude proveden tak, aby indexy vyjadřovaly meziroční změny průměrné hrubé mzdy.</w:t>
      </w:r>
    </w:p>
    <w:p w:rsidR="008A28E6" w:rsidRDefault="008A28E6">
      <w:pPr>
        <w:spacing w:after="0" w:line="240" w:lineRule="auto"/>
        <w:jc w:val="both"/>
      </w:pPr>
    </w:p>
    <w:p w:rsidR="008A28E6" w:rsidRDefault="00172DBD">
      <w:pPr>
        <w:spacing w:before="200" w:after="0" w:line="240" w:lineRule="auto"/>
        <w:jc w:val="both"/>
        <w:rPr>
          <w:b/>
          <w:i/>
        </w:rPr>
      </w:pPr>
      <w:r>
        <w:rPr>
          <w:b/>
          <w:i/>
        </w:rPr>
        <w:t>List Změny</w:t>
      </w:r>
    </w:p>
    <w:p w:rsidR="008A28E6" w:rsidRDefault="00172DBD">
      <w:pPr>
        <w:spacing w:after="0" w:line="240" w:lineRule="auto"/>
        <w:jc w:val="both"/>
      </w:pPr>
      <w:r>
        <w:t>Hnědě podbarvené řádky doplňuje Objednatel/Organizátor. Změny se týkají počtů, případně ceny vjezdů na AN a případné změny počtu Základních vozidel/Aktualizovaného počtu Základních vozidel (řádek odpisy).</w:t>
      </w:r>
    </w:p>
    <w:p w:rsidR="008A28E6" w:rsidRDefault="00172DBD">
      <w:pPr>
        <w:spacing w:after="0" w:line="240" w:lineRule="auto"/>
        <w:jc w:val="both"/>
      </w:pPr>
      <w:r>
        <w:t xml:space="preserve">V případě navýšení Základního počtu vozidel/Aktualizovaného počtu Základních a Zálohových vozidel budou vyplněny buňky v řádce Odpisy dlouhodobého majetku – vozidla o hodnotu odpisu nových vozidel, popř. bude doplněn řádek Pronájem a leasing Vozidel. V případě zavedení mýta by byla vyplněna cena v řádku Elektronické mýto. </w:t>
      </w:r>
    </w:p>
    <w:p w:rsidR="008A28E6" w:rsidRDefault="00172DBD">
      <w:pPr>
        <w:spacing w:after="0" w:line="240" w:lineRule="auto"/>
        <w:jc w:val="both"/>
      </w:pPr>
      <w:r>
        <w:t>V případě mimořádné potřeby může Objednatel otevřít pro úpravy buňku pro příslušný Dopravní rok v řádku Opravy a údržba vozidel.</w:t>
      </w:r>
    </w:p>
    <w:p w:rsidR="008A28E6" w:rsidRDefault="00172DBD">
      <w:pPr>
        <w:spacing w:after="0" w:line="240" w:lineRule="auto"/>
        <w:jc w:val="both"/>
      </w:pPr>
      <w:r>
        <w:t xml:space="preserve">Cenotvorné položky (kromě Opravy a údržba vozidel), které lze v uvedeném listu měnit, se nevalorizují ani se z nich nepočítá variabilní složka na Výkon/Vozidla či fixní složka. Tyto hodnoty se přičtou k finální hodnotě dané cenotvorné položky až v listu </w:t>
      </w:r>
      <w:r>
        <w:rPr>
          <w:i/>
        </w:rPr>
        <w:t xml:space="preserve">Model objednávkový (MO) </w:t>
      </w:r>
      <w:r>
        <w:t xml:space="preserve">a </w:t>
      </w:r>
      <w:r>
        <w:rPr>
          <w:i/>
        </w:rPr>
        <w:t xml:space="preserve">Realizovaná skutečnost (RS). </w:t>
      </w:r>
      <w:r>
        <w:t xml:space="preserve">Opravy a údržba vozidel se přepočítávají v závislosti na počtu jednotlivých kategorií vozidel v rámci listu </w:t>
      </w:r>
      <w:r>
        <w:rPr>
          <w:i/>
        </w:rPr>
        <w:t>Objednávka</w:t>
      </w:r>
      <w:r>
        <w:t xml:space="preserve"> (řádek 79 až 105) a </w:t>
      </w:r>
      <w:r>
        <w:rPr>
          <w:i/>
        </w:rPr>
        <w:t xml:space="preserve">Realizace </w:t>
      </w:r>
      <w:r>
        <w:t>(78 až 104).</w:t>
      </w:r>
    </w:p>
    <w:p w:rsidR="008A28E6" w:rsidRDefault="008A28E6">
      <w:pPr>
        <w:spacing w:after="0" w:line="240" w:lineRule="auto"/>
        <w:jc w:val="both"/>
      </w:pPr>
    </w:p>
    <w:p w:rsidR="008A28E6" w:rsidRDefault="00172DBD">
      <w:pPr>
        <w:spacing w:after="0" w:line="240" w:lineRule="auto"/>
        <w:jc w:val="both"/>
        <w:rPr>
          <w:b/>
          <w:i/>
        </w:rPr>
      </w:pPr>
      <w:r>
        <w:rPr>
          <w:b/>
          <w:i/>
        </w:rPr>
        <w:t xml:space="preserve">List Model aktualizovaný (MA), MA výkon, MA vozidlo, MA fixní </w:t>
      </w:r>
    </w:p>
    <w:p w:rsidR="008A28E6" w:rsidRDefault="00172DBD">
      <w:pPr>
        <w:spacing w:after="0" w:line="240" w:lineRule="auto"/>
        <w:jc w:val="both"/>
      </w:pPr>
      <w:r>
        <w:rPr>
          <w:color w:val="333333"/>
          <w:highlight w:val="white"/>
        </w:rPr>
        <w:lastRenderedPageBreak/>
        <w:t xml:space="preserve">Hodnoty na listu </w:t>
      </w:r>
      <w:r>
        <w:rPr>
          <w:i/>
          <w:color w:val="333333"/>
          <w:highlight w:val="white"/>
        </w:rPr>
        <w:t>Model aktualizovaný (MA)</w:t>
      </w:r>
      <w:r>
        <w:rPr>
          <w:color w:val="333333"/>
          <w:highlight w:val="white"/>
        </w:rPr>
        <w:t xml:space="preserve"> jsou součinem hodnot cenotvorných položek z listu </w:t>
      </w:r>
      <w:r>
        <w:rPr>
          <w:i/>
          <w:color w:val="333333"/>
          <w:highlight w:val="white"/>
        </w:rPr>
        <w:t>Model výchozí (MV)</w:t>
      </w:r>
      <w:r>
        <w:rPr>
          <w:color w:val="333333"/>
          <w:highlight w:val="white"/>
        </w:rPr>
        <w:t xml:space="preserve"> a příslušných hodnot z listu </w:t>
      </w:r>
      <w:r>
        <w:rPr>
          <w:i/>
          <w:color w:val="333333"/>
          <w:highlight w:val="white"/>
        </w:rPr>
        <w:t>Indexy skutečné</w:t>
      </w:r>
      <w:r>
        <w:rPr>
          <w:color w:val="333333"/>
          <w:highlight w:val="white"/>
        </w:rPr>
        <w:t xml:space="preserve">. K tomuto součinu je také přičtena případná změna z listu </w:t>
      </w:r>
      <w:r>
        <w:rPr>
          <w:i/>
          <w:color w:val="333333"/>
          <w:highlight w:val="white"/>
        </w:rPr>
        <w:t xml:space="preserve">Změny </w:t>
      </w:r>
      <w:r>
        <w:rPr>
          <w:color w:val="333333"/>
          <w:highlight w:val="white"/>
        </w:rPr>
        <w:t>(kromě položek Odpisy dlouhodobého majetku - vozidla, Pronájem a leasing vozidel, Ostatní přímé náklady, Elektronické mýto a silniční daň).</w:t>
      </w:r>
      <w:r>
        <w:t xml:space="preserve"> Tím je Model výchozí (MV) aktualizovaný/přepočtený podle indexů a zavedeny změny (rozsahu/výkon a případného počtu vozidel). </w:t>
      </w:r>
    </w:p>
    <w:p w:rsidR="008A28E6" w:rsidRDefault="00172DBD">
      <w:pPr>
        <w:spacing w:after="0" w:line="240" w:lineRule="auto"/>
        <w:jc w:val="both"/>
      </w:pPr>
      <w:r>
        <w:t xml:space="preserve">Hodnoty v odpovídajícím sloupci pro příslušný Dopravní rok (např. sloupec H pro druhý rok Doby plnění, tj. pro Dopravní rok 2020/2021) na listu </w:t>
      </w:r>
      <w:r>
        <w:rPr>
          <w:i/>
        </w:rPr>
        <w:t xml:space="preserve">MA výkon </w:t>
      </w:r>
      <w:r>
        <w:t>se automaticky vynásobí hodnotou příslušného řádku (3 až 23) z listu</w:t>
      </w:r>
      <w:r>
        <w:rPr>
          <w:i/>
        </w:rPr>
        <w:t xml:space="preserve"> Model aktualizovaný (MA)</w:t>
      </w:r>
      <w:r>
        <w:t xml:space="preserve"> sloupce X (variabilní hodnota – výkon) a zapíší se do odpovídajícího sloupce příslušného Dopravního roku v listu</w:t>
      </w:r>
      <w:r>
        <w:rPr>
          <w:i/>
        </w:rPr>
        <w:t xml:space="preserve"> MA výkon</w:t>
      </w:r>
      <w:r>
        <w:t>. Stejným způsobem se automaticky vypočítá hodnota variabilních nákladů ovlivňujících vozidla (vynásobení hodnoty pro příslušný Dopravní rok hodnotou z listu</w:t>
      </w:r>
      <w:r>
        <w:rPr>
          <w:i/>
        </w:rPr>
        <w:t xml:space="preserve"> Model aktualizovaný (MA) </w:t>
      </w:r>
      <w:r>
        <w:t>ze sloupce Y (variabilní hodnota – vozidlo)) a hodnota fixních nákladů (vynásobení hodnoty pro příslušný Dopravní rok hodnotou ze sloupce Z (fixní hodnota)). Automaticky vypočítané hodnoty se zapíší do odpovídajícího listu</w:t>
      </w:r>
      <w:r>
        <w:rPr>
          <w:i/>
        </w:rPr>
        <w:t xml:space="preserve"> – MA výkon</w:t>
      </w:r>
      <w:r>
        <w:t xml:space="preserve">, </w:t>
      </w:r>
      <w:r>
        <w:rPr>
          <w:i/>
        </w:rPr>
        <w:t>MA vozidlo</w:t>
      </w:r>
      <w:r>
        <w:t xml:space="preserve"> a </w:t>
      </w:r>
      <w:r>
        <w:rPr>
          <w:i/>
        </w:rPr>
        <w:t>MA fixní</w:t>
      </w:r>
      <w:r>
        <w:t xml:space="preserve">. </w:t>
      </w:r>
    </w:p>
    <w:p w:rsidR="008A28E6" w:rsidRDefault="008A28E6">
      <w:pPr>
        <w:spacing w:after="0" w:line="240" w:lineRule="auto"/>
        <w:jc w:val="both"/>
      </w:pPr>
    </w:p>
    <w:p w:rsidR="008A28E6" w:rsidRDefault="008A28E6">
      <w:pPr>
        <w:spacing w:after="0" w:line="240" w:lineRule="auto"/>
        <w:jc w:val="both"/>
        <w:rPr>
          <w:shd w:val="clear" w:color="auto" w:fill="B7B7B7"/>
        </w:rPr>
      </w:pPr>
    </w:p>
    <w:p w:rsidR="008A28E6" w:rsidRDefault="00172DBD">
      <w:pPr>
        <w:spacing w:after="0" w:line="240" w:lineRule="auto"/>
        <w:jc w:val="both"/>
        <w:rPr>
          <w:b/>
          <w:i/>
        </w:rPr>
      </w:pPr>
      <w:r>
        <w:rPr>
          <w:b/>
          <w:i/>
        </w:rPr>
        <w:t>List Objednávka</w:t>
      </w:r>
    </w:p>
    <w:p w:rsidR="008A28E6" w:rsidRDefault="00172DBD">
      <w:pPr>
        <w:spacing w:after="0" w:line="240" w:lineRule="auto"/>
        <w:jc w:val="both"/>
      </w:pPr>
      <w:r>
        <w:t>V listu</w:t>
      </w:r>
      <w:r>
        <w:rPr>
          <w:i/>
        </w:rPr>
        <w:t xml:space="preserve"> Objednávka</w:t>
      </w:r>
      <w:r>
        <w:t xml:space="preserve"> se sumarizují parametry Objednávky příslušného Dopravního roku, a to změnou (Výchozího) rozsahu veřejných služeb a zvýšením/snížením Základního počtu/Aktuálního počtu Základních vozidel. List vypisuje Objednatel/Organizátor v hnědých řádcích. Ostatní řádky (bez podbarvení) se počítají automaticky.</w:t>
      </w:r>
    </w:p>
    <w:p w:rsidR="008A28E6" w:rsidRDefault="00172DBD">
      <w:pPr>
        <w:spacing w:after="0" w:line="240" w:lineRule="auto"/>
        <w:jc w:val="both"/>
      </w:pPr>
      <w:r>
        <w:t xml:space="preserve">V řádku 3 je uveden rozsah veřejných služeb pro příslušný Dopravní rok (automaticky se přenáší z listu </w:t>
      </w:r>
      <w:r>
        <w:rPr>
          <w:i/>
        </w:rPr>
        <w:t>Vozidla</w:t>
      </w:r>
      <w:r>
        <w:t xml:space="preserve">). V řádcích 5 až 8 je uveden (automaticky se přenáší z listu </w:t>
      </w:r>
      <w:r>
        <w:rPr>
          <w:i/>
        </w:rPr>
        <w:t xml:space="preserve">Vozidla) </w:t>
      </w:r>
      <w:r>
        <w:t xml:space="preserve">Výchozí počet Základních vozidel (podle kategorií). </w:t>
      </w:r>
    </w:p>
    <w:p w:rsidR="008A28E6" w:rsidRDefault="00172DBD">
      <w:pPr>
        <w:spacing w:after="0" w:line="240" w:lineRule="auto"/>
        <w:jc w:val="both"/>
      </w:pPr>
      <w:r>
        <w:t>V řádcích 13 až 16 příslušného Dopravního roku jsou Objednatelem/Organizátorem aktualizovány rozsahy/výkony jednotlivých kategorií Vozidel (v km/rok) dle výkonů stanovených v Jízdních řádech pro připravovaný Dopravní rok.</w:t>
      </w:r>
    </w:p>
    <w:p w:rsidR="008A28E6" w:rsidRDefault="00172DBD">
      <w:pPr>
        <w:spacing w:after="0" w:line="240" w:lineRule="auto"/>
        <w:jc w:val="both"/>
      </w:pPr>
      <w:r>
        <w:t>Případná, Objednatelem odsouhlasená změna Výchozího/Aktuálního počtu Základních vozidel, se zapíše do řádků 22 až 25 (zapíší se počty vozidel provozované Dopravcem (bez poddodávky - ta je zahrnuta v ostatních službách na listu Model objednávkový (MO))).</w:t>
      </w:r>
    </w:p>
    <w:p w:rsidR="008A28E6" w:rsidRDefault="008A28E6">
      <w:pPr>
        <w:spacing w:after="0" w:line="240" w:lineRule="auto"/>
        <w:jc w:val="both"/>
        <w:rPr>
          <w:shd w:val="clear" w:color="auto" w:fill="D9D9D9"/>
        </w:rPr>
      </w:pPr>
    </w:p>
    <w:p w:rsidR="008A28E6" w:rsidRDefault="00172DBD">
      <w:pPr>
        <w:spacing w:after="0" w:line="240" w:lineRule="auto"/>
        <w:jc w:val="both"/>
      </w:pPr>
      <w:r>
        <w:t xml:space="preserve">Ostatní řádky listu </w:t>
      </w:r>
      <w:r>
        <w:rPr>
          <w:i/>
        </w:rPr>
        <w:t xml:space="preserve">Objednávky </w:t>
      </w:r>
      <w:r>
        <w:t xml:space="preserve">(řádek 34 a níže) automaticky počítají cenu položek Pohonné hmoty (světle modré), Opravy a údržba(hnědé) a Pojištění (zelené), dále počítají indexaci těchto položek z listu </w:t>
      </w:r>
      <w:r>
        <w:rPr>
          <w:i/>
        </w:rPr>
        <w:t>Indexy skutečné</w:t>
      </w:r>
      <w:r>
        <w:t xml:space="preserve"> a variabilní náklady z listu </w:t>
      </w:r>
      <w:r>
        <w:rPr>
          <w:i/>
        </w:rPr>
        <w:t>Model výchozí (MV)</w:t>
      </w:r>
      <w:r>
        <w:t>. V řádcích 18, 19 a 28 až 32 se vyjadřuje absolutní a procentuální nárůst/pokles rozsahu výkonu a Základního/Aktuálního počtu Základních vozidel. S uvedeným nárůstem/poklesem se následně počítá v řádcích 34 a níže.</w:t>
      </w:r>
    </w:p>
    <w:p w:rsidR="008A28E6" w:rsidRDefault="00172DBD">
      <w:pPr>
        <w:spacing w:after="0" w:line="240" w:lineRule="auto"/>
        <w:jc w:val="both"/>
      </w:pPr>
      <w:r>
        <w:t xml:space="preserve">Odpisy nových vozidel se zapisují do příslušného sloupce (příslušný Dopravní rok) v </w:t>
      </w:r>
      <w:r>
        <w:rPr>
          <w:i/>
        </w:rPr>
        <w:t xml:space="preserve">listu Změna. </w:t>
      </w:r>
      <w:r>
        <w:t xml:space="preserve">Objednávka se průběhu roku nemění. Veškeré možné změny v průběhu Dopravního roku se promítnou až do listu </w:t>
      </w:r>
      <w:r>
        <w:rPr>
          <w:i/>
        </w:rPr>
        <w:t>Realizace</w:t>
      </w:r>
      <w:r>
        <w:t xml:space="preserve">, případně do listu </w:t>
      </w:r>
      <w:r>
        <w:rPr>
          <w:i/>
        </w:rPr>
        <w:t>Změny</w:t>
      </w:r>
      <w:r>
        <w:t xml:space="preserve">. Kompenzace za tyto změny bude hrazena až v Realizaci (tj. při Vyúčtování II Dopravního roku). </w:t>
      </w:r>
    </w:p>
    <w:p w:rsidR="008A28E6" w:rsidRDefault="00172DBD">
      <w:pPr>
        <w:spacing w:after="0" w:line="240" w:lineRule="auto"/>
        <w:jc w:val="both"/>
      </w:pPr>
      <w:r>
        <w:t xml:space="preserve">Nepředpokládané změny výkonu (zejména objížďky vykázané dle podmínek Smlouvy) v průběhu Dopravního roku budou vypořádány v rámci Vyúčtování II, tj. využitím listu </w:t>
      </w:r>
      <w:r>
        <w:rPr>
          <w:i/>
        </w:rPr>
        <w:t xml:space="preserve">Realizace, </w:t>
      </w:r>
      <w:r>
        <w:t xml:space="preserve">resp. </w:t>
      </w:r>
      <w:r>
        <w:rPr>
          <w:i/>
        </w:rPr>
        <w:t xml:space="preserve">Realizovaná skutečnost. </w:t>
      </w:r>
      <w:r>
        <w:t>Dopravci náleží úhrada za navýšený rozsah za objížďky realizované v důsledku realizace akcí na silnicích, na které byl stanoven výlukový jízdní řád.</w:t>
      </w:r>
      <w:bookmarkStart w:id="3" w:name="_GoBack"/>
      <w:bookmarkEnd w:id="3"/>
    </w:p>
    <w:p w:rsidR="008A28E6" w:rsidRDefault="008A28E6">
      <w:pPr>
        <w:spacing w:after="0" w:line="240" w:lineRule="auto"/>
        <w:jc w:val="both"/>
        <w:rPr>
          <w:b/>
          <w:i/>
        </w:rPr>
      </w:pPr>
    </w:p>
    <w:p w:rsidR="008A28E6" w:rsidRDefault="00172DBD">
      <w:pPr>
        <w:spacing w:after="0" w:line="240" w:lineRule="auto"/>
        <w:jc w:val="both"/>
        <w:rPr>
          <w:b/>
          <w:i/>
        </w:rPr>
      </w:pPr>
      <w:r>
        <w:rPr>
          <w:b/>
          <w:i/>
        </w:rPr>
        <w:t>List Model objednávkový (MO)</w:t>
      </w:r>
    </w:p>
    <w:p w:rsidR="008A28E6" w:rsidRDefault="00172DBD">
      <w:pPr>
        <w:spacing w:after="0" w:line="240" w:lineRule="auto"/>
        <w:jc w:val="both"/>
      </w:pPr>
      <w:r>
        <w:t>Pomocnými listy k tomuto listu jsou listy</w:t>
      </w:r>
      <w:r>
        <w:rPr>
          <w:i/>
        </w:rPr>
        <w:t xml:space="preserve"> MO Výkon, MO Vozidlo a MA Fixní</w:t>
      </w:r>
      <w:r>
        <w:t xml:space="preserve">. Hodnoty automaticky vypočítané v těchto pomocných listech se sečtou do </w:t>
      </w:r>
      <w:r>
        <w:rPr>
          <w:i/>
        </w:rPr>
        <w:t xml:space="preserve">listu Model objednávkový (MO). </w:t>
      </w:r>
      <w:r>
        <w:t xml:space="preserve">Hodnoty v listech </w:t>
      </w:r>
      <w:r>
        <w:rPr>
          <w:i/>
        </w:rPr>
        <w:t xml:space="preserve">MO Výkon a MO Vozidlo </w:t>
      </w:r>
      <w:r>
        <w:t xml:space="preserve">se vypočtou z Modelu aktualizovaného (MO Výkon, MO Vozidlo, MA Fixní) a Objednávky, popř. pouze z listu </w:t>
      </w:r>
      <w:r>
        <w:rPr>
          <w:i/>
        </w:rPr>
        <w:t>Objednávky</w:t>
      </w:r>
      <w:r>
        <w:t>.</w:t>
      </w:r>
    </w:p>
    <w:p w:rsidR="008A28E6" w:rsidRDefault="00172DBD">
      <w:pPr>
        <w:spacing w:after="0" w:line="240" w:lineRule="auto"/>
        <w:jc w:val="both"/>
        <w:rPr>
          <w:i/>
        </w:rPr>
      </w:pPr>
      <w:r>
        <w:lastRenderedPageBreak/>
        <w:t xml:space="preserve">CDV objednávková (v Kč), např. pro 2. rok smlouvy v buňce G24, se vypočítá jako </w:t>
      </w:r>
      <w:r>
        <w:rPr>
          <w:color w:val="333333"/>
          <w:highlight w:val="white"/>
        </w:rPr>
        <w:t xml:space="preserve">součet buněk G3 až G23. Jednotlivé cenotvorné položky jsou počítány součtem hodnot z listů </w:t>
      </w:r>
      <w:r>
        <w:rPr>
          <w:i/>
          <w:color w:val="333333"/>
          <w:highlight w:val="white"/>
        </w:rPr>
        <w:t xml:space="preserve">MO Výkon, MO Vozidla </w:t>
      </w:r>
      <w:r>
        <w:rPr>
          <w:color w:val="333333"/>
          <w:highlight w:val="white"/>
        </w:rPr>
        <w:t>a</w:t>
      </w:r>
      <w:r>
        <w:rPr>
          <w:i/>
          <w:color w:val="333333"/>
          <w:highlight w:val="white"/>
        </w:rPr>
        <w:t xml:space="preserve"> MA Fixní</w:t>
      </w:r>
      <w:r>
        <w:t xml:space="preserve"> a v některých cenotvorných položkách (</w:t>
      </w:r>
      <w:r>
        <w:rPr>
          <w:color w:val="333333"/>
          <w:highlight w:val="white"/>
        </w:rPr>
        <w:t xml:space="preserve">Odpisy dlouhodobého majetku - vozidla, Pronájem a leasing vozidel, Ostatní přímé náklady, Elektronické mýto a silniční daň) </w:t>
      </w:r>
      <w:r>
        <w:t xml:space="preserve">součtem listu </w:t>
      </w:r>
      <w:r>
        <w:rPr>
          <w:i/>
        </w:rPr>
        <w:t>Změny</w:t>
      </w:r>
      <w:r>
        <w:t xml:space="preserve">.  </w:t>
      </w:r>
      <w:r>
        <w:rPr>
          <w:i/>
        </w:rPr>
        <w:t xml:space="preserve"> </w:t>
      </w:r>
    </w:p>
    <w:p w:rsidR="008A28E6" w:rsidRDefault="00172DBD">
      <w:pPr>
        <w:spacing w:after="0"/>
        <w:jc w:val="both"/>
      </w:pPr>
      <w:r>
        <w:t xml:space="preserve">V listu </w:t>
      </w:r>
      <w:r>
        <w:rPr>
          <w:i/>
        </w:rPr>
        <w:t xml:space="preserve">Model objednávkový (MO) </w:t>
      </w:r>
      <w:r>
        <w:t>stanoví Objednatel/Organizátor odhad tržeb pro následující Dopravní rok. Odhad tržeb se stanoví jako skutečně vybrané tržby za aktuální rok, za období leden až září, které se dopočtou (aproximují) na celý rok. Aproximovaná hodnota je Předpokládanými ročními tržbami z jízdného (řádek 37) pro následující Dopravní rok.</w:t>
      </w:r>
    </w:p>
    <w:p w:rsidR="008A28E6" w:rsidRDefault="00172DBD">
      <w:pPr>
        <w:spacing w:after="0"/>
        <w:jc w:val="both"/>
      </w:pPr>
      <w:r>
        <w:t xml:space="preserve"> </w:t>
      </w:r>
    </w:p>
    <w:p w:rsidR="008A28E6" w:rsidRDefault="00172DBD">
      <w:pPr>
        <w:spacing w:after="0"/>
        <w:jc w:val="both"/>
      </w:pPr>
      <w:r>
        <w:t>Předpokládaná roční výše kompenzace (řádek 38) se stanoví jako rozdíl mezi hodnotou CDV objednávková (v Kč) (řádek 24) a hodnotou Předpokládané roční tržby z jízdného (v Kč) (řádek 37). Vypočtená hodnota Předpokládané roční kompenzace objednatele (řádek 38) podělená 12 (měsíci) je měsíční výše kompenzace. Pro měsíc prosinec se rozdělí na dvě (stejné) hodnoty, pro období od zahájení Dopravního roku do 31. 12. a pak, koncem Dopravního roku za období do změny Jízdních řádů.</w:t>
      </w:r>
    </w:p>
    <w:p w:rsidR="008A28E6" w:rsidRDefault="00172DBD">
      <w:pPr>
        <w:spacing w:after="0"/>
        <w:jc w:val="both"/>
      </w:pPr>
      <w:r>
        <w:t xml:space="preserve"> </w:t>
      </w:r>
    </w:p>
    <w:p w:rsidR="008A28E6" w:rsidRDefault="00172DBD">
      <w:pPr>
        <w:spacing w:after="0"/>
        <w:jc w:val="both"/>
        <w:rPr>
          <w:b/>
          <w:i/>
        </w:rPr>
      </w:pPr>
      <w:r>
        <w:rPr>
          <w:b/>
          <w:i/>
        </w:rPr>
        <w:t>List Realizace</w:t>
      </w:r>
    </w:p>
    <w:p w:rsidR="008A28E6" w:rsidRDefault="00172DBD">
      <w:pPr>
        <w:spacing w:after="0"/>
        <w:jc w:val="both"/>
      </w:pPr>
      <w:r>
        <w:t xml:space="preserve">Objednatel/Organizátor na listu </w:t>
      </w:r>
      <w:r>
        <w:rPr>
          <w:i/>
        </w:rPr>
        <w:t>Realizace</w:t>
      </w:r>
      <w:r>
        <w:t xml:space="preserve"> vyplní skutečně realizované výkony za jednotlivé kategorie Základních vozidel za příslušný Dopravní rok (řádek 13 až 16) a Aktualizované počty Vozidel (</w:t>
      </w:r>
      <w:proofErr w:type="gramStart"/>
      <w:r>
        <w:t>řádek  21</w:t>
      </w:r>
      <w:proofErr w:type="gramEnd"/>
      <w:r>
        <w:t xml:space="preserve"> až 24), kterými byly v příslušném Dopravním roce realizovány výkony.</w:t>
      </w:r>
    </w:p>
    <w:p w:rsidR="008A28E6" w:rsidRDefault="00172DBD">
      <w:pPr>
        <w:spacing w:after="0"/>
        <w:jc w:val="both"/>
      </w:pPr>
      <w:r>
        <w:t xml:space="preserve">Změní-li se počet Vozidel v průběhu (Dopravního) roku, vypočte se poměrná část počtu přidaného/ubraného Vozidla a zapíše se do počtu Vozidel na listu </w:t>
      </w:r>
      <w:r>
        <w:rPr>
          <w:i/>
        </w:rPr>
        <w:t>Realizace.</w:t>
      </w:r>
      <w:r>
        <w:t xml:space="preserve"> Např. počet vozidel v objednávce v kategorii mini je 40, od 1. 7. přidáno 1 vozidlo, na listu </w:t>
      </w:r>
      <w:r>
        <w:rPr>
          <w:i/>
        </w:rPr>
        <w:t>Realizace</w:t>
      </w:r>
      <w:r>
        <w:t xml:space="preserve"> se v kategorii vozidel mini uvede 40,5 vozidla (k 1. 9. je to 40,33). Stejnou logikou, ale na listu </w:t>
      </w:r>
      <w:r>
        <w:rPr>
          <w:i/>
        </w:rPr>
        <w:t>Změny</w:t>
      </w:r>
      <w:r>
        <w:t xml:space="preserve"> se uvede do řádku odpisy (řádek 8) výše odpisů na uvedené vozidlo pro poměrnou část roku (např. pořizovací cena vozidla je 3 mil. Kč, k 1. 7. – odpisy 150 tis. Kč, k 1. 9. – odpisy 100 tis. Kč – pro aktuální Dopravní rok, odpisy pro celý následující rok jsou 300 tis. Kč).</w:t>
      </w:r>
    </w:p>
    <w:p w:rsidR="008A28E6" w:rsidRDefault="00172DBD">
      <w:pPr>
        <w:spacing w:after="0"/>
        <w:jc w:val="both"/>
      </w:pPr>
      <w:r>
        <w:t xml:space="preserve"> </w:t>
      </w:r>
    </w:p>
    <w:p w:rsidR="008A28E6" w:rsidRDefault="00172DBD">
      <w:pPr>
        <w:spacing w:after="0" w:line="240" w:lineRule="auto"/>
        <w:jc w:val="both"/>
      </w:pPr>
      <w:r>
        <w:t xml:space="preserve">Vozidlo se zařazuje do majetku Dopravce od 1. dne následujícího měsíce po jeho pořízení. Odpisy za prosinec aktuálního roku se počítají do prosince aktuálního Dopravního roku v plné výši. V následujícím Dopravním roce se odpisy začínají uplatňovat od 1. 1. </w:t>
      </w:r>
    </w:p>
    <w:p w:rsidR="008A28E6" w:rsidRDefault="008A28E6">
      <w:pPr>
        <w:spacing w:after="0" w:line="240" w:lineRule="auto"/>
        <w:jc w:val="both"/>
      </w:pPr>
    </w:p>
    <w:p w:rsidR="008A28E6" w:rsidRDefault="00172DBD">
      <w:pPr>
        <w:spacing w:after="0" w:line="240" w:lineRule="auto"/>
        <w:jc w:val="both"/>
      </w:pPr>
      <w:r>
        <w:t xml:space="preserve">Ostatní řádky listu </w:t>
      </w:r>
      <w:r>
        <w:rPr>
          <w:i/>
        </w:rPr>
        <w:t xml:space="preserve">Realizace </w:t>
      </w:r>
      <w:r>
        <w:t xml:space="preserve">(řádek 34 a níže) automaticky počítají cenu položek Pohonné hmoty (světle modré), Opravy a údržba (hnědé) a Pojištění (zelené), dále počítají indexaci těchto položek z listu </w:t>
      </w:r>
      <w:r>
        <w:rPr>
          <w:i/>
        </w:rPr>
        <w:t>Indexy skutečné</w:t>
      </w:r>
      <w:r>
        <w:t xml:space="preserve"> a variabilní náklady z listu </w:t>
      </w:r>
      <w:r>
        <w:rPr>
          <w:i/>
        </w:rPr>
        <w:t>Model výchozí (MV)</w:t>
      </w:r>
      <w:r>
        <w:t>.  V řádcích 18, 19 a 26 až 31 se vyjadřuje absolutní a procentuální nárůst/pokles rozsahu výkonu a Základního/Aktuálního počtu Základních vozidel. S uvedeným nárůstem/poklesem se následně počítá v řádcích 34 a níže.</w:t>
      </w:r>
    </w:p>
    <w:p w:rsidR="008A28E6" w:rsidRDefault="00172DBD">
      <w:pPr>
        <w:spacing w:after="0"/>
        <w:jc w:val="both"/>
      </w:pPr>
      <w:r>
        <w:t xml:space="preserve"> </w:t>
      </w:r>
    </w:p>
    <w:p w:rsidR="008A28E6" w:rsidRDefault="00172DBD">
      <w:pPr>
        <w:spacing w:after="0"/>
        <w:jc w:val="both"/>
      </w:pPr>
      <w:r>
        <w:t xml:space="preserve">V listu </w:t>
      </w:r>
      <w:r>
        <w:rPr>
          <w:i/>
        </w:rPr>
        <w:t xml:space="preserve">Realizace </w:t>
      </w:r>
      <w:r>
        <w:t xml:space="preserve">není řešen skutečný průběh ceny nafty v průběhu roku (změna vstupuje do Objednávky až pro další Dopravní rok), a proto Objednatel doporučuje se zajišťovat pro objednaný rok formou </w:t>
      </w:r>
      <w:proofErr w:type="spellStart"/>
      <w:proofErr w:type="gramStart"/>
      <w:r>
        <w:t>hedgingu</w:t>
      </w:r>
      <w:proofErr w:type="spellEnd"/>
      <w:r>
        <w:t xml:space="preserve">  na</w:t>
      </w:r>
      <w:proofErr w:type="gramEnd"/>
      <w:r>
        <w:t xml:space="preserve"> cenu nafty (zajistit se na cenu použitou v Objednávce pro příslušný Dopravní rok).</w:t>
      </w:r>
    </w:p>
    <w:p w:rsidR="008A28E6" w:rsidRDefault="008A28E6">
      <w:pPr>
        <w:spacing w:after="0"/>
        <w:jc w:val="both"/>
      </w:pPr>
    </w:p>
    <w:p w:rsidR="008A28E6" w:rsidRDefault="00172DBD">
      <w:pPr>
        <w:spacing w:after="0"/>
        <w:jc w:val="both"/>
      </w:pPr>
      <w:r>
        <w:t xml:space="preserve">List </w:t>
      </w:r>
      <w:r>
        <w:rPr>
          <w:i/>
        </w:rPr>
        <w:t xml:space="preserve">Realizace </w:t>
      </w:r>
      <w:r>
        <w:t xml:space="preserve">bude používán pro list </w:t>
      </w:r>
      <w:r>
        <w:rPr>
          <w:i/>
        </w:rPr>
        <w:t>Realizovanou skutečnost</w:t>
      </w:r>
      <w:r>
        <w:t>, tj. pro Vyúčtování I (s Indexy pro Objednávku) a Vyúčtování II (s aktualizovanými Indexy, resp. nárůsty/poklesy hodnot odpovídajících hodnotám uplynulého Dopravního roku, ve kterém Dopravce realizoval výkon</w:t>
      </w:r>
      <w:proofErr w:type="gramStart"/>
      <w:r>
        <w:t>) .</w:t>
      </w:r>
      <w:proofErr w:type="gramEnd"/>
    </w:p>
    <w:p w:rsidR="008A28E6" w:rsidRDefault="00172DBD">
      <w:pPr>
        <w:spacing w:after="0"/>
        <w:jc w:val="both"/>
      </w:pPr>
      <w:r>
        <w:t xml:space="preserve"> </w:t>
      </w:r>
    </w:p>
    <w:p w:rsidR="008A28E6" w:rsidRDefault="00172DBD">
      <w:pPr>
        <w:spacing w:after="0"/>
        <w:jc w:val="both"/>
        <w:rPr>
          <w:b/>
          <w:i/>
        </w:rPr>
      </w:pPr>
      <w:r>
        <w:rPr>
          <w:b/>
          <w:i/>
        </w:rPr>
        <w:t>List Realizovaná skutečnost</w:t>
      </w:r>
    </w:p>
    <w:p w:rsidR="008A28E6" w:rsidRDefault="00172DBD">
      <w:pPr>
        <w:spacing w:after="0"/>
        <w:jc w:val="both"/>
      </w:pPr>
      <w:r>
        <w:rPr>
          <w:b/>
        </w:rPr>
        <w:lastRenderedPageBreak/>
        <w:t>Vyúčtování I</w:t>
      </w:r>
      <w:r>
        <w:t xml:space="preserve"> (leden roku následujícího po skončení Dopravního roku)</w:t>
      </w:r>
    </w:p>
    <w:p w:rsidR="008A28E6" w:rsidRDefault="00172DBD">
      <w:pPr>
        <w:spacing w:after="0"/>
        <w:jc w:val="both"/>
      </w:pPr>
      <w:r>
        <w:t>Model přepočítá pouze rozdíl mezi zálohami kompenzace (předpoklad tržeb) a Skutečnými (dosaženými) ročními tržbami z jízdného za uplynulý Dopravní rok. Rozdíl mezi hodnotami je vyrovnán.</w:t>
      </w:r>
    </w:p>
    <w:p w:rsidR="008A28E6" w:rsidRDefault="008A28E6">
      <w:pPr>
        <w:spacing w:after="0"/>
        <w:jc w:val="both"/>
      </w:pPr>
    </w:p>
    <w:p w:rsidR="008A28E6" w:rsidRDefault="00172DBD">
      <w:pPr>
        <w:spacing w:after="0"/>
        <w:jc w:val="both"/>
      </w:pPr>
      <w:r>
        <w:t xml:space="preserve">Objednatel/Organizátor na listu </w:t>
      </w:r>
      <w:r>
        <w:rPr>
          <w:i/>
        </w:rPr>
        <w:t>Realizovaná skutečnost</w:t>
      </w:r>
      <w:r>
        <w:t xml:space="preserve"> vyplní řádky 39 až 51 skutečnými měsíčními tržbami dosaženými v jednotlivých měsících příslušného Dopravního roku. Součet tržeb (Skutečné roční tržby z jízdného) je uveden v řádku 52.</w:t>
      </w:r>
    </w:p>
    <w:p w:rsidR="008A28E6" w:rsidRDefault="00172DBD">
      <w:pPr>
        <w:spacing w:after="0"/>
        <w:jc w:val="both"/>
      </w:pPr>
      <w:r>
        <w:t xml:space="preserve">Do řádku 53 uveden Objednatel/Organizátor Tržby za kompenzaci slev (např. celostátní slevy atd.). V řádku 54 jsou uvedeny Skutečné roční tržby z jízdného včetně tržeb za kompenzaci slev. </w:t>
      </w:r>
    </w:p>
    <w:p w:rsidR="008A28E6" w:rsidRDefault="00172DBD">
      <w:pPr>
        <w:spacing w:after="0"/>
        <w:jc w:val="both"/>
      </w:pPr>
      <w:r>
        <w:t xml:space="preserve">V řádku 55 Objednatel/Organizátor uvede všechny Skutečné kompenzace Objednatele, které Dopravci vyplatil za uplynulý Dopravní rok. Skutečná roční kompenzace Objednatele je vypočtena jako rozdíl CDV realizace </w:t>
      </w:r>
      <w:proofErr w:type="gramStart"/>
      <w:r>
        <w:t>a  Skutečných</w:t>
      </w:r>
      <w:proofErr w:type="gramEnd"/>
      <w:r>
        <w:t xml:space="preserve"> ročních tržeb z jízdného včetně tržeb za kompenzaci slev (řádek 24 minus řádek 54).</w:t>
      </w:r>
    </w:p>
    <w:p w:rsidR="008A28E6" w:rsidRDefault="008A28E6">
      <w:pPr>
        <w:spacing w:after="0"/>
        <w:jc w:val="both"/>
      </w:pPr>
    </w:p>
    <w:p w:rsidR="008A28E6" w:rsidRDefault="00172DBD">
      <w:pPr>
        <w:spacing w:after="0"/>
        <w:jc w:val="both"/>
      </w:pPr>
      <w:r>
        <w:t>Porovnáním/rozdílem Skutečné roční kompenzace Objednatele a Skutečně zaplacené zálohy celkem (řádek 55 - řádek 58) vzniká v případě kladné hodnoty Doplatek Objednatele Dopravci, v případě záporné hodnoty vratka Dopravce Objednateli (řádek 61).</w:t>
      </w:r>
    </w:p>
    <w:p w:rsidR="008A28E6" w:rsidRDefault="00172DBD">
      <w:pPr>
        <w:spacing w:after="0"/>
        <w:jc w:val="both"/>
      </w:pPr>
      <w:r>
        <w:t xml:space="preserve"> </w:t>
      </w:r>
    </w:p>
    <w:p w:rsidR="008A28E6" w:rsidRDefault="00172DBD">
      <w:pPr>
        <w:spacing w:after="0"/>
        <w:jc w:val="both"/>
      </w:pPr>
      <w:r>
        <w:rPr>
          <w:b/>
        </w:rPr>
        <w:t xml:space="preserve">Vyúčtování II </w:t>
      </w:r>
      <w:r>
        <w:t>(duben-květen roku následujícího po skončení Dopravního roku)</w:t>
      </w:r>
    </w:p>
    <w:p w:rsidR="008A28E6" w:rsidRDefault="00172DBD">
      <w:pPr>
        <w:spacing w:after="0"/>
        <w:jc w:val="both"/>
      </w:pPr>
      <w:r>
        <w:t xml:space="preserve">Provede se vyúčtování s aktuálními indexy odpovídajícími uplynulému Dopravnímu roku (viz </w:t>
      </w:r>
      <w:r>
        <w:rPr>
          <w:b/>
        </w:rPr>
        <w:t>Tab. 4</w:t>
      </w:r>
      <w:r>
        <w:t>). Valorizace cenotvorné položky Nafta bude provedena váženým průměrem ceny nafty (za uplynulý Dopravní rok) a reálného výkonu v jednotlivých měsících uplynulého Dopravního roku.</w:t>
      </w:r>
    </w:p>
    <w:p w:rsidR="008A28E6" w:rsidRDefault="00172DBD">
      <w:pPr>
        <w:spacing w:after="0"/>
        <w:jc w:val="both"/>
      </w:pPr>
      <w:r>
        <w:t xml:space="preserve">Doplatek/vratka mezi Objednatelem a Dopravcem z Vyúčtování I uplynulého Dopravního roku se přepíše z řádku 60 do řádku 61. Tím se vynuluje řádek 60 Doplatek Objednatele Dopravci (kladná hodnota)/vratka Dopravce Objednateli (záporná hodnota). Řádek 60 tak bude následně ukazovat rozdíl mezi nárůstem/poklesem aktualizovaných cenotvorných položek Skutečnými indexy uplynulého Dopravního roku sumarizovanými v CDV realizace (Kč).  </w:t>
      </w:r>
    </w:p>
    <w:p w:rsidR="008A28E6" w:rsidRDefault="00172DBD">
      <w:pPr>
        <w:spacing w:after="0"/>
        <w:jc w:val="both"/>
      </w:pPr>
      <w:r>
        <w:t>Doplatek/vratka z Vyúčtování I zůstane beze změny zapsán v řádku 61 a Doplatek/vratka v rámci Vyúčtování II bude v řádku 60. Proces výpočtu Doplatku a vratky je tak pro obě vyúčtování shodný, pouze v rámci Vyúčtování II se od Doplatku/vratky Vyúčtování II odečte Doplatek/vratka Vyúčtování I (F55 minus F58 minus F61). Rozdíl mezi výší Vyúčtování I a Vyúčtování II za ukončený Dopravní rok se dorovná do konce června roku následujícího po ukončeném Dopravním roku.</w:t>
      </w:r>
    </w:p>
    <w:p w:rsidR="008A28E6" w:rsidRDefault="00172DBD">
      <w:pPr>
        <w:spacing w:after="0"/>
        <w:jc w:val="both"/>
        <w:rPr>
          <w:b/>
        </w:rPr>
      </w:pPr>
      <w:r>
        <w:rPr>
          <w:b/>
        </w:rPr>
        <w:t xml:space="preserve">  </w:t>
      </w:r>
    </w:p>
    <w:p w:rsidR="008A28E6" w:rsidRDefault="00172DBD">
      <w:pPr>
        <w:spacing w:after="0"/>
        <w:jc w:val="both"/>
      </w:pPr>
      <w:r>
        <w:t xml:space="preserve">Listy </w:t>
      </w:r>
      <w:r>
        <w:rPr>
          <w:i/>
        </w:rPr>
        <w:t xml:space="preserve">RS výkon </w:t>
      </w:r>
      <w:r>
        <w:t>a</w:t>
      </w:r>
      <w:r>
        <w:rPr>
          <w:i/>
        </w:rPr>
        <w:t xml:space="preserve"> RS vozidlo </w:t>
      </w:r>
      <w:r>
        <w:t xml:space="preserve">reflektují nárůst/pokles výkonu a počtu vozidel z listu </w:t>
      </w:r>
      <w:r>
        <w:rPr>
          <w:i/>
        </w:rPr>
        <w:t>Realizace</w:t>
      </w:r>
      <w:r>
        <w:t xml:space="preserve"> (výkon - řádek 19, počet vozidel - řádek 31. Hodnoty v listech </w:t>
      </w:r>
      <w:r>
        <w:rPr>
          <w:i/>
        </w:rPr>
        <w:t>RS výkon</w:t>
      </w:r>
      <w:r>
        <w:t xml:space="preserve"> a </w:t>
      </w:r>
      <w:r>
        <w:rPr>
          <w:i/>
        </w:rPr>
        <w:t>RS vozidlo</w:t>
      </w:r>
      <w:r>
        <w:t xml:space="preserve"> jsou součinem hodnot z listů</w:t>
      </w:r>
      <w:r>
        <w:rPr>
          <w:i/>
        </w:rPr>
        <w:t xml:space="preserve"> MA vozidlo</w:t>
      </w:r>
      <w:r>
        <w:t xml:space="preserve"> a </w:t>
      </w:r>
      <w:r>
        <w:rPr>
          <w:i/>
        </w:rPr>
        <w:t xml:space="preserve">MA výkon </w:t>
      </w:r>
      <w:r>
        <w:t xml:space="preserve">a uvedeného nárůstu/poklesu z listu </w:t>
      </w:r>
      <w:r>
        <w:rPr>
          <w:i/>
        </w:rPr>
        <w:t>Realizace</w:t>
      </w:r>
      <w:r>
        <w:t>.</w:t>
      </w:r>
    </w:p>
    <w:p w:rsidR="008A28E6" w:rsidRDefault="008A28E6">
      <w:pPr>
        <w:spacing w:after="0"/>
        <w:jc w:val="both"/>
      </w:pPr>
    </w:p>
    <w:p w:rsidR="008A28E6" w:rsidRDefault="00172DBD">
      <w:pPr>
        <w:spacing w:after="0"/>
        <w:jc w:val="both"/>
        <w:rPr>
          <w:b/>
        </w:rPr>
      </w:pPr>
      <w:r>
        <w:rPr>
          <w:b/>
        </w:rPr>
        <w:t>(popis modelu v32)</w:t>
      </w:r>
    </w:p>
    <w:sectPr w:rsidR="008A28E6">
      <w:footerReference w:type="default" r:id="rId27"/>
      <w:pgSz w:w="11906" w:h="16838"/>
      <w:pgMar w:top="1701"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C78" w:rsidRDefault="004A3C78">
      <w:pPr>
        <w:spacing w:after="0" w:line="240" w:lineRule="auto"/>
      </w:pPr>
      <w:r>
        <w:separator/>
      </w:r>
    </w:p>
  </w:endnote>
  <w:endnote w:type="continuationSeparator" w:id="0">
    <w:p w:rsidR="004A3C78" w:rsidRDefault="004A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8E6" w:rsidRDefault="00172DBD">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Strana </w:t>
    </w:r>
    <w:r>
      <w:rPr>
        <w:color w:val="000000"/>
      </w:rPr>
      <w:fldChar w:fldCharType="begin"/>
    </w:r>
    <w:r>
      <w:rPr>
        <w:color w:val="000000"/>
      </w:rPr>
      <w:instrText>PAGE</w:instrText>
    </w:r>
    <w:r>
      <w:rPr>
        <w:color w:val="000000"/>
      </w:rPr>
      <w:fldChar w:fldCharType="separate"/>
    </w:r>
    <w:r w:rsidR="002B2810">
      <w:rPr>
        <w:noProof/>
        <w:color w:val="000000"/>
      </w:rPr>
      <w:t>18</w:t>
    </w:r>
    <w:r>
      <w:rPr>
        <w:color w:val="000000"/>
      </w:rPr>
      <w:fldChar w:fldCharType="end"/>
    </w:r>
    <w:r>
      <w:rPr>
        <w:color w:val="000000"/>
      </w:rPr>
      <w:t xml:space="preserve">/ celkem </w:t>
    </w:r>
    <w:r w:rsidR="006E3A90">
      <w:t>18</w:t>
    </w:r>
  </w:p>
  <w:p w:rsidR="008A28E6" w:rsidRDefault="008A28E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C78" w:rsidRDefault="004A3C78">
      <w:pPr>
        <w:spacing w:after="0" w:line="240" w:lineRule="auto"/>
      </w:pPr>
      <w:r>
        <w:separator/>
      </w:r>
    </w:p>
  </w:footnote>
  <w:footnote w:type="continuationSeparator" w:id="0">
    <w:p w:rsidR="004A3C78" w:rsidRDefault="004A3C78">
      <w:pPr>
        <w:spacing w:after="0" w:line="240" w:lineRule="auto"/>
      </w:pPr>
      <w:r>
        <w:continuationSeparator/>
      </w:r>
    </w:p>
  </w:footnote>
  <w:footnote w:id="1">
    <w:p w:rsidR="008A28E6" w:rsidRDefault="00172DBD">
      <w:pPr>
        <w:spacing w:after="0" w:line="240" w:lineRule="auto"/>
        <w:rPr>
          <w:sz w:val="20"/>
          <w:szCs w:val="20"/>
        </w:rPr>
      </w:pPr>
      <w:r>
        <w:rPr>
          <w:vertAlign w:val="superscript"/>
        </w:rPr>
        <w:footnoteRef/>
      </w:r>
      <w:r>
        <w:rPr>
          <w:sz w:val="20"/>
          <w:szCs w:val="20"/>
        </w:rPr>
        <w:t xml:space="preserve"> Pokud tedy budeme dělat Objednávku pro Dopravní rok 2019/2020, budou do výpočtu váženého průměru vstupovat měsíční ceny nafty za říjen, listopad, prosinec 2018 a leden až září 2019 a výkony druhé poloviny prosince 2019 a leden až polovina prosince 2020. Ceny daného měsíce přitom budou konzistentně váženy dopravním výkonem v odpovídajícím měsíci, např. dopravní výkon v lednu 2020 bude vážen cenou nafty z ledna 2019.</w:t>
      </w:r>
    </w:p>
  </w:footnote>
  <w:footnote w:id="2">
    <w:p w:rsidR="008A28E6" w:rsidRDefault="00172DBD">
      <w:pPr>
        <w:spacing w:after="0" w:line="240" w:lineRule="auto"/>
        <w:rPr>
          <w:sz w:val="20"/>
          <w:szCs w:val="20"/>
        </w:rPr>
      </w:pPr>
      <w:r>
        <w:rPr>
          <w:vertAlign w:val="superscript"/>
        </w:rPr>
        <w:footnoteRef/>
      </w:r>
      <w:r>
        <w:rPr>
          <w:sz w:val="20"/>
          <w:szCs w:val="20"/>
        </w:rPr>
        <w:t xml:space="preserve"> Významnou změnou definice cenového indexu se rozumí případ, kdy instituce publikující tento index nezveřejní historii změněného cenového indexu anebo by historické hodnoty změněného indexu implikovaly odlišné meziroční změny cenotvorných položek.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E6"/>
    <w:rsid w:val="000B0079"/>
    <w:rsid w:val="00172DBD"/>
    <w:rsid w:val="002B2810"/>
    <w:rsid w:val="004A3C78"/>
    <w:rsid w:val="0056100A"/>
    <w:rsid w:val="00664B92"/>
    <w:rsid w:val="006A03B7"/>
    <w:rsid w:val="006D2B9D"/>
    <w:rsid w:val="006E3A90"/>
    <w:rsid w:val="00766C31"/>
    <w:rsid w:val="007B676F"/>
    <w:rsid w:val="008A28E6"/>
    <w:rsid w:val="009108AC"/>
    <w:rsid w:val="00A0571A"/>
    <w:rsid w:val="00A5179A"/>
    <w:rsid w:val="00A6524E"/>
    <w:rsid w:val="00B258E8"/>
    <w:rsid w:val="00BF5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shd w:val="clear" w:color="auto" w:fill="D9D9D9"/>
      <w:spacing w:before="420" w:after="180"/>
      <w:ind w:left="432" w:hanging="432"/>
      <w:outlineLvl w:val="0"/>
    </w:pPr>
    <w:rPr>
      <w:b/>
      <w:smallCaps/>
      <w:sz w:val="26"/>
      <w:szCs w:val="26"/>
    </w:rPr>
  </w:style>
  <w:style w:type="paragraph" w:styleId="Nadpis2">
    <w:name w:val="heading 2"/>
    <w:basedOn w:val="Normln"/>
    <w:next w:val="Normln"/>
    <w:uiPriority w:val="9"/>
    <w:semiHidden/>
    <w:unhideWhenUsed/>
    <w:qFormat/>
    <w:pPr>
      <w:keepNext/>
      <w:spacing w:before="240" w:after="120"/>
      <w:ind w:left="578" w:hanging="578"/>
      <w:outlineLvl w:val="1"/>
    </w:pPr>
    <w:rPr>
      <w:b/>
      <w:sz w:val="24"/>
      <w:szCs w:val="24"/>
    </w:rPr>
  </w:style>
  <w:style w:type="paragraph" w:styleId="Nadpis3">
    <w:name w:val="heading 3"/>
    <w:basedOn w:val="Normln"/>
    <w:next w:val="Normln"/>
    <w:uiPriority w:val="9"/>
    <w:semiHidden/>
    <w:unhideWhenUsed/>
    <w:qFormat/>
    <w:pPr>
      <w:keepNext/>
      <w:keepLines/>
      <w:spacing w:before="120" w:after="60"/>
      <w:ind w:left="720" w:hanging="720"/>
      <w:outlineLvl w:val="2"/>
    </w:pPr>
    <w:rPr>
      <w:b/>
    </w:rPr>
  </w:style>
  <w:style w:type="paragraph" w:styleId="Nadpis4">
    <w:name w:val="heading 4"/>
    <w:basedOn w:val="Normln"/>
    <w:next w:val="Normln"/>
    <w:uiPriority w:val="9"/>
    <w:semiHidden/>
    <w:unhideWhenUsed/>
    <w:qFormat/>
    <w:pPr>
      <w:keepNext/>
      <w:keepLines/>
      <w:spacing w:before="200" w:after="0"/>
      <w:ind w:left="864" w:hanging="864"/>
      <w:outlineLvl w:val="3"/>
    </w:pPr>
    <w:rPr>
      <w:rFonts w:ascii="Cambria" w:eastAsia="Cambria" w:hAnsi="Cambria" w:cs="Cambria"/>
      <w:b/>
      <w:i/>
      <w:color w:val="4F81BD"/>
    </w:rPr>
  </w:style>
  <w:style w:type="paragraph" w:styleId="Nadpis5">
    <w:name w:val="heading 5"/>
    <w:basedOn w:val="Normln"/>
    <w:next w:val="Normln"/>
    <w:uiPriority w:val="9"/>
    <w:semiHidden/>
    <w:unhideWhenUsed/>
    <w:qFormat/>
    <w:pPr>
      <w:keepNext/>
      <w:keepLines/>
      <w:spacing w:before="200" w:after="0"/>
      <w:ind w:left="1008" w:hanging="1008"/>
      <w:outlineLvl w:val="4"/>
    </w:pPr>
    <w:rPr>
      <w:rFonts w:ascii="Cambria" w:eastAsia="Cambria" w:hAnsi="Cambria" w:cs="Cambria"/>
      <w:color w:val="243F60"/>
    </w:rPr>
  </w:style>
  <w:style w:type="paragraph" w:styleId="Nadpis6">
    <w:name w:val="heading 6"/>
    <w:basedOn w:val="Normln"/>
    <w:next w:val="Normln"/>
    <w:uiPriority w:val="9"/>
    <w:semiHidden/>
    <w:unhideWhenUsed/>
    <w:qFormat/>
    <w:pPr>
      <w:keepNext/>
      <w:keepLines/>
      <w:spacing w:before="200" w:after="0"/>
      <w:ind w:left="1152" w:hanging="1152"/>
      <w:outlineLvl w:val="5"/>
    </w:pPr>
    <w:rPr>
      <w:rFonts w:ascii="Cambria" w:eastAsia="Cambria" w:hAnsi="Cambria" w:cs="Cambria"/>
      <w:i/>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pPr>
      <w:spacing w:after="0" w:line="240" w:lineRule="auto"/>
    </w:pPr>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70" w:type="dxa"/>
        <w:right w:w="7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258E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58E8"/>
    <w:rPr>
      <w:rFonts w:ascii="Segoe UI" w:hAnsi="Segoe UI" w:cs="Segoe UI"/>
      <w:sz w:val="18"/>
      <w:szCs w:val="18"/>
    </w:rPr>
  </w:style>
  <w:style w:type="table" w:styleId="Mkatabulky">
    <w:name w:val="Table Grid"/>
    <w:basedOn w:val="Normlntabulka"/>
    <w:uiPriority w:val="39"/>
    <w:rsid w:val="0066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D2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2B9D"/>
  </w:style>
  <w:style w:type="paragraph" w:styleId="Zpat">
    <w:name w:val="footer"/>
    <w:basedOn w:val="Normln"/>
    <w:link w:val="ZpatChar"/>
    <w:uiPriority w:val="99"/>
    <w:unhideWhenUsed/>
    <w:rsid w:val="006D2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6D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zso.cz/csu/czso/isc_cr" TargetMode="External"/><Relationship Id="rId13" Type="http://schemas.openxmlformats.org/officeDocument/2006/relationships/hyperlink" Target="https://www.czso.cz/csu/czso/pmz_cr" TargetMode="External"/><Relationship Id="rId18" Type="http://schemas.openxmlformats.org/officeDocument/2006/relationships/hyperlink" Target="https://www.czso.cz/csu/czso/isc_cr" TargetMode="External"/><Relationship Id="rId26" Type="http://schemas.openxmlformats.org/officeDocument/2006/relationships/hyperlink" Target="https://www.czso.cz/csu/czso/isc_cr" TargetMode="External"/><Relationship Id="rId3" Type="http://schemas.openxmlformats.org/officeDocument/2006/relationships/webSettings" Target="webSettings.xml"/><Relationship Id="rId21" Type="http://schemas.openxmlformats.org/officeDocument/2006/relationships/hyperlink" Target="https://www.czso.cz/csu/czso/indexy-spotrebitelskych-cen-zivotnich-nakladu-zakladni-cleneni-cerven-2018" TargetMode="External"/><Relationship Id="rId7" Type="http://schemas.openxmlformats.org/officeDocument/2006/relationships/hyperlink" Target="https://www.czso.cz/csu/czso/isc_cr" TargetMode="External"/><Relationship Id="rId12" Type="http://schemas.openxmlformats.org/officeDocument/2006/relationships/hyperlink" Target="https://www.czso.cz/csu/czso/pmz_cr" TargetMode="External"/><Relationship Id="rId17" Type="http://schemas.openxmlformats.org/officeDocument/2006/relationships/hyperlink" Target="https://www.czso.cz/csu/czso/isc_cr" TargetMode="External"/><Relationship Id="rId25" Type="http://schemas.openxmlformats.org/officeDocument/2006/relationships/hyperlink" Target="https://www.czso.cz/csu/czso/pmz_cr" TargetMode="External"/><Relationship Id="rId2" Type="http://schemas.openxmlformats.org/officeDocument/2006/relationships/settings" Target="settings.xml"/><Relationship Id="rId16" Type="http://schemas.openxmlformats.org/officeDocument/2006/relationships/hyperlink" Target="https://www.czso.cz/csu/czso/isc_cr" TargetMode="External"/><Relationship Id="rId20" Type="http://schemas.openxmlformats.org/officeDocument/2006/relationships/hyperlink" Target="https://www.czso.cz/csu/czso/isc_cr"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zso.cz/csu/czso/indexy-spotrebitelskych-cen-zivotnich-nakladu-zakladni-cleneni-cerven-2018" TargetMode="External"/><Relationship Id="rId11" Type="http://schemas.openxmlformats.org/officeDocument/2006/relationships/hyperlink" Target="http://www.ispv.cz/cz/Vysledky-setreni/Archiv/2017.aspx" TargetMode="External"/><Relationship Id="rId24" Type="http://schemas.openxmlformats.org/officeDocument/2006/relationships/hyperlink" Target="http://www.ispv.cz/cz/Vysledky-setreni/Archiv/2017.aspx" TargetMode="External"/><Relationship Id="rId5" Type="http://schemas.openxmlformats.org/officeDocument/2006/relationships/endnotes" Target="endnotes.xml"/><Relationship Id="rId15" Type="http://schemas.openxmlformats.org/officeDocument/2006/relationships/hyperlink" Target="https://www.czso.cz/csu/czso/pmz_cr" TargetMode="External"/><Relationship Id="rId23" Type="http://schemas.openxmlformats.org/officeDocument/2006/relationships/hyperlink" Target="https://vdb.czso.cz/vdbvo2/faces/cs/index.jsf?page=vystup-objekt&amp;z=T&amp;f=TABULKA&amp;skupId=1451&amp;katalog=31784&amp;pvo=CEN062A&amp;pvo=CEN062A&amp;evo=v1905_!_CEN062-2018_1&amp;evo=v1723_!_TRZSLUklasifikavelek-2_1" TargetMode="External"/><Relationship Id="rId28" Type="http://schemas.openxmlformats.org/officeDocument/2006/relationships/fontTable" Target="fontTable.xml"/><Relationship Id="rId10" Type="http://schemas.openxmlformats.org/officeDocument/2006/relationships/hyperlink" Target="https://vdb.czso.cz/vdbvo2/faces/cs/index.jsf?page=vystup-objekt&amp;z=T&amp;f=TABULKA&amp;skupId=1451&amp;katalog=31784&amp;pvo=CEN062A&amp;pvo=CEN062A&amp;evo=v1905_!_CEN062-2018_1&amp;evo=v1723_!_TRZSLUklasifikavelek-2_1" TargetMode="External"/><Relationship Id="rId19" Type="http://schemas.openxmlformats.org/officeDocument/2006/relationships/hyperlink" Target="https://www.czso.cz/csu/czso/isc_cr" TargetMode="External"/><Relationship Id="rId4" Type="http://schemas.openxmlformats.org/officeDocument/2006/relationships/footnotes" Target="footnotes.xml"/><Relationship Id="rId9" Type="http://schemas.openxmlformats.org/officeDocument/2006/relationships/hyperlink" Target="https://www.czso.cz/csu/czso/ipc_cr" TargetMode="External"/><Relationship Id="rId14" Type="http://schemas.openxmlformats.org/officeDocument/2006/relationships/hyperlink" Target="http://www.ispv.cz/cz/Vysledky-setreni/Archiv/2017.aspx" TargetMode="External"/><Relationship Id="rId22" Type="http://schemas.openxmlformats.org/officeDocument/2006/relationships/hyperlink" Target="https://www.czso.cz/csu/czso/ipc_c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7497</Words>
  <Characters>44233</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2018-10-25T06:56:00Z</dcterms:created>
  <dcterms:modified xsi:type="dcterms:W3CDTF">2018-10-25T06:56:00Z</dcterms:modified>
</cp:coreProperties>
</file>