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67" w:rsidRDefault="00493067">
      <w:pPr>
        <w:pBdr>
          <w:top w:val="nil"/>
          <w:left w:val="nil"/>
          <w:bottom w:val="nil"/>
          <w:right w:val="nil"/>
          <w:between w:val="nil"/>
        </w:pBdr>
        <w:jc w:val="center"/>
        <w:rPr>
          <w:rFonts w:ascii="Arial" w:eastAsia="Arial" w:hAnsi="Arial" w:cs="Arial"/>
          <w:b/>
        </w:rPr>
      </w:pPr>
    </w:p>
    <w:p w:rsidR="00493067" w:rsidRDefault="00581DB8">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SMLOUVA</w:t>
      </w:r>
    </w:p>
    <w:p w:rsidR="00493067" w:rsidRDefault="00581DB8">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o poskytování komplexních služeb BOZP a PO </w:t>
      </w:r>
    </w:p>
    <w:p w:rsidR="00493067" w:rsidRDefault="00493067">
      <w:pPr>
        <w:pBdr>
          <w:top w:val="nil"/>
          <w:left w:val="nil"/>
          <w:bottom w:val="nil"/>
          <w:right w:val="nil"/>
          <w:between w:val="nil"/>
        </w:pBdr>
        <w:rPr>
          <w:rFonts w:ascii="Arial" w:eastAsia="Arial" w:hAnsi="Arial" w:cs="Arial"/>
          <w:color w:val="000000"/>
        </w:rPr>
      </w:pPr>
    </w:p>
    <w:p w:rsidR="00493067" w:rsidRDefault="00581DB8">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Smluvní strany:</w:t>
      </w:r>
    </w:p>
    <w:p w:rsidR="00493067" w:rsidRDefault="00581DB8">
      <w:pPr>
        <w:numPr>
          <w:ilvl w:val="0"/>
          <w:numId w:val="1"/>
        </w:numPr>
        <w:pBdr>
          <w:top w:val="nil"/>
          <w:left w:val="nil"/>
          <w:bottom w:val="nil"/>
          <w:right w:val="nil"/>
          <w:between w:val="nil"/>
        </w:pBdr>
        <w:tabs>
          <w:tab w:val="left" w:pos="709"/>
          <w:tab w:val="left" w:pos="2552"/>
        </w:tabs>
        <w:ind w:left="720"/>
        <w:jc w:val="both"/>
        <w:rPr>
          <w:rFonts w:ascii="Arial" w:eastAsia="Arial" w:hAnsi="Arial" w:cs="Arial"/>
          <w:color w:val="000000"/>
        </w:rPr>
      </w:pPr>
      <w:r>
        <w:rPr>
          <w:rFonts w:ascii="Arial" w:eastAsia="Arial" w:hAnsi="Arial" w:cs="Arial"/>
          <w:b/>
          <w:color w:val="262626"/>
        </w:rPr>
        <w:t xml:space="preserve">Název školy: </w:t>
      </w:r>
      <w:r>
        <w:rPr>
          <w:rFonts w:ascii="Arial" w:eastAsia="Arial" w:hAnsi="Arial" w:cs="Arial"/>
          <w:b/>
          <w:color w:val="262626"/>
        </w:rPr>
        <w:tab/>
        <w:t xml:space="preserve">Základní umělecká škola </w:t>
      </w:r>
      <w:proofErr w:type="gramStart"/>
      <w:r>
        <w:rPr>
          <w:rFonts w:ascii="Arial" w:eastAsia="Arial" w:hAnsi="Arial" w:cs="Arial"/>
          <w:b/>
          <w:color w:val="262626"/>
        </w:rPr>
        <w:t>Varnsdorf,  Národní</w:t>
      </w:r>
      <w:proofErr w:type="gramEnd"/>
      <w:r>
        <w:rPr>
          <w:rFonts w:ascii="Arial" w:eastAsia="Arial" w:hAnsi="Arial" w:cs="Arial"/>
          <w:b/>
          <w:color w:val="262626"/>
        </w:rPr>
        <w:t xml:space="preserve"> 512, příspěvková organizace   </w:t>
      </w:r>
    </w:p>
    <w:p w:rsidR="00493067" w:rsidRDefault="00581DB8">
      <w:pPr>
        <w:pBdr>
          <w:top w:val="nil"/>
          <w:left w:val="nil"/>
          <w:bottom w:val="nil"/>
          <w:right w:val="nil"/>
          <w:between w:val="nil"/>
        </w:pBdr>
        <w:tabs>
          <w:tab w:val="left" w:pos="709"/>
          <w:tab w:val="left" w:pos="2552"/>
        </w:tabs>
        <w:ind w:left="720"/>
        <w:jc w:val="both"/>
        <w:rPr>
          <w:rFonts w:ascii="Arial" w:eastAsia="Arial" w:hAnsi="Arial" w:cs="Arial"/>
          <w:color w:val="000000"/>
        </w:rPr>
      </w:pPr>
      <w:r>
        <w:rPr>
          <w:rFonts w:ascii="Arial" w:eastAsia="Arial" w:hAnsi="Arial" w:cs="Arial"/>
          <w:color w:val="000000"/>
        </w:rPr>
        <w:t xml:space="preserve">Se sídlem v: </w:t>
      </w:r>
      <w:r>
        <w:rPr>
          <w:rFonts w:ascii="Arial" w:eastAsia="Arial" w:hAnsi="Arial" w:cs="Arial"/>
          <w:color w:val="000000"/>
        </w:rPr>
        <w:tab/>
        <w:t>Národní 512</w:t>
      </w:r>
      <w:r>
        <w:rPr>
          <w:rFonts w:ascii="Arial" w:eastAsia="Arial" w:hAnsi="Arial" w:cs="Arial"/>
          <w:color w:val="000000"/>
          <w:highlight w:val="white"/>
        </w:rPr>
        <w:t>, 407 47 Varnsdorf</w:t>
      </w:r>
    </w:p>
    <w:p w:rsidR="00493067" w:rsidRDefault="00581DB8">
      <w:pPr>
        <w:pBdr>
          <w:top w:val="nil"/>
          <w:left w:val="nil"/>
          <w:bottom w:val="nil"/>
          <w:right w:val="nil"/>
          <w:between w:val="nil"/>
        </w:pBdr>
        <w:tabs>
          <w:tab w:val="left" w:pos="2552"/>
        </w:tabs>
        <w:ind w:left="720"/>
        <w:jc w:val="both"/>
        <w:rPr>
          <w:rFonts w:ascii="Arial" w:eastAsia="Arial" w:hAnsi="Arial" w:cs="Arial"/>
          <w:color w:val="000000"/>
          <w:highlight w:val="white"/>
        </w:rPr>
      </w:pPr>
      <w:r>
        <w:rPr>
          <w:rFonts w:ascii="Arial" w:eastAsia="Arial" w:hAnsi="Arial" w:cs="Arial"/>
          <w:color w:val="000000"/>
        </w:rPr>
        <w:t xml:space="preserve">IČ: </w:t>
      </w:r>
      <w:r>
        <w:rPr>
          <w:rFonts w:ascii="Arial" w:eastAsia="Arial" w:hAnsi="Arial" w:cs="Arial"/>
          <w:color w:val="000000"/>
          <w:highlight w:val="white"/>
        </w:rPr>
        <w:tab/>
        <w:t>65081803</w:t>
      </w:r>
    </w:p>
    <w:p w:rsidR="00493067" w:rsidRDefault="00581DB8">
      <w:pPr>
        <w:pBdr>
          <w:top w:val="nil"/>
          <w:left w:val="nil"/>
          <w:bottom w:val="nil"/>
          <w:right w:val="nil"/>
          <w:between w:val="nil"/>
        </w:pBdr>
        <w:tabs>
          <w:tab w:val="left" w:pos="2552"/>
        </w:tabs>
        <w:ind w:left="720"/>
        <w:jc w:val="both"/>
        <w:rPr>
          <w:rFonts w:ascii="Arial" w:eastAsia="Arial" w:hAnsi="Arial" w:cs="Arial"/>
          <w:color w:val="000000"/>
        </w:rPr>
      </w:pPr>
      <w:r>
        <w:rPr>
          <w:rFonts w:ascii="Arial" w:eastAsia="Arial" w:hAnsi="Arial" w:cs="Arial"/>
          <w:color w:val="000000"/>
        </w:rPr>
        <w:t xml:space="preserve">DIČ: </w:t>
      </w:r>
      <w:r>
        <w:rPr>
          <w:rFonts w:ascii="Arial" w:eastAsia="Arial" w:hAnsi="Arial" w:cs="Arial"/>
          <w:color w:val="000000"/>
        </w:rPr>
        <w:tab/>
      </w:r>
    </w:p>
    <w:p w:rsidR="00493067" w:rsidRDefault="00581DB8">
      <w:pPr>
        <w:pBdr>
          <w:top w:val="nil"/>
          <w:left w:val="nil"/>
          <w:bottom w:val="nil"/>
          <w:right w:val="nil"/>
          <w:between w:val="nil"/>
        </w:pBdr>
        <w:tabs>
          <w:tab w:val="left" w:pos="2552"/>
        </w:tabs>
        <w:ind w:left="720"/>
        <w:jc w:val="both"/>
        <w:rPr>
          <w:rFonts w:ascii="Arial" w:eastAsia="Arial" w:hAnsi="Arial" w:cs="Arial"/>
          <w:color w:val="000000"/>
        </w:rPr>
      </w:pPr>
      <w:r>
        <w:rPr>
          <w:rFonts w:ascii="Arial" w:eastAsia="Arial" w:hAnsi="Arial" w:cs="Arial"/>
          <w:color w:val="000000"/>
        </w:rPr>
        <w:t xml:space="preserve">Bankovní spojení: </w:t>
      </w:r>
      <w:r w:rsidR="003D1B5A">
        <w:rPr>
          <w:rFonts w:ascii="Arial" w:eastAsia="Arial" w:hAnsi="Arial" w:cs="Arial"/>
          <w:color w:val="000000"/>
        </w:rPr>
        <w:tab/>
        <w:t>ČSOB</w:t>
      </w:r>
    </w:p>
    <w:p w:rsidR="00493067" w:rsidRDefault="00581DB8">
      <w:pPr>
        <w:pBdr>
          <w:top w:val="nil"/>
          <w:left w:val="nil"/>
          <w:bottom w:val="nil"/>
          <w:right w:val="nil"/>
          <w:between w:val="nil"/>
        </w:pBdr>
        <w:tabs>
          <w:tab w:val="left" w:pos="2552"/>
        </w:tabs>
        <w:ind w:left="720"/>
        <w:jc w:val="both"/>
        <w:rPr>
          <w:rFonts w:ascii="Arial" w:eastAsia="Arial" w:hAnsi="Arial" w:cs="Arial"/>
          <w:color w:val="000000"/>
        </w:rPr>
      </w:pPr>
      <w:r>
        <w:rPr>
          <w:rFonts w:ascii="Arial" w:eastAsia="Arial" w:hAnsi="Arial" w:cs="Arial"/>
          <w:color w:val="000000"/>
        </w:rPr>
        <w:t xml:space="preserve">Účet číslo: </w:t>
      </w:r>
      <w:r>
        <w:rPr>
          <w:rFonts w:ascii="Arial" w:eastAsia="Arial" w:hAnsi="Arial" w:cs="Arial"/>
          <w:color w:val="000000"/>
        </w:rPr>
        <w:tab/>
      </w:r>
    </w:p>
    <w:p w:rsidR="00493067" w:rsidRDefault="00581DB8" w:rsidP="007F6846">
      <w:pPr>
        <w:pBdr>
          <w:top w:val="nil"/>
          <w:left w:val="nil"/>
          <w:bottom w:val="nil"/>
          <w:right w:val="nil"/>
          <w:between w:val="nil"/>
        </w:pBdr>
        <w:tabs>
          <w:tab w:val="left" w:pos="2552"/>
        </w:tabs>
        <w:ind w:left="709"/>
        <w:rPr>
          <w:rFonts w:ascii="Arial" w:eastAsia="Arial" w:hAnsi="Arial" w:cs="Arial"/>
          <w:color w:val="000000"/>
        </w:rPr>
      </w:pPr>
      <w:r>
        <w:rPr>
          <w:rFonts w:ascii="Arial" w:eastAsia="Arial" w:hAnsi="Arial" w:cs="Arial"/>
          <w:color w:val="000000"/>
        </w:rPr>
        <w:t xml:space="preserve">Zastoupená:  </w:t>
      </w:r>
      <w:r>
        <w:rPr>
          <w:rFonts w:ascii="Arial" w:eastAsia="Arial" w:hAnsi="Arial" w:cs="Arial"/>
          <w:color w:val="000000"/>
        </w:rPr>
        <w:tab/>
      </w:r>
    </w:p>
    <w:p w:rsidR="00493067" w:rsidRDefault="00493067">
      <w:pPr>
        <w:pBdr>
          <w:top w:val="nil"/>
          <w:left w:val="nil"/>
          <w:bottom w:val="nil"/>
          <w:right w:val="nil"/>
          <w:between w:val="nil"/>
        </w:pBdr>
        <w:tabs>
          <w:tab w:val="left" w:pos="2552"/>
        </w:tabs>
        <w:ind w:left="2127"/>
        <w:rPr>
          <w:rFonts w:ascii="Arial" w:eastAsia="Arial" w:hAnsi="Arial" w:cs="Arial"/>
          <w:color w:val="000000"/>
          <w:highlight w:val="white"/>
        </w:rPr>
      </w:pPr>
    </w:p>
    <w:p w:rsidR="00493067" w:rsidRDefault="00581DB8">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(dále jen jako „</w:t>
      </w:r>
      <w:r>
        <w:rPr>
          <w:rFonts w:ascii="Arial" w:eastAsia="Arial" w:hAnsi="Arial" w:cs="Arial"/>
          <w:b/>
          <w:color w:val="000000"/>
        </w:rPr>
        <w:t>objednatel</w:t>
      </w:r>
      <w:r>
        <w:rPr>
          <w:rFonts w:ascii="Arial" w:eastAsia="Arial" w:hAnsi="Arial" w:cs="Arial"/>
          <w:color w:val="000000"/>
        </w:rPr>
        <w:t>“)</w:t>
      </w:r>
    </w:p>
    <w:p w:rsidR="00493067" w:rsidRDefault="00493067">
      <w:pPr>
        <w:pBdr>
          <w:top w:val="nil"/>
          <w:left w:val="nil"/>
          <w:bottom w:val="nil"/>
          <w:right w:val="nil"/>
          <w:between w:val="nil"/>
        </w:pBdr>
        <w:jc w:val="both"/>
        <w:rPr>
          <w:rFonts w:ascii="Arial" w:eastAsia="Arial" w:hAnsi="Arial" w:cs="Arial"/>
          <w:color w:val="000000"/>
        </w:rPr>
      </w:pPr>
    </w:p>
    <w:p w:rsidR="00493067" w:rsidRDefault="00581DB8">
      <w:pPr>
        <w:pBdr>
          <w:top w:val="nil"/>
          <w:left w:val="nil"/>
          <w:bottom w:val="nil"/>
          <w:right w:val="nil"/>
          <w:between w:val="nil"/>
        </w:pBdr>
        <w:spacing w:after="120"/>
        <w:ind w:left="709"/>
        <w:jc w:val="center"/>
        <w:rPr>
          <w:rFonts w:ascii="Arial" w:eastAsia="Arial" w:hAnsi="Arial" w:cs="Arial"/>
          <w:color w:val="000000"/>
        </w:rPr>
      </w:pPr>
      <w:r>
        <w:rPr>
          <w:rFonts w:ascii="Arial" w:eastAsia="Arial" w:hAnsi="Arial" w:cs="Arial"/>
          <w:color w:val="000000"/>
        </w:rPr>
        <w:t>A</w:t>
      </w:r>
    </w:p>
    <w:p w:rsidR="00493067" w:rsidRDefault="00493067">
      <w:pPr>
        <w:pBdr>
          <w:top w:val="nil"/>
          <w:left w:val="nil"/>
          <w:bottom w:val="nil"/>
          <w:right w:val="nil"/>
          <w:between w:val="nil"/>
        </w:pBdr>
        <w:spacing w:after="120"/>
        <w:ind w:left="709"/>
        <w:jc w:val="center"/>
        <w:rPr>
          <w:rFonts w:ascii="Arial" w:eastAsia="Arial" w:hAnsi="Arial" w:cs="Arial"/>
          <w:color w:val="000000"/>
        </w:rPr>
      </w:pPr>
    </w:p>
    <w:p w:rsidR="00493067" w:rsidRDefault="00581DB8">
      <w:pPr>
        <w:pBdr>
          <w:top w:val="nil"/>
          <w:left w:val="nil"/>
          <w:bottom w:val="nil"/>
          <w:right w:val="nil"/>
          <w:between w:val="nil"/>
        </w:pBdr>
        <w:tabs>
          <w:tab w:val="left" w:pos="2552"/>
        </w:tabs>
        <w:ind w:left="720"/>
        <w:jc w:val="both"/>
        <w:rPr>
          <w:rFonts w:ascii="Arial" w:eastAsia="Arial" w:hAnsi="Arial" w:cs="Arial"/>
          <w:color w:val="000000"/>
        </w:rPr>
      </w:pPr>
      <w:r>
        <w:rPr>
          <w:rFonts w:ascii="Arial" w:eastAsia="Arial" w:hAnsi="Arial" w:cs="Arial"/>
          <w:b/>
          <w:color w:val="000000"/>
        </w:rPr>
        <w:t xml:space="preserve">Název/Firma: </w:t>
      </w:r>
      <w:r>
        <w:rPr>
          <w:rFonts w:ascii="Arial" w:eastAsia="Arial" w:hAnsi="Arial" w:cs="Arial"/>
          <w:b/>
          <w:color w:val="000000"/>
        </w:rPr>
        <w:tab/>
        <w:t>DCT International s.r.o.</w:t>
      </w:r>
    </w:p>
    <w:p w:rsidR="00493067" w:rsidRDefault="00581DB8">
      <w:pPr>
        <w:pBdr>
          <w:top w:val="nil"/>
          <w:left w:val="nil"/>
          <w:bottom w:val="nil"/>
          <w:right w:val="nil"/>
          <w:between w:val="nil"/>
        </w:pBdr>
        <w:tabs>
          <w:tab w:val="left" w:pos="2552"/>
        </w:tabs>
        <w:ind w:firstLine="720"/>
        <w:jc w:val="both"/>
        <w:rPr>
          <w:rFonts w:ascii="Arial" w:eastAsia="Arial" w:hAnsi="Arial" w:cs="Arial"/>
          <w:color w:val="000000"/>
        </w:rPr>
      </w:pPr>
      <w:r>
        <w:rPr>
          <w:rFonts w:ascii="Arial" w:eastAsia="Arial" w:hAnsi="Arial" w:cs="Arial"/>
          <w:color w:val="000000"/>
        </w:rPr>
        <w:t xml:space="preserve">Se sídlem v: </w:t>
      </w:r>
      <w:r>
        <w:rPr>
          <w:rFonts w:ascii="Arial" w:eastAsia="Arial" w:hAnsi="Arial" w:cs="Arial"/>
          <w:color w:val="000000"/>
        </w:rPr>
        <w:tab/>
      </w:r>
      <w:r>
        <w:rPr>
          <w:rFonts w:ascii="Arial" w:eastAsia="Arial" w:hAnsi="Arial" w:cs="Arial"/>
          <w:color w:val="000000"/>
          <w:highlight w:val="white"/>
        </w:rPr>
        <w:t>Venušina 534/7, Liberec I. - Staré Město, 460 01 Liberec</w:t>
      </w:r>
    </w:p>
    <w:p w:rsidR="00493067" w:rsidRDefault="00581DB8">
      <w:pPr>
        <w:pBdr>
          <w:top w:val="nil"/>
          <w:left w:val="nil"/>
          <w:bottom w:val="nil"/>
          <w:right w:val="nil"/>
          <w:between w:val="nil"/>
        </w:pBdr>
        <w:tabs>
          <w:tab w:val="left" w:pos="2552"/>
        </w:tabs>
        <w:ind w:left="2552" w:hanging="1832"/>
        <w:jc w:val="both"/>
        <w:rPr>
          <w:rFonts w:ascii="Arial" w:eastAsia="Arial" w:hAnsi="Arial" w:cs="Arial"/>
          <w:color w:val="000000"/>
        </w:rPr>
      </w:pPr>
      <w:r>
        <w:rPr>
          <w:rFonts w:ascii="Arial" w:eastAsia="Arial" w:hAnsi="Arial" w:cs="Arial"/>
          <w:color w:val="000000"/>
        </w:rPr>
        <w:tab/>
        <w:t xml:space="preserve">Zapsaná: </w:t>
      </w:r>
      <w:r>
        <w:rPr>
          <w:rFonts w:ascii="Arial" w:eastAsia="Arial" w:hAnsi="Arial" w:cs="Arial"/>
          <w:color w:val="000000"/>
          <w:highlight w:val="white"/>
        </w:rPr>
        <w:t>zapsána v OR vedeného Krajským soudem v Ústí nad Labem oddíl C, vložka 32909</w:t>
      </w:r>
    </w:p>
    <w:p w:rsidR="00493067" w:rsidRDefault="00581DB8">
      <w:pPr>
        <w:pBdr>
          <w:top w:val="nil"/>
          <w:left w:val="nil"/>
          <w:bottom w:val="nil"/>
          <w:right w:val="nil"/>
          <w:between w:val="nil"/>
        </w:pBdr>
        <w:tabs>
          <w:tab w:val="left" w:pos="2552"/>
        </w:tabs>
        <w:ind w:firstLine="720"/>
        <w:jc w:val="both"/>
        <w:rPr>
          <w:rFonts w:ascii="Arial" w:eastAsia="Arial" w:hAnsi="Arial" w:cs="Arial"/>
          <w:color w:val="000000"/>
        </w:rPr>
      </w:pPr>
      <w:r>
        <w:rPr>
          <w:rFonts w:ascii="Arial" w:eastAsia="Arial" w:hAnsi="Arial" w:cs="Arial"/>
          <w:color w:val="000000"/>
        </w:rPr>
        <w:t xml:space="preserve">IČ: </w:t>
      </w:r>
      <w:r>
        <w:rPr>
          <w:rFonts w:ascii="Arial" w:eastAsia="Arial" w:hAnsi="Arial" w:cs="Arial"/>
          <w:color w:val="000000"/>
        </w:rPr>
        <w:tab/>
      </w:r>
      <w:r>
        <w:rPr>
          <w:rFonts w:ascii="Arial" w:eastAsia="Arial" w:hAnsi="Arial" w:cs="Arial"/>
          <w:color w:val="000000"/>
          <w:highlight w:val="white"/>
        </w:rPr>
        <w:t>241 78 136</w:t>
      </w:r>
    </w:p>
    <w:p w:rsidR="00493067" w:rsidRDefault="00581DB8">
      <w:pPr>
        <w:pBdr>
          <w:top w:val="nil"/>
          <w:left w:val="nil"/>
          <w:bottom w:val="nil"/>
          <w:right w:val="nil"/>
          <w:between w:val="nil"/>
        </w:pBdr>
        <w:tabs>
          <w:tab w:val="left" w:pos="2552"/>
        </w:tabs>
        <w:ind w:firstLine="720"/>
        <w:jc w:val="both"/>
        <w:rPr>
          <w:rFonts w:ascii="Arial" w:eastAsia="Arial" w:hAnsi="Arial" w:cs="Arial"/>
          <w:color w:val="000000"/>
        </w:rPr>
      </w:pPr>
      <w:r>
        <w:rPr>
          <w:rFonts w:ascii="Arial" w:eastAsia="Arial" w:hAnsi="Arial" w:cs="Arial"/>
          <w:color w:val="000000"/>
        </w:rPr>
        <w:t xml:space="preserve">DIČ: </w:t>
      </w:r>
      <w:r>
        <w:rPr>
          <w:rFonts w:ascii="Arial" w:eastAsia="Arial" w:hAnsi="Arial" w:cs="Arial"/>
          <w:color w:val="000000"/>
        </w:rPr>
        <w:tab/>
      </w:r>
      <w:r>
        <w:rPr>
          <w:rFonts w:ascii="Arial" w:eastAsia="Arial" w:hAnsi="Arial" w:cs="Arial"/>
          <w:color w:val="000000"/>
          <w:highlight w:val="white"/>
        </w:rPr>
        <w:t>CZ 24178136</w:t>
      </w:r>
    </w:p>
    <w:p w:rsidR="00493067" w:rsidRDefault="00581DB8">
      <w:pPr>
        <w:pBdr>
          <w:top w:val="nil"/>
          <w:left w:val="nil"/>
          <w:bottom w:val="nil"/>
          <w:right w:val="nil"/>
          <w:between w:val="nil"/>
        </w:pBdr>
        <w:tabs>
          <w:tab w:val="left" w:pos="2552"/>
        </w:tabs>
        <w:ind w:firstLine="720"/>
        <w:jc w:val="both"/>
        <w:rPr>
          <w:rFonts w:ascii="Arial" w:eastAsia="Arial" w:hAnsi="Arial" w:cs="Arial"/>
          <w:color w:val="000000"/>
        </w:rPr>
      </w:pPr>
      <w:r>
        <w:rPr>
          <w:rFonts w:ascii="Arial" w:eastAsia="Arial" w:hAnsi="Arial" w:cs="Arial"/>
          <w:color w:val="000000"/>
        </w:rPr>
        <w:t xml:space="preserve">Bankovní spojení: </w:t>
      </w:r>
      <w:r>
        <w:rPr>
          <w:rFonts w:ascii="Arial" w:eastAsia="Arial" w:hAnsi="Arial" w:cs="Arial"/>
          <w:color w:val="000000"/>
        </w:rPr>
        <w:tab/>
        <w:t>Komerční banka a.s., Vrchlického 99/4, 408 01 Rumburk</w:t>
      </w:r>
    </w:p>
    <w:p w:rsidR="00493067" w:rsidRDefault="00581DB8">
      <w:pPr>
        <w:pBdr>
          <w:top w:val="nil"/>
          <w:left w:val="nil"/>
          <w:bottom w:val="nil"/>
          <w:right w:val="nil"/>
          <w:between w:val="nil"/>
        </w:pBdr>
        <w:tabs>
          <w:tab w:val="left" w:pos="2552"/>
        </w:tabs>
        <w:ind w:firstLine="720"/>
        <w:jc w:val="both"/>
        <w:rPr>
          <w:rFonts w:ascii="Arial" w:eastAsia="Arial" w:hAnsi="Arial" w:cs="Arial"/>
          <w:color w:val="000000"/>
        </w:rPr>
      </w:pPr>
      <w:r>
        <w:rPr>
          <w:rFonts w:ascii="Arial" w:eastAsia="Arial" w:hAnsi="Arial" w:cs="Arial"/>
          <w:color w:val="000000"/>
        </w:rPr>
        <w:t xml:space="preserve">Účet číslo: </w:t>
      </w:r>
      <w:r>
        <w:rPr>
          <w:rFonts w:ascii="Arial" w:eastAsia="Arial" w:hAnsi="Arial" w:cs="Arial"/>
          <w:color w:val="000000"/>
        </w:rPr>
        <w:tab/>
      </w:r>
    </w:p>
    <w:p w:rsidR="00493067" w:rsidRDefault="00581DB8">
      <w:pPr>
        <w:pBdr>
          <w:top w:val="nil"/>
          <w:left w:val="nil"/>
          <w:bottom w:val="nil"/>
          <w:right w:val="nil"/>
          <w:between w:val="nil"/>
        </w:pBdr>
        <w:tabs>
          <w:tab w:val="left" w:pos="2552"/>
        </w:tabs>
        <w:ind w:firstLine="720"/>
        <w:jc w:val="both"/>
        <w:rPr>
          <w:rFonts w:ascii="Arial" w:eastAsia="Arial" w:hAnsi="Arial" w:cs="Arial"/>
          <w:color w:val="000000"/>
        </w:rPr>
      </w:pPr>
      <w:r>
        <w:rPr>
          <w:rFonts w:ascii="Arial" w:eastAsia="Arial" w:hAnsi="Arial" w:cs="Arial"/>
          <w:color w:val="000000"/>
        </w:rPr>
        <w:t xml:space="preserve">Zastoupená: </w:t>
      </w:r>
      <w:r>
        <w:rPr>
          <w:rFonts w:ascii="Arial" w:eastAsia="Arial" w:hAnsi="Arial" w:cs="Arial"/>
          <w:color w:val="000000"/>
        </w:rPr>
        <w:tab/>
      </w:r>
    </w:p>
    <w:p w:rsidR="00493067" w:rsidRDefault="00581DB8" w:rsidP="007F6846">
      <w:pPr>
        <w:pBdr>
          <w:top w:val="nil"/>
          <w:left w:val="nil"/>
          <w:bottom w:val="nil"/>
          <w:right w:val="nil"/>
          <w:between w:val="nil"/>
        </w:pBdr>
        <w:tabs>
          <w:tab w:val="left" w:pos="2552"/>
        </w:tabs>
        <w:jc w:val="both"/>
        <w:rPr>
          <w:rFonts w:ascii="Arial" w:eastAsia="Arial" w:hAnsi="Arial" w:cs="Arial"/>
          <w:color w:val="000000"/>
        </w:rPr>
      </w:pPr>
      <w:r>
        <w:rPr>
          <w:rFonts w:ascii="Arial" w:eastAsia="Arial" w:hAnsi="Arial" w:cs="Arial"/>
          <w:color w:val="000000"/>
        </w:rPr>
        <w:t xml:space="preserve">              Kontaktní osoba:</w:t>
      </w:r>
      <w:r>
        <w:rPr>
          <w:rFonts w:ascii="Arial" w:eastAsia="Arial" w:hAnsi="Arial" w:cs="Arial"/>
          <w:color w:val="000000"/>
        </w:rPr>
        <w:tab/>
      </w:r>
    </w:p>
    <w:p w:rsidR="007F6846" w:rsidRDefault="007F6846" w:rsidP="007F6846">
      <w:pPr>
        <w:pBdr>
          <w:top w:val="nil"/>
          <w:left w:val="nil"/>
          <w:bottom w:val="nil"/>
          <w:right w:val="nil"/>
          <w:between w:val="nil"/>
        </w:pBdr>
        <w:tabs>
          <w:tab w:val="left" w:pos="2552"/>
        </w:tabs>
        <w:jc w:val="both"/>
        <w:rPr>
          <w:rFonts w:ascii="Arial" w:eastAsia="Arial" w:hAnsi="Arial" w:cs="Arial"/>
          <w:color w:val="000000"/>
        </w:rPr>
      </w:pPr>
    </w:p>
    <w:p w:rsidR="00493067" w:rsidRDefault="00581DB8">
      <w:pPr>
        <w:pBdr>
          <w:top w:val="nil"/>
          <w:left w:val="nil"/>
          <w:bottom w:val="nil"/>
          <w:right w:val="nil"/>
          <w:between w:val="nil"/>
        </w:pBdr>
        <w:tabs>
          <w:tab w:val="left" w:pos="2552"/>
        </w:tabs>
        <w:jc w:val="both"/>
        <w:rPr>
          <w:rFonts w:ascii="Arial" w:eastAsia="Arial" w:hAnsi="Arial" w:cs="Arial"/>
          <w:color w:val="000000"/>
        </w:rPr>
      </w:pPr>
      <w:r>
        <w:rPr>
          <w:rFonts w:ascii="Arial" w:eastAsia="Arial" w:hAnsi="Arial" w:cs="Arial"/>
          <w:color w:val="000000"/>
        </w:rPr>
        <w:t xml:space="preserve">              Plátce DPH: </w:t>
      </w:r>
      <w:r>
        <w:rPr>
          <w:rFonts w:ascii="Arial" w:eastAsia="Arial" w:hAnsi="Arial" w:cs="Arial"/>
          <w:color w:val="000000"/>
        </w:rPr>
        <w:tab/>
        <w:t>Ano</w:t>
      </w:r>
    </w:p>
    <w:p w:rsidR="00493067" w:rsidRDefault="00581DB8">
      <w:pPr>
        <w:pBdr>
          <w:top w:val="nil"/>
          <w:left w:val="nil"/>
          <w:bottom w:val="nil"/>
          <w:right w:val="nil"/>
          <w:between w:val="nil"/>
        </w:pBdr>
        <w:tabs>
          <w:tab w:val="left" w:pos="2268"/>
        </w:tabs>
        <w:ind w:firstLine="720"/>
        <w:jc w:val="both"/>
        <w:rPr>
          <w:rFonts w:ascii="Arial" w:eastAsia="Arial" w:hAnsi="Arial" w:cs="Arial"/>
          <w:color w:val="000000"/>
        </w:rPr>
      </w:pPr>
      <w:r>
        <w:rPr>
          <w:rFonts w:ascii="Arial" w:eastAsia="Arial" w:hAnsi="Arial" w:cs="Arial"/>
          <w:color w:val="000000"/>
        </w:rPr>
        <w:t>(dále jen jako „</w:t>
      </w:r>
      <w:r>
        <w:rPr>
          <w:rFonts w:ascii="Arial" w:eastAsia="Arial" w:hAnsi="Arial" w:cs="Arial"/>
          <w:b/>
          <w:color w:val="000000"/>
        </w:rPr>
        <w:t>poskytovatel</w:t>
      </w:r>
      <w:r>
        <w:rPr>
          <w:rFonts w:ascii="Arial" w:eastAsia="Arial" w:hAnsi="Arial" w:cs="Arial"/>
          <w:color w:val="000000"/>
        </w:rPr>
        <w:t>“)</w:t>
      </w:r>
    </w:p>
    <w:p w:rsidR="00493067" w:rsidRDefault="00493067">
      <w:pPr>
        <w:pBdr>
          <w:top w:val="nil"/>
          <w:left w:val="nil"/>
          <w:bottom w:val="nil"/>
          <w:right w:val="nil"/>
          <w:between w:val="nil"/>
        </w:pBdr>
        <w:jc w:val="both"/>
        <w:rPr>
          <w:rFonts w:ascii="Arial" w:eastAsia="Arial" w:hAnsi="Arial" w:cs="Arial"/>
          <w:color w:val="000000"/>
        </w:rPr>
      </w:pPr>
    </w:p>
    <w:p w:rsidR="00493067" w:rsidRDefault="00581DB8">
      <w:pPr>
        <w:pBdr>
          <w:top w:val="nil"/>
          <w:left w:val="nil"/>
          <w:bottom w:val="nil"/>
          <w:right w:val="nil"/>
          <w:between w:val="nil"/>
        </w:pBdr>
        <w:ind w:left="708" w:firstLine="12"/>
        <w:jc w:val="both"/>
        <w:rPr>
          <w:rFonts w:ascii="Arial" w:eastAsia="Arial" w:hAnsi="Arial" w:cs="Arial"/>
          <w:color w:val="000000"/>
        </w:rPr>
      </w:pPr>
      <w:r>
        <w:rPr>
          <w:rFonts w:ascii="Arial" w:eastAsia="Arial" w:hAnsi="Arial" w:cs="Arial"/>
          <w:color w:val="000000"/>
        </w:rPr>
        <w:t>mezi sebou uzavírají následující smlouvu na poskytování služeb (dále jen „</w:t>
      </w:r>
      <w:r>
        <w:rPr>
          <w:rFonts w:ascii="Arial" w:eastAsia="Arial" w:hAnsi="Arial" w:cs="Arial"/>
          <w:b/>
          <w:color w:val="000000"/>
        </w:rPr>
        <w:t>smlouva</w:t>
      </w:r>
      <w:r>
        <w:rPr>
          <w:rFonts w:ascii="Arial" w:eastAsia="Arial" w:hAnsi="Arial" w:cs="Arial"/>
          <w:color w:val="000000"/>
        </w:rPr>
        <w:t>“):</w:t>
      </w:r>
    </w:p>
    <w:p w:rsidR="00493067" w:rsidRDefault="00493067">
      <w:pPr>
        <w:pBdr>
          <w:top w:val="nil"/>
          <w:left w:val="nil"/>
          <w:bottom w:val="nil"/>
          <w:right w:val="nil"/>
          <w:between w:val="nil"/>
        </w:pBdr>
        <w:ind w:left="708" w:firstLine="12"/>
        <w:jc w:val="both"/>
        <w:rPr>
          <w:rFonts w:ascii="Arial" w:eastAsia="Arial" w:hAnsi="Arial" w:cs="Arial"/>
          <w:color w:val="000000"/>
        </w:rPr>
      </w:pPr>
    </w:p>
    <w:p w:rsidR="003D1B5A" w:rsidRDefault="003D1B5A">
      <w:pPr>
        <w:pBdr>
          <w:top w:val="nil"/>
          <w:left w:val="nil"/>
          <w:bottom w:val="nil"/>
          <w:right w:val="nil"/>
          <w:between w:val="nil"/>
        </w:pBdr>
        <w:ind w:left="708" w:firstLine="12"/>
        <w:jc w:val="both"/>
        <w:rPr>
          <w:rFonts w:ascii="Arial" w:eastAsia="Arial" w:hAnsi="Arial" w:cs="Arial"/>
          <w:color w:val="000000"/>
        </w:rPr>
      </w:pPr>
    </w:p>
    <w:p w:rsidR="00493067" w:rsidRDefault="00581DB8">
      <w:pPr>
        <w:pBdr>
          <w:top w:val="nil"/>
          <w:left w:val="nil"/>
          <w:bottom w:val="nil"/>
          <w:right w:val="nil"/>
          <w:between w:val="nil"/>
        </w:pBdr>
        <w:ind w:left="708" w:firstLine="12"/>
        <w:jc w:val="center"/>
        <w:rPr>
          <w:rFonts w:ascii="Arial" w:eastAsia="Arial" w:hAnsi="Arial" w:cs="Arial"/>
          <w:color w:val="000000"/>
        </w:rPr>
      </w:pPr>
      <w:r>
        <w:rPr>
          <w:rFonts w:ascii="Arial" w:eastAsia="Arial" w:hAnsi="Arial" w:cs="Arial"/>
          <w:b/>
          <w:color w:val="000000"/>
        </w:rPr>
        <w:t>I.</w:t>
      </w:r>
    </w:p>
    <w:p w:rsidR="00493067" w:rsidRDefault="00581DB8">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Předmět smlouvy</w:t>
      </w:r>
    </w:p>
    <w:p w:rsidR="00493067" w:rsidRDefault="00493067">
      <w:pPr>
        <w:pBdr>
          <w:top w:val="nil"/>
          <w:left w:val="nil"/>
          <w:bottom w:val="nil"/>
          <w:right w:val="nil"/>
          <w:between w:val="nil"/>
        </w:pBdr>
        <w:jc w:val="both"/>
        <w:rPr>
          <w:rFonts w:ascii="Arial" w:eastAsia="Arial" w:hAnsi="Arial" w:cs="Arial"/>
          <w:color w:val="000000"/>
        </w:rPr>
      </w:pPr>
    </w:p>
    <w:p w:rsidR="00493067" w:rsidRDefault="00581DB8">
      <w:pPr>
        <w:numPr>
          <w:ilvl w:val="0"/>
          <w:numId w:val="8"/>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 xml:space="preserve">Předmětem smlouvy je zajištění plnění komplexních úkolů v oblasti bezpečnosti a ochrany zdraví při práci a v oblasti požární ochrany (dále jen „BOZP“ a „PO“) pro objednatele ve všech prostorách dle požadavků českého právního řádu vyplývajících zejména z: </w:t>
      </w:r>
    </w:p>
    <w:p w:rsidR="00493067" w:rsidRDefault="00581DB8">
      <w:pPr>
        <w:numPr>
          <w:ilvl w:val="0"/>
          <w:numId w:val="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p>
    <w:p w:rsidR="00493067" w:rsidRDefault="00581DB8">
      <w:pPr>
        <w:numPr>
          <w:ilvl w:val="0"/>
          <w:numId w:val="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zákona č. 262/2006 Sb., zákoník práce, ve znění pozdějších předpisů, </w:t>
      </w:r>
    </w:p>
    <w:p w:rsidR="00493067" w:rsidRDefault="00581DB8">
      <w:pPr>
        <w:numPr>
          <w:ilvl w:val="0"/>
          <w:numId w:val="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zákona č. 133/1985 Sb., o požární ochraně, ve znění pozdějších předpisů, </w:t>
      </w:r>
    </w:p>
    <w:p w:rsidR="00493067" w:rsidRDefault="00581DB8">
      <w:pPr>
        <w:numPr>
          <w:ilvl w:val="0"/>
          <w:numId w:val="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příslušných prováděcích předpisů k uvedeným zákonům.</w:t>
      </w:r>
    </w:p>
    <w:p w:rsidR="00493067" w:rsidRDefault="00493067">
      <w:pPr>
        <w:pBdr>
          <w:top w:val="nil"/>
          <w:left w:val="nil"/>
          <w:bottom w:val="nil"/>
          <w:right w:val="nil"/>
          <w:between w:val="nil"/>
        </w:pBdr>
        <w:spacing w:after="120"/>
        <w:ind w:left="720"/>
        <w:rPr>
          <w:rFonts w:ascii="Arial" w:eastAsia="Arial" w:hAnsi="Arial" w:cs="Arial"/>
          <w:color w:val="000000"/>
        </w:rPr>
      </w:pPr>
    </w:p>
    <w:p w:rsidR="00493067" w:rsidRDefault="00581DB8">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Určené odborně způsobilé osoby budou pro objednatele provádět činnost organizačního a metodického poradce ve výše uvedených oblastech. Na základě této smlouvy bude poskytovatel vykonávat zejména evidenční, kontrolní organizační, poradenskou, metodickou a konzultační činnost, jejímž cílem bude naplnění příslušných výše uvedených ustanovení právních předpisů.</w:t>
      </w:r>
    </w:p>
    <w:p w:rsidR="00493067" w:rsidRDefault="00493067">
      <w:pPr>
        <w:pBdr>
          <w:top w:val="nil"/>
          <w:left w:val="nil"/>
          <w:bottom w:val="nil"/>
          <w:right w:val="nil"/>
          <w:between w:val="nil"/>
        </w:pBdr>
        <w:rPr>
          <w:rFonts w:ascii="Arial" w:eastAsia="Arial" w:hAnsi="Arial" w:cs="Arial"/>
          <w:color w:val="000000"/>
        </w:rPr>
      </w:pPr>
    </w:p>
    <w:p w:rsidR="00493067" w:rsidRDefault="00493067">
      <w:pPr>
        <w:pBdr>
          <w:top w:val="nil"/>
          <w:left w:val="nil"/>
          <w:bottom w:val="nil"/>
          <w:right w:val="nil"/>
          <w:between w:val="nil"/>
        </w:pBdr>
        <w:jc w:val="center"/>
        <w:rPr>
          <w:rFonts w:ascii="Arial" w:eastAsia="Arial" w:hAnsi="Arial" w:cs="Arial"/>
          <w:b/>
        </w:rPr>
      </w:pPr>
    </w:p>
    <w:p w:rsidR="00493067" w:rsidRDefault="00493067">
      <w:pPr>
        <w:pBdr>
          <w:top w:val="nil"/>
          <w:left w:val="nil"/>
          <w:bottom w:val="nil"/>
          <w:right w:val="nil"/>
          <w:between w:val="nil"/>
        </w:pBdr>
        <w:jc w:val="center"/>
        <w:rPr>
          <w:rFonts w:ascii="Arial" w:eastAsia="Arial" w:hAnsi="Arial" w:cs="Arial"/>
          <w:b/>
        </w:rPr>
      </w:pPr>
    </w:p>
    <w:p w:rsidR="00493067" w:rsidRDefault="00581DB8">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II.</w:t>
      </w:r>
    </w:p>
    <w:p w:rsidR="00493067" w:rsidRDefault="00581DB8">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 xml:space="preserve">Doba plnění </w:t>
      </w:r>
    </w:p>
    <w:p w:rsidR="00493067" w:rsidRDefault="00493067">
      <w:pPr>
        <w:pBdr>
          <w:top w:val="nil"/>
          <w:left w:val="nil"/>
          <w:bottom w:val="nil"/>
          <w:right w:val="nil"/>
          <w:between w:val="nil"/>
        </w:pBdr>
        <w:jc w:val="center"/>
        <w:rPr>
          <w:rFonts w:ascii="Arial" w:eastAsia="Arial" w:hAnsi="Arial" w:cs="Arial"/>
          <w:color w:val="000000"/>
        </w:rPr>
      </w:pPr>
    </w:p>
    <w:p w:rsidR="00493067" w:rsidRDefault="00581DB8">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Poskytovatel bude služby provádět od účinnosti této smlouvy, tj. po podpisu smlouvy oprávněnými zástupci obou smluvních stran. </w:t>
      </w:r>
    </w:p>
    <w:p w:rsidR="00493067" w:rsidRDefault="00493067">
      <w:pPr>
        <w:pBdr>
          <w:top w:val="nil"/>
          <w:left w:val="nil"/>
          <w:bottom w:val="nil"/>
          <w:right w:val="nil"/>
          <w:between w:val="nil"/>
        </w:pBdr>
        <w:jc w:val="both"/>
        <w:rPr>
          <w:rFonts w:ascii="Arial" w:eastAsia="Arial" w:hAnsi="Arial" w:cs="Arial"/>
          <w:color w:val="000000"/>
        </w:rPr>
      </w:pPr>
    </w:p>
    <w:p w:rsidR="003D1B5A" w:rsidRDefault="003D1B5A">
      <w:pPr>
        <w:pBdr>
          <w:top w:val="nil"/>
          <w:left w:val="nil"/>
          <w:bottom w:val="nil"/>
          <w:right w:val="nil"/>
          <w:between w:val="nil"/>
        </w:pBdr>
        <w:jc w:val="center"/>
        <w:rPr>
          <w:rFonts w:ascii="Arial" w:eastAsia="Arial" w:hAnsi="Arial" w:cs="Arial"/>
          <w:b/>
          <w:color w:val="000000"/>
        </w:rPr>
      </w:pPr>
    </w:p>
    <w:p w:rsidR="00493067" w:rsidRDefault="00581DB8">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III.</w:t>
      </w:r>
    </w:p>
    <w:p w:rsidR="00493067" w:rsidRDefault="00581DB8">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Cena za poskytování služeb a platební podmínky</w:t>
      </w:r>
    </w:p>
    <w:p w:rsidR="00493067" w:rsidRDefault="00493067">
      <w:pPr>
        <w:pBdr>
          <w:top w:val="nil"/>
          <w:left w:val="nil"/>
          <w:bottom w:val="nil"/>
          <w:right w:val="nil"/>
          <w:between w:val="nil"/>
        </w:pBdr>
        <w:spacing w:after="47"/>
        <w:jc w:val="both"/>
        <w:rPr>
          <w:rFonts w:ascii="Arial" w:eastAsia="Arial" w:hAnsi="Arial" w:cs="Arial"/>
          <w:color w:val="000000"/>
        </w:rPr>
      </w:pPr>
    </w:p>
    <w:p w:rsidR="00493067" w:rsidRDefault="00581DB8">
      <w:pPr>
        <w:numPr>
          <w:ilvl w:val="0"/>
          <w:numId w:val="10"/>
        </w:numPr>
        <w:pBdr>
          <w:top w:val="nil"/>
          <w:left w:val="nil"/>
          <w:bottom w:val="nil"/>
          <w:right w:val="nil"/>
          <w:between w:val="nil"/>
        </w:pBdr>
        <w:spacing w:line="276" w:lineRule="auto"/>
        <w:ind w:left="425"/>
        <w:jc w:val="both"/>
        <w:rPr>
          <w:rFonts w:ascii="Arial" w:eastAsia="Arial" w:hAnsi="Arial" w:cs="Arial"/>
          <w:color w:val="000000"/>
        </w:rPr>
      </w:pPr>
      <w:r>
        <w:rPr>
          <w:rFonts w:ascii="Arial" w:eastAsia="Arial" w:hAnsi="Arial" w:cs="Arial"/>
          <w:color w:val="000000"/>
        </w:rPr>
        <w:t>Poskytovateli za jeho činnost dle čl. I. smlouvy náleží odměna ve výši:</w:t>
      </w:r>
    </w:p>
    <w:p w:rsidR="00493067" w:rsidRDefault="00581DB8">
      <w:pPr>
        <w:pBdr>
          <w:top w:val="nil"/>
          <w:left w:val="nil"/>
          <w:bottom w:val="nil"/>
          <w:right w:val="nil"/>
          <w:between w:val="nil"/>
        </w:pBdr>
        <w:shd w:val="clear" w:color="auto" w:fill="FFFFFF"/>
        <w:tabs>
          <w:tab w:val="left" w:pos="2835"/>
          <w:tab w:val="left" w:pos="3969"/>
        </w:tabs>
        <w:spacing w:before="360" w:after="360"/>
        <w:ind w:left="426"/>
        <w:rPr>
          <w:rFonts w:ascii="Arial" w:eastAsia="Arial" w:hAnsi="Arial" w:cs="Arial"/>
          <w:b/>
          <w:color w:val="000000"/>
          <w:sz w:val="24"/>
          <w:szCs w:val="24"/>
        </w:rPr>
      </w:pPr>
      <w:r>
        <w:rPr>
          <w:rFonts w:ascii="Arial" w:eastAsia="Arial" w:hAnsi="Arial" w:cs="Arial"/>
          <w:b/>
          <w:color w:val="000000"/>
          <w:sz w:val="24"/>
          <w:szCs w:val="24"/>
        </w:rPr>
        <w:t>Cena:</w:t>
      </w:r>
      <w:r>
        <w:rPr>
          <w:rFonts w:ascii="Arial" w:eastAsia="Arial" w:hAnsi="Arial" w:cs="Arial"/>
          <w:b/>
          <w:color w:val="000000"/>
          <w:sz w:val="24"/>
          <w:szCs w:val="24"/>
        </w:rPr>
        <w:tab/>
      </w:r>
      <w:r>
        <w:rPr>
          <w:rFonts w:ascii="Arial" w:eastAsia="Arial" w:hAnsi="Arial" w:cs="Arial"/>
          <w:b/>
          <w:sz w:val="24"/>
          <w:szCs w:val="24"/>
        </w:rPr>
        <w:t>7000,-</w:t>
      </w:r>
      <w:r>
        <w:rPr>
          <w:rFonts w:ascii="Arial" w:eastAsia="Arial" w:hAnsi="Arial" w:cs="Arial"/>
          <w:b/>
          <w:color w:val="000000"/>
          <w:sz w:val="24"/>
          <w:szCs w:val="24"/>
        </w:rPr>
        <w:t xml:space="preserve">  + platné DPH</w:t>
      </w:r>
    </w:p>
    <w:p w:rsidR="00493067" w:rsidRDefault="00581DB8">
      <w:pPr>
        <w:pBdr>
          <w:top w:val="nil"/>
          <w:left w:val="nil"/>
          <w:bottom w:val="nil"/>
          <w:right w:val="nil"/>
          <w:between w:val="nil"/>
        </w:pBdr>
        <w:shd w:val="clear" w:color="auto" w:fill="FFFFFF"/>
        <w:tabs>
          <w:tab w:val="left" w:pos="2835"/>
          <w:tab w:val="left" w:pos="3969"/>
        </w:tabs>
        <w:spacing w:before="360" w:after="360"/>
        <w:ind w:left="426"/>
        <w:rPr>
          <w:rFonts w:ascii="Arial" w:eastAsia="Arial" w:hAnsi="Arial" w:cs="Arial"/>
          <w:b/>
          <w:sz w:val="24"/>
          <w:szCs w:val="24"/>
        </w:rPr>
      </w:pPr>
      <w:r>
        <w:rPr>
          <w:rFonts w:ascii="Arial" w:eastAsia="Arial" w:hAnsi="Arial" w:cs="Arial"/>
          <w:b/>
          <w:sz w:val="24"/>
          <w:szCs w:val="24"/>
        </w:rPr>
        <w:t>Celková cena/rok:</w:t>
      </w:r>
      <w:r>
        <w:rPr>
          <w:rFonts w:ascii="Arial" w:eastAsia="Arial" w:hAnsi="Arial" w:cs="Arial"/>
          <w:b/>
          <w:sz w:val="24"/>
          <w:szCs w:val="24"/>
        </w:rPr>
        <w:tab/>
        <w:t xml:space="preserve">8470,- </w:t>
      </w:r>
    </w:p>
    <w:p w:rsidR="00493067" w:rsidRDefault="00581DB8">
      <w:pPr>
        <w:numPr>
          <w:ilvl w:val="0"/>
          <w:numId w:val="10"/>
        </w:numPr>
        <w:pBdr>
          <w:top w:val="nil"/>
          <w:left w:val="nil"/>
          <w:bottom w:val="nil"/>
          <w:right w:val="nil"/>
          <w:between w:val="nil"/>
        </w:pBdr>
        <w:spacing w:after="120" w:line="276" w:lineRule="auto"/>
        <w:ind w:left="425"/>
        <w:jc w:val="both"/>
        <w:rPr>
          <w:rFonts w:ascii="Arial" w:eastAsia="Arial" w:hAnsi="Arial" w:cs="Arial"/>
          <w:color w:val="000000"/>
        </w:rPr>
      </w:pPr>
      <w:r>
        <w:rPr>
          <w:rFonts w:ascii="Arial" w:eastAsia="Arial" w:hAnsi="Arial" w:cs="Arial"/>
          <w:color w:val="000000"/>
        </w:rPr>
        <w:t>Cena se sjednává jako smluvní a může být změněna pouze se souhlasem obou smluvních stran.</w:t>
      </w:r>
    </w:p>
    <w:p w:rsidR="00493067" w:rsidRDefault="00581DB8">
      <w:pPr>
        <w:numPr>
          <w:ilvl w:val="0"/>
          <w:numId w:val="10"/>
        </w:numPr>
        <w:pBdr>
          <w:top w:val="nil"/>
          <w:left w:val="nil"/>
          <w:bottom w:val="nil"/>
          <w:right w:val="nil"/>
          <w:between w:val="nil"/>
        </w:pBdr>
        <w:spacing w:after="120"/>
        <w:ind w:left="425"/>
        <w:jc w:val="both"/>
        <w:rPr>
          <w:rFonts w:ascii="Arial" w:eastAsia="Arial" w:hAnsi="Arial" w:cs="Arial"/>
          <w:color w:val="000000"/>
        </w:rPr>
      </w:pPr>
      <w:r>
        <w:rPr>
          <w:rFonts w:ascii="Arial" w:eastAsia="Arial" w:hAnsi="Arial" w:cs="Arial"/>
          <w:color w:val="000000"/>
        </w:rPr>
        <w:t xml:space="preserve">Platba ceny za poskytování služeb bude objednatelem provedena na základě faktury vystavené poskytovatelem. Nárok na zaplacení sjednané ceny uplatní poskytovatel </w:t>
      </w:r>
      <w:r>
        <w:rPr>
          <w:rFonts w:ascii="Arial" w:eastAsia="Arial" w:hAnsi="Arial" w:cs="Arial"/>
          <w:b/>
          <w:color w:val="000000"/>
        </w:rPr>
        <w:t xml:space="preserve">vždy 1 x za /4 roku </w:t>
      </w:r>
      <w:r>
        <w:rPr>
          <w:rFonts w:ascii="Arial" w:eastAsia="Arial" w:hAnsi="Arial" w:cs="Arial"/>
          <w:color w:val="000000"/>
        </w:rPr>
        <w:t xml:space="preserve">zpětně, a to předložením daňového dokladu (faktury) za předmětné fakturační období. Splatnost se stanovuje na deset (10) kalendářních dnů ode dne doručení faktury objednateli. </w:t>
      </w:r>
    </w:p>
    <w:p w:rsidR="00493067" w:rsidRDefault="00581DB8">
      <w:pPr>
        <w:numPr>
          <w:ilvl w:val="0"/>
          <w:numId w:val="10"/>
        </w:numPr>
        <w:pBdr>
          <w:top w:val="nil"/>
          <w:left w:val="nil"/>
          <w:bottom w:val="nil"/>
          <w:right w:val="nil"/>
          <w:between w:val="nil"/>
        </w:pBdr>
        <w:spacing w:after="120"/>
        <w:ind w:left="425"/>
        <w:jc w:val="both"/>
        <w:rPr>
          <w:rFonts w:ascii="Arial" w:eastAsia="Arial" w:hAnsi="Arial" w:cs="Arial"/>
          <w:color w:val="000000"/>
        </w:rPr>
      </w:pPr>
      <w:r>
        <w:rPr>
          <w:rFonts w:ascii="Arial" w:eastAsia="Arial" w:hAnsi="Arial" w:cs="Arial"/>
          <w:color w:val="000000"/>
        </w:rPr>
        <w:t xml:space="preserve">Faktura bude doručena objednateli 1 vyhotovení. Faktura bude mít náležitosti účetního dokladu podle zákona č. 563/1991 Sb. ve znění pozdějších předpisů, náležitosti dle § 435 zákona č. 89/2012 Sb., občanského zákoníku, ve znění pozdějších předpisů (dále jen „OZ“) a pokud je zhotovitel plátce DPH náležitosti daňového dokladu podle zákona č. 235/2004 Sb. ve znění pozdějších předpisů. </w:t>
      </w:r>
    </w:p>
    <w:p w:rsidR="003D1B5A" w:rsidRDefault="003D1B5A">
      <w:pPr>
        <w:pBdr>
          <w:top w:val="nil"/>
          <w:left w:val="nil"/>
          <w:bottom w:val="nil"/>
          <w:right w:val="nil"/>
          <w:between w:val="nil"/>
        </w:pBdr>
        <w:spacing w:after="120"/>
        <w:jc w:val="center"/>
        <w:rPr>
          <w:rFonts w:ascii="Arial" w:eastAsia="Arial" w:hAnsi="Arial" w:cs="Arial"/>
          <w:b/>
          <w:color w:val="000000"/>
        </w:rPr>
      </w:pPr>
    </w:p>
    <w:p w:rsidR="00493067" w:rsidRDefault="00581DB8">
      <w:pPr>
        <w:pBdr>
          <w:top w:val="nil"/>
          <w:left w:val="nil"/>
          <w:bottom w:val="nil"/>
          <w:right w:val="nil"/>
          <w:between w:val="nil"/>
        </w:pBdr>
        <w:spacing w:after="120"/>
        <w:jc w:val="center"/>
        <w:rPr>
          <w:rFonts w:ascii="Arial" w:eastAsia="Arial" w:hAnsi="Arial" w:cs="Arial"/>
          <w:color w:val="000000"/>
        </w:rPr>
      </w:pPr>
      <w:r>
        <w:rPr>
          <w:rFonts w:ascii="Arial" w:eastAsia="Arial" w:hAnsi="Arial" w:cs="Arial"/>
          <w:b/>
          <w:color w:val="000000"/>
        </w:rPr>
        <w:t>IV.</w:t>
      </w:r>
    </w:p>
    <w:p w:rsidR="00493067" w:rsidRDefault="00581DB8">
      <w:pPr>
        <w:pBdr>
          <w:top w:val="nil"/>
          <w:left w:val="nil"/>
          <w:bottom w:val="nil"/>
          <w:right w:val="nil"/>
          <w:between w:val="nil"/>
        </w:pBdr>
        <w:spacing w:after="120"/>
        <w:jc w:val="center"/>
        <w:rPr>
          <w:rFonts w:ascii="Arial" w:eastAsia="Arial" w:hAnsi="Arial" w:cs="Arial"/>
          <w:color w:val="000000"/>
        </w:rPr>
      </w:pPr>
      <w:r>
        <w:rPr>
          <w:rFonts w:ascii="Arial" w:eastAsia="Arial" w:hAnsi="Arial" w:cs="Arial"/>
          <w:b/>
          <w:color w:val="000000"/>
        </w:rPr>
        <w:t>Povinnosti poskytovatele</w:t>
      </w:r>
    </w:p>
    <w:p w:rsidR="00493067" w:rsidRDefault="00493067">
      <w:pPr>
        <w:pBdr>
          <w:top w:val="nil"/>
          <w:left w:val="nil"/>
          <w:bottom w:val="nil"/>
          <w:right w:val="nil"/>
          <w:between w:val="nil"/>
        </w:pBdr>
        <w:spacing w:after="120"/>
        <w:jc w:val="center"/>
        <w:rPr>
          <w:rFonts w:ascii="Arial" w:eastAsia="Arial" w:hAnsi="Arial" w:cs="Arial"/>
          <w:color w:val="000000"/>
        </w:rPr>
      </w:pPr>
    </w:p>
    <w:p w:rsidR="00493067" w:rsidRDefault="00581DB8">
      <w:pPr>
        <w:numPr>
          <w:ilvl w:val="0"/>
          <w:numId w:val="2"/>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 xml:space="preserve">Veškeré informace a dokumenty týkající se plnění této smlouvy, s nimiž bude poskytovatel přicházet do styku a o kterých se dozvěděl v souvislosti s plněním této smlouvy, jsou považovány za důvěrné a poskytovatel je může sdělit třetí osobě pouze se souhlasem objednatele, jinak je vázán přísnou povinností mlčenlivosti. </w:t>
      </w:r>
    </w:p>
    <w:p w:rsidR="00493067" w:rsidRDefault="00581DB8">
      <w:pPr>
        <w:numPr>
          <w:ilvl w:val="0"/>
          <w:numId w:val="2"/>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 xml:space="preserve">Všechny činnosti dle této smlouvy bude poskytovatel provádět prostřednictvím fyzických osob (osoby určené poskytovatelem k plnění smlouvy) s platným osvědčením odborné způsobilosti (odborně způsobilá osoba) podle zákona č. 133/1985 Sb., o požární ochraně, ve znění pozdějších předpisů, a s platným osvědčením odborné způsobilosti podle zákona č. 309/2006 Sb., o zajištění dalších podmínek bezpečnosti a ochrany zdraví při práci, ve znění pozdějších předpisů. </w:t>
      </w:r>
    </w:p>
    <w:p w:rsidR="00493067" w:rsidRDefault="00581DB8">
      <w:pPr>
        <w:numPr>
          <w:ilvl w:val="0"/>
          <w:numId w:val="2"/>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V případě mimořádné události (např. požár, pracovní úraz, apod.) bude osoba/ osoby zastupující poskytovatele při plnění smlouvy adekvátně řešit situaci neprodleně. Pro tyto případy je tato osoba k dosažení na tel.</w:t>
      </w:r>
      <w:r w:rsidR="003D1B5A">
        <w:rPr>
          <w:rFonts w:ascii="Arial" w:eastAsia="Arial" w:hAnsi="Arial" w:cs="Arial"/>
          <w:color w:val="000000"/>
        </w:rPr>
        <w:t xml:space="preserve"> </w:t>
      </w:r>
      <w:r>
        <w:rPr>
          <w:rFonts w:ascii="Arial" w:eastAsia="Arial" w:hAnsi="Arial" w:cs="Arial"/>
          <w:color w:val="000000"/>
        </w:rPr>
        <w:t xml:space="preserve">č.: </w:t>
      </w:r>
    </w:p>
    <w:p w:rsidR="003D1B5A" w:rsidRDefault="003D1B5A">
      <w:pPr>
        <w:pBdr>
          <w:top w:val="nil"/>
          <w:left w:val="nil"/>
          <w:bottom w:val="nil"/>
          <w:right w:val="nil"/>
          <w:between w:val="nil"/>
        </w:pBdr>
        <w:spacing w:after="120"/>
        <w:ind w:left="426"/>
        <w:jc w:val="center"/>
        <w:rPr>
          <w:rFonts w:ascii="Arial" w:eastAsia="Arial" w:hAnsi="Arial" w:cs="Arial"/>
          <w:b/>
          <w:color w:val="000000"/>
        </w:rPr>
      </w:pPr>
    </w:p>
    <w:p w:rsidR="00493067" w:rsidRDefault="00581DB8">
      <w:pPr>
        <w:pBdr>
          <w:top w:val="nil"/>
          <w:left w:val="nil"/>
          <w:bottom w:val="nil"/>
          <w:right w:val="nil"/>
          <w:between w:val="nil"/>
        </w:pBdr>
        <w:spacing w:after="120"/>
        <w:ind w:left="426"/>
        <w:jc w:val="center"/>
        <w:rPr>
          <w:rFonts w:ascii="Arial" w:eastAsia="Arial" w:hAnsi="Arial" w:cs="Arial"/>
          <w:color w:val="000000"/>
        </w:rPr>
      </w:pPr>
      <w:r>
        <w:rPr>
          <w:rFonts w:ascii="Arial" w:eastAsia="Arial" w:hAnsi="Arial" w:cs="Arial"/>
          <w:b/>
          <w:color w:val="000000"/>
        </w:rPr>
        <w:t>V.</w:t>
      </w:r>
    </w:p>
    <w:p w:rsidR="00493067" w:rsidRDefault="00581DB8">
      <w:pPr>
        <w:pBdr>
          <w:top w:val="nil"/>
          <w:left w:val="nil"/>
          <w:bottom w:val="nil"/>
          <w:right w:val="nil"/>
          <w:between w:val="nil"/>
        </w:pBdr>
        <w:spacing w:after="120"/>
        <w:jc w:val="center"/>
        <w:rPr>
          <w:rFonts w:ascii="Arial" w:eastAsia="Arial" w:hAnsi="Arial" w:cs="Arial"/>
          <w:color w:val="000000"/>
        </w:rPr>
      </w:pPr>
      <w:r>
        <w:rPr>
          <w:rFonts w:ascii="Arial" w:eastAsia="Arial" w:hAnsi="Arial" w:cs="Arial"/>
          <w:b/>
          <w:color w:val="000000"/>
        </w:rPr>
        <w:t>Povinnosti objednatele</w:t>
      </w:r>
    </w:p>
    <w:p w:rsidR="00493067" w:rsidRDefault="00581DB8">
      <w:pPr>
        <w:pBdr>
          <w:top w:val="nil"/>
          <w:left w:val="nil"/>
          <w:bottom w:val="nil"/>
          <w:right w:val="nil"/>
          <w:between w:val="nil"/>
        </w:pBdr>
        <w:spacing w:after="120"/>
        <w:ind w:left="426"/>
        <w:rPr>
          <w:rFonts w:ascii="Arial" w:eastAsia="Arial" w:hAnsi="Arial" w:cs="Arial"/>
          <w:color w:val="000000"/>
        </w:rPr>
      </w:pPr>
      <w:r>
        <w:rPr>
          <w:rFonts w:ascii="Arial" w:eastAsia="Arial" w:hAnsi="Arial" w:cs="Arial"/>
          <w:color w:val="000000"/>
        </w:rPr>
        <w:t xml:space="preserve">Objednatel se zavazuje: </w:t>
      </w:r>
    </w:p>
    <w:p w:rsidR="00493067" w:rsidRDefault="00581DB8">
      <w:p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 xml:space="preserve">a) umožnit poskytovateli vstup do objektů podléhajících kontrolní činnosti buď volně, nebo za doprovodu pověřené osoby, </w:t>
      </w:r>
    </w:p>
    <w:p w:rsidR="00493067" w:rsidRDefault="00581DB8">
      <w:p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 xml:space="preserve">b) zajistit účast školených zaměstnanců na periodických, vstupních a mimořádných školeních nebo cvičeních BOZP nebo PO, rovněž se jich zúčastnit, </w:t>
      </w:r>
    </w:p>
    <w:p w:rsidR="00493067" w:rsidRDefault="00581DB8">
      <w:p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c) vytvářet součinnost a podmínky při plnění úkolů týkajících se oblasti BOZP a PO,</w:t>
      </w:r>
    </w:p>
    <w:p w:rsidR="00493067" w:rsidRDefault="00581DB8">
      <w:p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lastRenderedPageBreak/>
        <w:t xml:space="preserve">d) informovat poskytovatele v dostatečném předstihu o všech připravovaných změnách v provozech, na pracovištích nebo ve struktuře vedení, majících přímou souvislost </w:t>
      </w:r>
      <w:r w:rsidR="003D1B5A">
        <w:rPr>
          <w:rFonts w:ascii="Arial" w:eastAsia="Arial" w:hAnsi="Arial" w:cs="Arial"/>
          <w:color w:val="000000"/>
        </w:rPr>
        <w:t xml:space="preserve">nebo vliv na stav BOZP nebo PO </w:t>
      </w:r>
      <w:r>
        <w:rPr>
          <w:rFonts w:ascii="Arial" w:eastAsia="Arial" w:hAnsi="Arial" w:cs="Arial"/>
          <w:color w:val="000000"/>
        </w:rPr>
        <w:t xml:space="preserve">(nástup nového zaměstnance, převedení na jinou práci, změna stavu pracovníků, zřízení jiné provozované činnosti, kolaudace nových provozů, nákup nových technologií, pracovních pomůcek, ochranných pracovních prostředků, nákup nových strojů a zařízení, apod.), </w:t>
      </w:r>
    </w:p>
    <w:p w:rsidR="00493067" w:rsidRDefault="00581DB8">
      <w:p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 xml:space="preserve">e) v dostatečném časovém předstihu informovat poskytovatele o ohlášených kontrolách státního odborného dozoru tak, aby se poskytovatel mohl včas a řádně připravit na kvalifikované zastupování objednatele, </w:t>
      </w:r>
    </w:p>
    <w:p w:rsidR="00493067" w:rsidRDefault="00581DB8">
      <w:p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 xml:space="preserve">f) neprodleně informovat o vzniklých pracovních úrazech nebo o nemocech z povolání a podat k nim kompletní, požadované informace. </w:t>
      </w:r>
    </w:p>
    <w:p w:rsidR="00493067" w:rsidRDefault="00493067">
      <w:pPr>
        <w:pBdr>
          <w:top w:val="nil"/>
          <w:left w:val="nil"/>
          <w:bottom w:val="nil"/>
          <w:right w:val="nil"/>
          <w:between w:val="nil"/>
        </w:pBdr>
        <w:spacing w:after="120"/>
        <w:rPr>
          <w:rFonts w:ascii="Arial" w:eastAsia="Arial" w:hAnsi="Arial" w:cs="Arial"/>
          <w:color w:val="000000"/>
        </w:rPr>
      </w:pPr>
    </w:p>
    <w:p w:rsidR="00493067" w:rsidRDefault="00581DB8">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b/>
          <w:color w:val="000000"/>
        </w:rPr>
        <w:t>VI.</w:t>
      </w:r>
    </w:p>
    <w:p w:rsidR="00493067" w:rsidRDefault="00581DB8">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b/>
          <w:color w:val="000000"/>
        </w:rPr>
        <w:t xml:space="preserve">Zajištění závazků </w:t>
      </w:r>
    </w:p>
    <w:p w:rsidR="00493067" w:rsidRDefault="00581DB8">
      <w:pPr>
        <w:numPr>
          <w:ilvl w:val="0"/>
          <w:numId w:val="3"/>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V případě prodlení objednatele se zaplacením ceny je objednatel povinen zaplatit poskytovateli smluvní pokutu ve výši 0,05 % z nezaplacené částky (bez DPH) za každý započatý den prodlení.</w:t>
      </w:r>
    </w:p>
    <w:p w:rsidR="00493067" w:rsidRDefault="00581DB8">
      <w:pPr>
        <w:numPr>
          <w:ilvl w:val="0"/>
          <w:numId w:val="3"/>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V případě prodlení zhotovitele s poskytnutím služby je poskytovatel povinen zaplatit objednateli smluvní pokutu ve výši 0,05 % z celkové smluvní ceny za plnění služby (bez DPH) za každý započatý den prodlení.</w:t>
      </w:r>
    </w:p>
    <w:p w:rsidR="00493067" w:rsidRDefault="00581DB8">
      <w:pPr>
        <w:numPr>
          <w:ilvl w:val="0"/>
          <w:numId w:val="3"/>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 xml:space="preserve">Objednatel je oprávněn v případě neuhrazení vyúčtované smluvní pokuty poskytovatelem, smluvní pokuty započíst vůči </w:t>
      </w:r>
      <w:r>
        <w:rPr>
          <w:rFonts w:ascii="Arial" w:eastAsia="Arial" w:hAnsi="Arial" w:cs="Arial"/>
        </w:rPr>
        <w:t>jakémukoliv</w:t>
      </w:r>
      <w:r>
        <w:rPr>
          <w:rFonts w:ascii="Arial" w:eastAsia="Arial" w:hAnsi="Arial" w:cs="Arial"/>
          <w:color w:val="000000"/>
        </w:rPr>
        <w:t xml:space="preserve"> finančnímu plnění poskytovanému poskytovateli a to i v rámci jiného obchodního případu.</w:t>
      </w:r>
    </w:p>
    <w:p w:rsidR="00493067" w:rsidRDefault="00581DB8">
      <w:pPr>
        <w:numPr>
          <w:ilvl w:val="0"/>
          <w:numId w:val="3"/>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Platba smluvní pokuty bude povinnou smluvní stranou provedena na základě penalizační faktury vystavené oprávněnou smluvní stranou. Splatnost se stanovuje na deset (10) kalendářních dnů ode dne doručení faktury povinné smluvní straně.</w:t>
      </w:r>
    </w:p>
    <w:p w:rsidR="00493067" w:rsidRDefault="00581DB8">
      <w:pPr>
        <w:numPr>
          <w:ilvl w:val="0"/>
          <w:numId w:val="3"/>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Jestliže objednatel zjistí vady v poskytnutých službách, je oprávněn požadovat:</w:t>
      </w:r>
    </w:p>
    <w:p w:rsidR="00493067" w:rsidRDefault="00581DB8">
      <w:pPr>
        <w:numPr>
          <w:ilvl w:val="0"/>
          <w:numId w:val="7"/>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neprodlené odstranění vady u vad odstranitelných,</w:t>
      </w:r>
    </w:p>
    <w:p w:rsidR="00493067" w:rsidRDefault="00581DB8">
      <w:pPr>
        <w:numPr>
          <w:ilvl w:val="0"/>
          <w:numId w:val="7"/>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přiměřenou slevou ze sjednané odměny,</w:t>
      </w:r>
    </w:p>
    <w:p w:rsidR="00493067" w:rsidRDefault="00581DB8">
      <w:pPr>
        <w:numPr>
          <w:ilvl w:val="0"/>
          <w:numId w:val="7"/>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uhrazení nákladů vynaložených na odstranění vady třetí osobou.</w:t>
      </w:r>
    </w:p>
    <w:p w:rsidR="00493067" w:rsidRDefault="00493067">
      <w:pPr>
        <w:pBdr>
          <w:top w:val="nil"/>
          <w:left w:val="nil"/>
          <w:bottom w:val="nil"/>
          <w:right w:val="nil"/>
          <w:between w:val="nil"/>
        </w:pBdr>
        <w:spacing w:after="120"/>
        <w:rPr>
          <w:rFonts w:ascii="Arial" w:eastAsia="Arial" w:hAnsi="Arial" w:cs="Arial"/>
          <w:color w:val="000000"/>
        </w:rPr>
      </w:pPr>
    </w:p>
    <w:p w:rsidR="00493067" w:rsidRDefault="00581DB8">
      <w:pPr>
        <w:pBdr>
          <w:top w:val="nil"/>
          <w:left w:val="nil"/>
          <w:bottom w:val="nil"/>
          <w:right w:val="nil"/>
          <w:between w:val="nil"/>
        </w:pBdr>
        <w:spacing w:after="120"/>
        <w:jc w:val="center"/>
        <w:rPr>
          <w:rFonts w:ascii="Arial" w:eastAsia="Arial" w:hAnsi="Arial" w:cs="Arial"/>
          <w:color w:val="000000"/>
        </w:rPr>
      </w:pPr>
      <w:r>
        <w:rPr>
          <w:rFonts w:ascii="Arial" w:eastAsia="Arial" w:hAnsi="Arial" w:cs="Arial"/>
          <w:b/>
          <w:color w:val="000000"/>
        </w:rPr>
        <w:t>IX.</w:t>
      </w:r>
    </w:p>
    <w:p w:rsidR="00493067" w:rsidRDefault="00581DB8">
      <w:pPr>
        <w:pBdr>
          <w:top w:val="nil"/>
          <w:left w:val="nil"/>
          <w:bottom w:val="nil"/>
          <w:right w:val="nil"/>
          <w:between w:val="nil"/>
        </w:pBdr>
        <w:spacing w:after="120"/>
        <w:jc w:val="center"/>
        <w:rPr>
          <w:rFonts w:ascii="Arial" w:eastAsia="Arial" w:hAnsi="Arial" w:cs="Arial"/>
          <w:color w:val="000000"/>
        </w:rPr>
      </w:pPr>
      <w:r>
        <w:rPr>
          <w:rFonts w:ascii="Arial" w:eastAsia="Arial" w:hAnsi="Arial" w:cs="Arial"/>
          <w:b/>
          <w:color w:val="000000"/>
        </w:rPr>
        <w:t>Ukončení smlouvy</w:t>
      </w:r>
    </w:p>
    <w:p w:rsidR="00493067" w:rsidRDefault="00581DB8">
      <w:pPr>
        <w:numPr>
          <w:ilvl w:val="0"/>
          <w:numId w:val="5"/>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 xml:space="preserve">Objednatel může smlouvu vypovědět bez udání důvodu, a to s výpovědní dobou 2 měsíců. Výpovědní lhůta začíná běžet od </w:t>
      </w:r>
      <w:r>
        <w:rPr>
          <w:rFonts w:ascii="Arial" w:eastAsia="Arial" w:hAnsi="Arial" w:cs="Arial"/>
        </w:rPr>
        <w:t>prvního</w:t>
      </w:r>
      <w:r>
        <w:rPr>
          <w:rFonts w:ascii="Arial" w:eastAsia="Arial" w:hAnsi="Arial" w:cs="Arial"/>
          <w:color w:val="000000"/>
        </w:rPr>
        <w:t xml:space="preserve"> dne měsíce následujícího po jejím doručení poskytovateli. Výpověď musí mít písemnou formu. Výpovědí není dotčen nárok na odměnu poskytovatele, která mu náleží za skutečně provedené práce do doby ukončení platnosti smlouvy. </w:t>
      </w:r>
    </w:p>
    <w:p w:rsidR="00493067" w:rsidRDefault="00581DB8">
      <w:pPr>
        <w:numPr>
          <w:ilvl w:val="0"/>
          <w:numId w:val="5"/>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Odstoupit od smlouvy lze pouze z důvodů stanovených ve smlouvě nebo zákonem. Kterákoliv ze smluvních stran je oprávněna od této smlouvy odstoupit, poruší-li druhá smluvní strana podstatným způsobem své smluvní povinnosti, přestože byla na tuto skutečnost prokazatelným způsobem upozorněna. Za podstatné porušení smlouvy se zejména považuje:</w:t>
      </w:r>
    </w:p>
    <w:p w:rsidR="00493067" w:rsidRDefault="00581DB8">
      <w:pPr>
        <w:numPr>
          <w:ilvl w:val="0"/>
          <w:numId w:val="4"/>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prodlení objednatele se zaplacením ceny po dobu delší než dvacet jedna (21) dnů,</w:t>
      </w:r>
    </w:p>
    <w:p w:rsidR="00493067" w:rsidRDefault="00581DB8">
      <w:pPr>
        <w:numPr>
          <w:ilvl w:val="0"/>
          <w:numId w:val="4"/>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prodlení poskytovatele s poskytnutím služby po dobu delší než dvacet jedna (21) dnů,</w:t>
      </w:r>
    </w:p>
    <w:p w:rsidR="00493067" w:rsidRDefault="00581DB8">
      <w:pPr>
        <w:numPr>
          <w:ilvl w:val="0"/>
          <w:numId w:val="4"/>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zjištění, že poskytnuté služby neodpovídají požadavkům stanoveným smlouvou nebo právními předpisy.</w:t>
      </w:r>
    </w:p>
    <w:p w:rsidR="00493067" w:rsidRPr="003D1B5A" w:rsidRDefault="00581DB8" w:rsidP="003D1B5A">
      <w:pPr>
        <w:numPr>
          <w:ilvl w:val="0"/>
          <w:numId w:val="5"/>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 xml:space="preserve">Smlouva zaniká dnem doručení oznámení o odstoupení od smlouvy druhé smluvní straně. </w:t>
      </w:r>
    </w:p>
    <w:p w:rsidR="00493067" w:rsidRDefault="00493067">
      <w:pPr>
        <w:pBdr>
          <w:top w:val="nil"/>
          <w:left w:val="nil"/>
          <w:bottom w:val="nil"/>
          <w:right w:val="nil"/>
          <w:between w:val="nil"/>
        </w:pBdr>
        <w:spacing w:after="120"/>
        <w:jc w:val="center"/>
        <w:rPr>
          <w:rFonts w:ascii="Arial" w:eastAsia="Arial" w:hAnsi="Arial" w:cs="Arial"/>
          <w:b/>
        </w:rPr>
      </w:pPr>
    </w:p>
    <w:p w:rsidR="00493067" w:rsidRDefault="00581DB8">
      <w:pPr>
        <w:pBdr>
          <w:top w:val="nil"/>
          <w:left w:val="nil"/>
          <w:bottom w:val="nil"/>
          <w:right w:val="nil"/>
          <w:between w:val="nil"/>
        </w:pBdr>
        <w:spacing w:after="120"/>
        <w:jc w:val="center"/>
        <w:rPr>
          <w:rFonts w:ascii="Arial" w:eastAsia="Arial" w:hAnsi="Arial" w:cs="Arial"/>
          <w:color w:val="000000"/>
        </w:rPr>
      </w:pPr>
      <w:r>
        <w:rPr>
          <w:rFonts w:ascii="Arial" w:eastAsia="Arial" w:hAnsi="Arial" w:cs="Arial"/>
          <w:b/>
          <w:color w:val="000000"/>
        </w:rPr>
        <w:t>X.</w:t>
      </w:r>
    </w:p>
    <w:p w:rsidR="00493067" w:rsidRDefault="00581DB8">
      <w:pPr>
        <w:pBdr>
          <w:top w:val="nil"/>
          <w:left w:val="nil"/>
          <w:bottom w:val="nil"/>
          <w:right w:val="nil"/>
          <w:between w:val="nil"/>
        </w:pBdr>
        <w:spacing w:after="120"/>
        <w:jc w:val="center"/>
        <w:rPr>
          <w:rFonts w:ascii="Arial" w:eastAsia="Arial" w:hAnsi="Arial" w:cs="Arial"/>
          <w:color w:val="000000"/>
        </w:rPr>
      </w:pPr>
      <w:r>
        <w:rPr>
          <w:rFonts w:ascii="Arial" w:eastAsia="Arial" w:hAnsi="Arial" w:cs="Arial"/>
          <w:b/>
          <w:color w:val="000000"/>
        </w:rPr>
        <w:t>Závěrečná ujednání</w:t>
      </w:r>
    </w:p>
    <w:p w:rsidR="00493067" w:rsidRDefault="00581DB8">
      <w:pPr>
        <w:numPr>
          <w:ilvl w:val="0"/>
          <w:numId w:val="6"/>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 xml:space="preserve">Smlouva odráží svobodný a vážný projev vůle smluvních stran. </w:t>
      </w:r>
    </w:p>
    <w:p w:rsidR="00493067" w:rsidRDefault="00581DB8">
      <w:pPr>
        <w:numPr>
          <w:ilvl w:val="0"/>
          <w:numId w:val="6"/>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lastRenderedPageBreak/>
        <w:t>Smluvní strany prohlašují, že veškerá práva a povinnosti daná touto smlouvou, jakož i práva a povinnosti z této smlouvy vyplývající, budou řešit podle ustanovení zákona č. 89/2012 Sb., občanský zákoník v aktuálním znění, zejména podle (obecných) ustanovení o závazkových vztazích.</w:t>
      </w:r>
    </w:p>
    <w:p w:rsidR="00493067" w:rsidRDefault="00581DB8">
      <w:pPr>
        <w:numPr>
          <w:ilvl w:val="0"/>
          <w:numId w:val="6"/>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Práva a povinnosti vyplývající z této smlouvy přecházejí na případné právní nástupce smluvních stran. Převádět práva a povinnosti z této smlouvy lze jen po písemném souhlasu druhé smluvní strany.</w:t>
      </w:r>
    </w:p>
    <w:p w:rsidR="00493067" w:rsidRDefault="00581DB8">
      <w:pPr>
        <w:numPr>
          <w:ilvl w:val="0"/>
          <w:numId w:val="6"/>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Všechna ustanovení smlouvy jsou oddělitelná, a pokud jakékoliv její ustanovení je anebo se stane neplatným či neúčinným, nebude tímto ovlivněna platnost či účinnost ostatních ustanovení, a smlouva bude posuzována jako by takové ustanovení nikdy neobsahovala.</w:t>
      </w:r>
    </w:p>
    <w:p w:rsidR="00493067" w:rsidRDefault="00581DB8">
      <w:pPr>
        <w:numPr>
          <w:ilvl w:val="0"/>
          <w:numId w:val="6"/>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Smlouva je vyhotovena ve 2 rovnocenných vyhotoveních, z nichž každé má platnost originálu. Každá smluvní strana obdrží po 1 vyhotovení.</w:t>
      </w:r>
    </w:p>
    <w:p w:rsidR="00493067" w:rsidRDefault="00581DB8">
      <w:pPr>
        <w:numPr>
          <w:ilvl w:val="0"/>
          <w:numId w:val="6"/>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Změny a doplňky této smlouvy je možné provádět pouze formou písemných oboustranně odsouhlasených postupně číslovaných dodatků.</w:t>
      </w:r>
    </w:p>
    <w:p w:rsidR="00493067" w:rsidRDefault="00581DB8">
      <w:pPr>
        <w:numPr>
          <w:ilvl w:val="0"/>
          <w:numId w:val="6"/>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Smlouva nabývá platnosti a účinnosti dnem oboustranného podpisu oprávněnými zástupci smluvních stran.</w:t>
      </w:r>
    </w:p>
    <w:p w:rsidR="00493067" w:rsidRDefault="00581DB8">
      <w:pPr>
        <w:numPr>
          <w:ilvl w:val="0"/>
          <w:numId w:val="6"/>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Veškeré spory mezi smluvními stranami vzniklé z této smlouvy budou řešeny smírnou cestou. Nebude-li smírného řešení dosaženo, sjednávají si smluvní strany místní příslušnost věcně příslušného soudu určenou dle sídla objednatele.</w:t>
      </w:r>
    </w:p>
    <w:p w:rsidR="00493067" w:rsidRDefault="00581DB8">
      <w:pPr>
        <w:numPr>
          <w:ilvl w:val="0"/>
          <w:numId w:val="6"/>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S osobními údaji a informacemi souvisejícími s plněním této smlouvy je zacházeno v souladu s Nařízením Evropského parlamentu a Rady (EU) 2019/679 ze dne 27</w:t>
      </w:r>
      <w:r w:rsidR="003D1B5A">
        <w:rPr>
          <w:rFonts w:ascii="Arial" w:eastAsia="Arial" w:hAnsi="Arial" w:cs="Arial"/>
          <w:color w:val="000000"/>
        </w:rPr>
        <w:t xml:space="preserve">. </w:t>
      </w:r>
      <w:r>
        <w:rPr>
          <w:rFonts w:ascii="Arial" w:eastAsia="Arial" w:hAnsi="Arial" w:cs="Arial"/>
          <w:color w:val="000000"/>
        </w:rPr>
        <w:t>dubna 2016, v platném znění.</w:t>
      </w:r>
    </w:p>
    <w:p w:rsidR="00493067" w:rsidRDefault="00581DB8">
      <w:pPr>
        <w:numPr>
          <w:ilvl w:val="0"/>
          <w:numId w:val="6"/>
        </w:numPr>
        <w:pBdr>
          <w:top w:val="nil"/>
          <w:left w:val="nil"/>
          <w:bottom w:val="nil"/>
          <w:right w:val="nil"/>
          <w:between w:val="nil"/>
        </w:pBdr>
        <w:spacing w:after="120"/>
        <w:ind w:left="426"/>
        <w:jc w:val="both"/>
        <w:rPr>
          <w:rFonts w:ascii="Arial" w:eastAsia="Arial" w:hAnsi="Arial" w:cs="Arial"/>
          <w:color w:val="000000"/>
        </w:rPr>
      </w:pPr>
      <w:r>
        <w:rPr>
          <w:rFonts w:ascii="Arial" w:eastAsia="Arial" w:hAnsi="Arial" w:cs="Arial"/>
          <w:color w:val="000000"/>
        </w:rPr>
        <w:t>Obě smluvní strany prohlašují, že si smlouvu pečlivě přečetly a na důkaz souhlasu s výše uvedenými ustanoveními připojují své podpisy:</w:t>
      </w:r>
    </w:p>
    <w:p w:rsidR="00493067" w:rsidRDefault="00493067">
      <w:pPr>
        <w:pBdr>
          <w:top w:val="nil"/>
          <w:left w:val="nil"/>
          <w:bottom w:val="nil"/>
          <w:right w:val="nil"/>
          <w:between w:val="nil"/>
        </w:pBdr>
        <w:spacing w:after="120"/>
        <w:ind w:left="426"/>
        <w:jc w:val="both"/>
        <w:rPr>
          <w:rFonts w:ascii="Arial" w:eastAsia="Arial" w:hAnsi="Arial" w:cs="Arial"/>
          <w:color w:val="000000"/>
        </w:rPr>
      </w:pPr>
    </w:p>
    <w:tbl>
      <w:tblPr>
        <w:tblStyle w:val="a"/>
        <w:tblW w:w="10147" w:type="dxa"/>
        <w:tblInd w:w="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493067">
        <w:trPr>
          <w:trHeight w:val="1640"/>
        </w:trPr>
        <w:tc>
          <w:tcPr>
            <w:tcW w:w="4846" w:type="dxa"/>
            <w:tcBorders>
              <w:top w:val="single" w:sz="18" w:space="0" w:color="000000"/>
              <w:left w:val="single" w:sz="18" w:space="0" w:color="000000"/>
              <w:bottom w:val="single" w:sz="18" w:space="0" w:color="000000"/>
            </w:tcBorders>
          </w:tcPr>
          <w:p w:rsidR="00493067" w:rsidRDefault="00581DB8">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 Razítko a podpis poskytovatele</w:t>
            </w:r>
          </w:p>
          <w:p w:rsidR="00493067" w:rsidRDefault="00493067">
            <w:pPr>
              <w:pBdr>
                <w:top w:val="nil"/>
                <w:left w:val="nil"/>
                <w:bottom w:val="nil"/>
                <w:right w:val="nil"/>
                <w:between w:val="nil"/>
              </w:pBdr>
              <w:spacing w:after="120" w:line="276" w:lineRule="auto"/>
              <w:jc w:val="center"/>
              <w:rPr>
                <w:rFonts w:ascii="Arial" w:eastAsia="Arial" w:hAnsi="Arial" w:cs="Arial"/>
                <w:color w:val="000000"/>
              </w:rPr>
            </w:pPr>
          </w:p>
          <w:p w:rsidR="00493067" w:rsidRDefault="00493067">
            <w:pPr>
              <w:pBdr>
                <w:top w:val="nil"/>
                <w:left w:val="nil"/>
                <w:bottom w:val="nil"/>
                <w:right w:val="nil"/>
                <w:between w:val="nil"/>
              </w:pBdr>
              <w:spacing w:after="120" w:line="276" w:lineRule="auto"/>
              <w:jc w:val="center"/>
              <w:rPr>
                <w:rFonts w:ascii="Arial" w:eastAsia="Arial" w:hAnsi="Arial" w:cs="Arial"/>
                <w:color w:val="000000"/>
              </w:rPr>
            </w:pPr>
          </w:p>
          <w:p w:rsidR="00493067" w:rsidRDefault="00493067">
            <w:pPr>
              <w:pBdr>
                <w:top w:val="nil"/>
                <w:left w:val="nil"/>
                <w:bottom w:val="nil"/>
                <w:right w:val="nil"/>
                <w:between w:val="nil"/>
              </w:pBdr>
              <w:spacing w:after="120" w:line="276" w:lineRule="auto"/>
              <w:jc w:val="center"/>
              <w:rPr>
                <w:rFonts w:ascii="Arial" w:eastAsia="Arial" w:hAnsi="Arial" w:cs="Arial"/>
                <w:color w:val="000000"/>
              </w:rPr>
            </w:pPr>
          </w:p>
          <w:p w:rsidR="00493067" w:rsidRDefault="00493067">
            <w:pPr>
              <w:pBdr>
                <w:top w:val="nil"/>
                <w:left w:val="nil"/>
                <w:bottom w:val="nil"/>
                <w:right w:val="nil"/>
                <w:between w:val="nil"/>
              </w:pBdr>
              <w:spacing w:after="120" w:line="276" w:lineRule="auto"/>
              <w:jc w:val="center"/>
              <w:rPr>
                <w:rFonts w:ascii="Arial" w:eastAsia="Arial" w:hAnsi="Arial" w:cs="Arial"/>
                <w:color w:val="000000"/>
              </w:rPr>
            </w:pPr>
          </w:p>
          <w:p w:rsidR="00493067" w:rsidRDefault="00581DB8">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w:t>
            </w:r>
          </w:p>
          <w:p w:rsidR="00493067" w:rsidRDefault="00581DB8">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rPr>
              <w:t>Liberec,</w:t>
            </w:r>
            <w:r>
              <w:rPr>
                <w:rFonts w:ascii="Arial" w:eastAsia="Arial" w:hAnsi="Arial" w:cs="Arial"/>
                <w:color w:val="000000"/>
              </w:rPr>
              <w:t xml:space="preserve"> </w:t>
            </w:r>
            <w:proofErr w:type="gramStart"/>
            <w:r>
              <w:rPr>
                <w:rFonts w:ascii="Arial" w:eastAsia="Arial" w:hAnsi="Arial" w:cs="Arial"/>
                <w:color w:val="000000"/>
              </w:rPr>
              <w:t>dne                     2019</w:t>
            </w:r>
            <w:proofErr w:type="gramEnd"/>
          </w:p>
        </w:tc>
        <w:tc>
          <w:tcPr>
            <w:tcW w:w="5301" w:type="dxa"/>
            <w:tcBorders>
              <w:top w:val="single" w:sz="18" w:space="0" w:color="000000"/>
              <w:left w:val="single" w:sz="12" w:space="0" w:color="000000"/>
              <w:bottom w:val="single" w:sz="18" w:space="0" w:color="000000"/>
              <w:right w:val="single" w:sz="18" w:space="0" w:color="000000"/>
            </w:tcBorders>
          </w:tcPr>
          <w:p w:rsidR="00493067" w:rsidRDefault="00581DB8">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 Razítko a podpis objednatele</w:t>
            </w:r>
          </w:p>
          <w:p w:rsidR="00493067" w:rsidRDefault="00493067">
            <w:pPr>
              <w:pBdr>
                <w:top w:val="nil"/>
                <w:left w:val="nil"/>
                <w:bottom w:val="nil"/>
                <w:right w:val="nil"/>
                <w:between w:val="nil"/>
              </w:pBdr>
              <w:spacing w:after="120" w:line="276" w:lineRule="auto"/>
              <w:jc w:val="center"/>
              <w:rPr>
                <w:rFonts w:ascii="Arial" w:eastAsia="Arial" w:hAnsi="Arial" w:cs="Arial"/>
                <w:color w:val="000000"/>
              </w:rPr>
            </w:pPr>
          </w:p>
          <w:p w:rsidR="00493067" w:rsidRDefault="00493067">
            <w:pPr>
              <w:pBdr>
                <w:top w:val="nil"/>
                <w:left w:val="nil"/>
                <w:bottom w:val="nil"/>
                <w:right w:val="nil"/>
                <w:between w:val="nil"/>
              </w:pBdr>
              <w:spacing w:after="120" w:line="276" w:lineRule="auto"/>
              <w:jc w:val="center"/>
              <w:rPr>
                <w:rFonts w:ascii="Arial" w:eastAsia="Arial" w:hAnsi="Arial" w:cs="Arial"/>
                <w:color w:val="000000"/>
              </w:rPr>
            </w:pPr>
          </w:p>
          <w:p w:rsidR="00493067" w:rsidRDefault="00493067">
            <w:pPr>
              <w:pBdr>
                <w:top w:val="nil"/>
                <w:left w:val="nil"/>
                <w:bottom w:val="nil"/>
                <w:right w:val="nil"/>
                <w:between w:val="nil"/>
              </w:pBdr>
              <w:spacing w:after="120" w:line="276" w:lineRule="auto"/>
              <w:jc w:val="center"/>
              <w:rPr>
                <w:rFonts w:ascii="Arial" w:eastAsia="Arial" w:hAnsi="Arial" w:cs="Arial"/>
                <w:color w:val="000000"/>
              </w:rPr>
            </w:pPr>
          </w:p>
          <w:p w:rsidR="00493067" w:rsidRDefault="00493067">
            <w:pPr>
              <w:pBdr>
                <w:top w:val="nil"/>
                <w:left w:val="nil"/>
                <w:bottom w:val="nil"/>
                <w:right w:val="nil"/>
                <w:between w:val="nil"/>
              </w:pBdr>
              <w:spacing w:after="120" w:line="276" w:lineRule="auto"/>
              <w:jc w:val="center"/>
              <w:rPr>
                <w:rFonts w:ascii="Arial" w:eastAsia="Arial" w:hAnsi="Arial" w:cs="Arial"/>
                <w:color w:val="000000"/>
              </w:rPr>
            </w:pPr>
          </w:p>
          <w:p w:rsidR="00493067" w:rsidRDefault="00581DB8">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w:t>
            </w:r>
          </w:p>
          <w:p w:rsidR="00493067" w:rsidRDefault="00581DB8">
            <w:pPr>
              <w:pBdr>
                <w:top w:val="nil"/>
                <w:left w:val="nil"/>
                <w:bottom w:val="nil"/>
                <w:right w:val="nil"/>
                <w:between w:val="nil"/>
              </w:pBdr>
              <w:spacing w:after="120" w:line="276" w:lineRule="auto"/>
              <w:jc w:val="center"/>
              <w:rPr>
                <w:rFonts w:ascii="Arial" w:eastAsia="Arial" w:hAnsi="Arial" w:cs="Arial"/>
                <w:color w:val="000000"/>
              </w:rPr>
            </w:pPr>
            <w:bookmarkStart w:id="0" w:name="_GoBack"/>
            <w:bookmarkEnd w:id="0"/>
            <w:r>
              <w:rPr>
                <w:rFonts w:ascii="Arial" w:eastAsia="Arial" w:hAnsi="Arial" w:cs="Arial"/>
              </w:rPr>
              <w:t>Varnsdorf,</w:t>
            </w:r>
            <w:r>
              <w:rPr>
                <w:rFonts w:ascii="Arial" w:eastAsia="Arial" w:hAnsi="Arial" w:cs="Arial"/>
                <w:color w:val="000000"/>
              </w:rPr>
              <w:t xml:space="preserve"> dne                  2019</w:t>
            </w:r>
          </w:p>
        </w:tc>
      </w:tr>
    </w:tbl>
    <w:p w:rsidR="00493067" w:rsidRDefault="00493067">
      <w:pPr>
        <w:pBdr>
          <w:top w:val="nil"/>
          <w:left w:val="nil"/>
          <w:bottom w:val="nil"/>
          <w:right w:val="nil"/>
          <w:between w:val="nil"/>
        </w:pBdr>
        <w:spacing w:after="268"/>
        <w:rPr>
          <w:rFonts w:ascii="Arial" w:eastAsia="Arial" w:hAnsi="Arial" w:cs="Arial"/>
        </w:rPr>
      </w:pPr>
    </w:p>
    <w:p w:rsidR="00493067" w:rsidRDefault="00493067">
      <w:pPr>
        <w:pBdr>
          <w:top w:val="nil"/>
          <w:left w:val="nil"/>
          <w:bottom w:val="nil"/>
          <w:right w:val="nil"/>
          <w:between w:val="nil"/>
        </w:pBdr>
        <w:spacing w:after="268"/>
        <w:rPr>
          <w:rFonts w:ascii="Arial" w:eastAsia="Arial" w:hAnsi="Arial" w:cs="Arial"/>
        </w:rPr>
      </w:pPr>
    </w:p>
    <w:p w:rsidR="00493067" w:rsidRDefault="00493067">
      <w:pPr>
        <w:spacing w:after="268"/>
        <w:jc w:val="right"/>
        <w:rPr>
          <w:rFonts w:ascii="Arial" w:eastAsia="Arial" w:hAnsi="Arial" w:cs="Arial"/>
          <w:b/>
        </w:rPr>
      </w:pPr>
    </w:p>
    <w:p w:rsidR="00493067" w:rsidRDefault="00493067">
      <w:pPr>
        <w:spacing w:after="268"/>
        <w:jc w:val="right"/>
        <w:rPr>
          <w:rFonts w:ascii="Arial" w:eastAsia="Arial" w:hAnsi="Arial" w:cs="Arial"/>
          <w:b/>
        </w:rPr>
      </w:pPr>
    </w:p>
    <w:p w:rsidR="00493067" w:rsidRDefault="00493067">
      <w:pPr>
        <w:spacing w:after="268"/>
        <w:jc w:val="right"/>
        <w:rPr>
          <w:rFonts w:ascii="Arial" w:eastAsia="Arial" w:hAnsi="Arial" w:cs="Arial"/>
          <w:b/>
        </w:rPr>
      </w:pPr>
    </w:p>
    <w:p w:rsidR="00493067" w:rsidRDefault="00493067">
      <w:pPr>
        <w:spacing w:after="268"/>
        <w:jc w:val="right"/>
        <w:rPr>
          <w:rFonts w:ascii="Arial" w:eastAsia="Arial" w:hAnsi="Arial" w:cs="Arial"/>
          <w:b/>
        </w:rPr>
      </w:pPr>
    </w:p>
    <w:p w:rsidR="003D1B5A" w:rsidRDefault="003D1B5A">
      <w:pPr>
        <w:spacing w:after="268"/>
        <w:jc w:val="right"/>
        <w:rPr>
          <w:rFonts w:ascii="Arial" w:eastAsia="Arial" w:hAnsi="Arial" w:cs="Arial"/>
          <w:b/>
        </w:rPr>
      </w:pPr>
    </w:p>
    <w:p w:rsidR="003D1B5A" w:rsidRDefault="003D1B5A">
      <w:pPr>
        <w:spacing w:after="268"/>
        <w:jc w:val="right"/>
        <w:rPr>
          <w:rFonts w:ascii="Arial" w:eastAsia="Arial" w:hAnsi="Arial" w:cs="Arial"/>
          <w:b/>
        </w:rPr>
      </w:pPr>
    </w:p>
    <w:p w:rsidR="003D1B5A" w:rsidRDefault="003D1B5A">
      <w:pPr>
        <w:spacing w:after="268"/>
        <w:jc w:val="right"/>
        <w:rPr>
          <w:rFonts w:ascii="Arial" w:eastAsia="Arial" w:hAnsi="Arial" w:cs="Arial"/>
          <w:b/>
        </w:rPr>
      </w:pPr>
    </w:p>
    <w:p w:rsidR="00493067" w:rsidRDefault="00493067">
      <w:pPr>
        <w:spacing w:after="268"/>
        <w:jc w:val="right"/>
        <w:rPr>
          <w:rFonts w:ascii="Arial" w:eastAsia="Arial" w:hAnsi="Arial" w:cs="Arial"/>
          <w:b/>
        </w:rPr>
      </w:pPr>
    </w:p>
    <w:p w:rsidR="00493067" w:rsidRDefault="00581DB8">
      <w:pPr>
        <w:spacing w:after="268"/>
        <w:jc w:val="right"/>
        <w:rPr>
          <w:rFonts w:ascii="Arial" w:eastAsia="Arial" w:hAnsi="Arial" w:cs="Arial"/>
          <w:b/>
        </w:rPr>
      </w:pPr>
      <w:r>
        <w:rPr>
          <w:rFonts w:ascii="Arial" w:eastAsia="Arial" w:hAnsi="Arial" w:cs="Arial"/>
          <w:b/>
        </w:rPr>
        <w:t>PŘÍLOHA</w:t>
      </w:r>
    </w:p>
    <w:tbl>
      <w:tblPr>
        <w:tblStyle w:val="a0"/>
        <w:tblW w:w="8850" w:type="dxa"/>
        <w:tblInd w:w="14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493067">
        <w:trPr>
          <w:trHeight w:val="9480"/>
        </w:trPr>
        <w:tc>
          <w:tcPr>
            <w:tcW w:w="8850" w:type="dxa"/>
            <w:tcBorders>
              <w:top w:val="nil"/>
              <w:left w:val="nil"/>
              <w:bottom w:val="nil"/>
              <w:right w:val="nil"/>
            </w:tcBorders>
            <w:tcMar>
              <w:top w:w="100" w:type="dxa"/>
              <w:left w:w="140" w:type="dxa"/>
              <w:bottom w:w="100" w:type="dxa"/>
              <w:right w:w="140" w:type="dxa"/>
            </w:tcMar>
          </w:tcPr>
          <w:p w:rsidR="00493067" w:rsidRDefault="00581DB8">
            <w:pPr>
              <w:spacing w:before="120" w:after="120"/>
              <w:jc w:val="both"/>
              <w:rPr>
                <w:rFonts w:ascii="Arial" w:eastAsia="Arial" w:hAnsi="Arial" w:cs="Arial"/>
                <w:b/>
                <w:smallCaps/>
                <w:color w:val="1F497D"/>
              </w:rPr>
            </w:pPr>
            <w:r>
              <w:rPr>
                <w:rFonts w:ascii="Arial" w:eastAsia="Arial" w:hAnsi="Arial" w:cs="Arial"/>
                <w:b/>
                <w:smallCaps/>
                <w:color w:val="1F497D"/>
              </w:rPr>
              <w:lastRenderedPageBreak/>
              <w:t>I Základní služby BOZP</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1.   </w:t>
            </w:r>
            <w:r>
              <w:rPr>
                <w:rFonts w:ascii="Arial" w:eastAsia="Arial" w:hAnsi="Arial" w:cs="Arial"/>
              </w:rPr>
              <w:tab/>
              <w:t xml:space="preserve">Provedeme </w:t>
            </w:r>
            <w:r>
              <w:rPr>
                <w:rFonts w:ascii="Arial" w:eastAsia="Arial" w:hAnsi="Arial" w:cs="Arial"/>
                <w:b/>
              </w:rPr>
              <w:t>roční prověrku BOZP</w:t>
            </w:r>
            <w:r>
              <w:rPr>
                <w:rFonts w:ascii="Arial" w:eastAsia="Arial" w:hAnsi="Arial" w:cs="Arial"/>
              </w:rPr>
              <w:t xml:space="preserve"> podle zákona č. 262/2006 Sb. Zákoníku Práce včetně vyhotovení zápisu z této prověrky podle § 108 Zákoníku Práce </w:t>
            </w:r>
            <w:r>
              <w:rPr>
                <w:rFonts w:ascii="Arial" w:eastAsia="Arial" w:hAnsi="Arial" w:cs="Arial"/>
                <w:b/>
                <w:color w:val="C00000"/>
              </w:rPr>
              <w:t>1x ročně</w:t>
            </w:r>
            <w:r>
              <w:rPr>
                <w:rFonts w:ascii="Arial" w:eastAsia="Arial" w:hAnsi="Arial" w:cs="Arial"/>
              </w:rPr>
              <w:t>.</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2.   </w:t>
            </w:r>
            <w:r>
              <w:rPr>
                <w:rFonts w:ascii="Arial" w:eastAsia="Arial" w:hAnsi="Arial" w:cs="Arial"/>
              </w:rPr>
              <w:tab/>
            </w:r>
            <w:r>
              <w:rPr>
                <w:rFonts w:ascii="Arial" w:eastAsia="Arial" w:hAnsi="Arial" w:cs="Arial"/>
                <w:b/>
              </w:rPr>
              <w:t>Provedeme periodické školení pro vedoucí zaměstnance o BOZP</w:t>
            </w:r>
            <w:r>
              <w:rPr>
                <w:rFonts w:ascii="Arial" w:eastAsia="Arial" w:hAnsi="Arial" w:cs="Arial"/>
              </w:rPr>
              <w:t xml:space="preserve"> podle § 103 odst. 2 Zákoníku Práce </w:t>
            </w:r>
            <w:r>
              <w:rPr>
                <w:rFonts w:ascii="Arial" w:eastAsia="Arial" w:hAnsi="Arial" w:cs="Arial"/>
                <w:b/>
                <w:color w:val="C00000"/>
              </w:rPr>
              <w:t>1x za 3 roky</w:t>
            </w:r>
            <w:r>
              <w:rPr>
                <w:rFonts w:ascii="Arial" w:eastAsia="Arial" w:hAnsi="Arial" w:cs="Arial"/>
              </w:rPr>
              <w:t>.</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3.   </w:t>
            </w:r>
            <w:r>
              <w:rPr>
                <w:rFonts w:ascii="Arial" w:eastAsia="Arial" w:hAnsi="Arial" w:cs="Arial"/>
              </w:rPr>
              <w:tab/>
            </w:r>
            <w:r>
              <w:rPr>
                <w:rFonts w:ascii="Arial" w:eastAsia="Arial" w:hAnsi="Arial" w:cs="Arial"/>
                <w:b/>
              </w:rPr>
              <w:t>Provedeme periodické školení pro zaměstnance o BOZP</w:t>
            </w:r>
            <w:r>
              <w:rPr>
                <w:rFonts w:ascii="Arial" w:eastAsia="Arial" w:hAnsi="Arial" w:cs="Arial"/>
              </w:rPr>
              <w:t xml:space="preserve"> podle § 103 odst. 3 Zákoníku Práce </w:t>
            </w:r>
            <w:r>
              <w:rPr>
                <w:rFonts w:ascii="Arial" w:eastAsia="Arial" w:hAnsi="Arial" w:cs="Arial"/>
                <w:b/>
                <w:color w:val="C00000"/>
              </w:rPr>
              <w:t>1x za 2 roky</w:t>
            </w:r>
            <w:r>
              <w:rPr>
                <w:rFonts w:ascii="Arial" w:eastAsia="Arial" w:hAnsi="Arial" w:cs="Arial"/>
              </w:rPr>
              <w:t>.</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4.   </w:t>
            </w:r>
            <w:r>
              <w:rPr>
                <w:rFonts w:ascii="Arial" w:eastAsia="Arial" w:hAnsi="Arial" w:cs="Arial"/>
              </w:rPr>
              <w:tab/>
            </w:r>
            <w:r>
              <w:rPr>
                <w:rFonts w:ascii="Arial" w:eastAsia="Arial" w:hAnsi="Arial" w:cs="Arial"/>
                <w:b/>
              </w:rPr>
              <w:t>Zastoupíme Vás u kontrol státních orgánů:</w:t>
            </w:r>
            <w:r>
              <w:rPr>
                <w:rFonts w:ascii="Arial" w:eastAsia="Arial" w:hAnsi="Arial" w:cs="Arial"/>
              </w:rPr>
              <w:t xml:space="preserve"> Oblastního Inspektorátu Práce, Krajské Hygienické Stanice.</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5.   </w:t>
            </w:r>
            <w:r>
              <w:rPr>
                <w:rFonts w:ascii="Arial" w:eastAsia="Arial" w:hAnsi="Arial" w:cs="Arial"/>
              </w:rPr>
              <w:tab/>
              <w:t>Poskytneme Vám veškerou</w:t>
            </w:r>
            <w:r>
              <w:rPr>
                <w:rFonts w:ascii="Arial" w:eastAsia="Arial" w:hAnsi="Arial" w:cs="Arial"/>
                <w:b/>
              </w:rPr>
              <w:t xml:space="preserve"> poradenskou</w:t>
            </w:r>
            <w:r>
              <w:rPr>
                <w:rFonts w:ascii="Arial" w:eastAsia="Arial" w:hAnsi="Arial" w:cs="Arial"/>
              </w:rPr>
              <w:t xml:space="preserve"> </w:t>
            </w:r>
            <w:r>
              <w:rPr>
                <w:rFonts w:ascii="Arial" w:eastAsia="Arial" w:hAnsi="Arial" w:cs="Arial"/>
                <w:b/>
              </w:rPr>
              <w:t xml:space="preserve">činnost v oblasti BOZP </w:t>
            </w:r>
            <w:r>
              <w:rPr>
                <w:rFonts w:ascii="Arial" w:eastAsia="Arial" w:hAnsi="Arial" w:cs="Arial"/>
              </w:rPr>
              <w:t>např. v případě pracovního úrazu, škodní události, požáru a havarijní události</w:t>
            </w:r>
          </w:p>
          <w:p w:rsidR="00493067" w:rsidRDefault="00581DB8">
            <w:pPr>
              <w:spacing w:before="60" w:after="60"/>
              <w:ind w:left="820" w:hanging="360"/>
              <w:jc w:val="both"/>
              <w:rPr>
                <w:rFonts w:ascii="Arial" w:eastAsia="Arial" w:hAnsi="Arial" w:cs="Arial"/>
                <w:b/>
                <w:color w:val="0000FF"/>
              </w:rPr>
            </w:pPr>
            <w:r>
              <w:rPr>
                <w:rFonts w:ascii="Arial" w:eastAsia="Arial" w:hAnsi="Arial" w:cs="Arial"/>
              </w:rPr>
              <w:t xml:space="preserve">6.   </w:t>
            </w:r>
            <w:r>
              <w:rPr>
                <w:rFonts w:ascii="Arial" w:eastAsia="Arial" w:hAnsi="Arial" w:cs="Arial"/>
              </w:rPr>
              <w:tab/>
              <w:t xml:space="preserve">Zpracujeme </w:t>
            </w:r>
            <w:r>
              <w:rPr>
                <w:rFonts w:ascii="Arial" w:eastAsia="Arial" w:hAnsi="Arial" w:cs="Arial"/>
                <w:b/>
              </w:rPr>
              <w:t xml:space="preserve">dokumentaci o BOZP </w:t>
            </w:r>
            <w:r>
              <w:rPr>
                <w:rFonts w:ascii="Arial" w:eastAsia="Arial" w:hAnsi="Arial" w:cs="Arial"/>
              </w:rPr>
              <w:t>v nutném rozsahu podle Zákoníku Práce. – směrnice, provozní řády, formuláře nutné naplnění povinností vyplývajících z legislativy a další…</w:t>
            </w:r>
            <w:r>
              <w:rPr>
                <w:rFonts w:ascii="Arial" w:eastAsia="Arial" w:hAnsi="Arial" w:cs="Arial"/>
                <w:b/>
                <w:color w:val="0000FF"/>
              </w:rPr>
              <w:t>Udržujeme v aktuálním stavu v elektronické podobě na Google disku.</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7.   </w:t>
            </w:r>
            <w:r>
              <w:rPr>
                <w:rFonts w:ascii="Arial" w:eastAsia="Arial" w:hAnsi="Arial" w:cs="Arial"/>
              </w:rPr>
              <w:tab/>
              <w:t>Poskytneme poradenskou a konzultační činnost v rámci konkrétních výstupů ze směrnic – oblast Ochranných pracovních pomůcek, preventivní a periodické prohlídky a další potřebná dokumentace. Metodické vedení.</w:t>
            </w:r>
          </w:p>
          <w:p w:rsidR="00493067" w:rsidRDefault="00493067">
            <w:pPr>
              <w:spacing w:after="120"/>
              <w:rPr>
                <w:rFonts w:ascii="Arial" w:eastAsia="Arial" w:hAnsi="Arial" w:cs="Arial"/>
                <w:b/>
                <w:smallCaps/>
                <w:color w:val="1F497D"/>
                <w:highlight w:val="white"/>
              </w:rPr>
            </w:pPr>
          </w:p>
          <w:p w:rsidR="00493067" w:rsidRDefault="00581DB8">
            <w:pPr>
              <w:spacing w:after="120"/>
              <w:rPr>
                <w:rFonts w:ascii="Arial" w:eastAsia="Arial" w:hAnsi="Arial" w:cs="Arial"/>
                <w:b/>
                <w:smallCaps/>
                <w:color w:val="1F497D"/>
                <w:highlight w:val="white"/>
              </w:rPr>
            </w:pPr>
            <w:r>
              <w:rPr>
                <w:rFonts w:ascii="Arial" w:eastAsia="Arial" w:hAnsi="Arial" w:cs="Arial"/>
                <w:b/>
                <w:smallCaps/>
                <w:color w:val="1F497D"/>
                <w:highlight w:val="white"/>
              </w:rPr>
              <w:t>II Základní služby PO</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1.   </w:t>
            </w:r>
            <w:r>
              <w:rPr>
                <w:rFonts w:ascii="Arial" w:eastAsia="Arial" w:hAnsi="Arial" w:cs="Arial"/>
              </w:rPr>
              <w:tab/>
            </w:r>
            <w:r>
              <w:rPr>
                <w:rFonts w:ascii="Arial" w:eastAsia="Arial" w:hAnsi="Arial" w:cs="Arial"/>
                <w:b/>
              </w:rPr>
              <w:t>Provedeme periodické školení pro vedoucí zaměstnance a zaměstnance o PO</w:t>
            </w:r>
            <w:r>
              <w:rPr>
                <w:rFonts w:ascii="Arial" w:eastAsia="Arial" w:hAnsi="Arial" w:cs="Arial"/>
              </w:rPr>
              <w:t xml:space="preserve"> dle §16 zákona 133/1985 Sb. </w:t>
            </w:r>
            <w:r>
              <w:rPr>
                <w:rFonts w:ascii="Arial" w:eastAsia="Arial" w:hAnsi="Arial" w:cs="Arial"/>
                <w:b/>
                <w:color w:val="C00000"/>
              </w:rPr>
              <w:t>1x za 3 roky</w:t>
            </w:r>
            <w:r>
              <w:rPr>
                <w:rFonts w:ascii="Arial" w:eastAsia="Arial" w:hAnsi="Arial" w:cs="Arial"/>
              </w:rPr>
              <w:t>.</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2.   </w:t>
            </w:r>
            <w:r>
              <w:rPr>
                <w:rFonts w:ascii="Arial" w:eastAsia="Arial" w:hAnsi="Arial" w:cs="Arial"/>
              </w:rPr>
              <w:tab/>
            </w:r>
            <w:r>
              <w:rPr>
                <w:rFonts w:ascii="Arial" w:eastAsia="Arial" w:hAnsi="Arial" w:cs="Arial"/>
                <w:b/>
              </w:rPr>
              <w:t>Provedeme periodické školení pro zaměstnance o PO</w:t>
            </w:r>
            <w:r>
              <w:rPr>
                <w:rFonts w:ascii="Arial" w:eastAsia="Arial" w:hAnsi="Arial" w:cs="Arial"/>
              </w:rPr>
              <w:t xml:space="preserve"> dle zákona 133/1985 Sb. </w:t>
            </w:r>
            <w:r>
              <w:rPr>
                <w:rFonts w:ascii="Arial" w:eastAsia="Arial" w:hAnsi="Arial" w:cs="Arial"/>
                <w:b/>
                <w:color w:val="C00000"/>
              </w:rPr>
              <w:t>1x za 2 roky</w:t>
            </w:r>
            <w:r>
              <w:rPr>
                <w:rFonts w:ascii="Arial" w:eastAsia="Arial" w:hAnsi="Arial" w:cs="Arial"/>
              </w:rPr>
              <w:t>.</w:t>
            </w:r>
          </w:p>
          <w:p w:rsidR="00493067" w:rsidRDefault="00581DB8">
            <w:pPr>
              <w:spacing w:before="60" w:after="60"/>
              <w:ind w:left="820" w:hanging="360"/>
              <w:jc w:val="both"/>
              <w:rPr>
                <w:rFonts w:ascii="Arial" w:eastAsia="Arial" w:hAnsi="Arial" w:cs="Arial"/>
                <w:b/>
                <w:color w:val="C00000"/>
              </w:rPr>
            </w:pPr>
            <w:r>
              <w:rPr>
                <w:rFonts w:ascii="Arial" w:eastAsia="Arial" w:hAnsi="Arial" w:cs="Arial"/>
              </w:rPr>
              <w:t xml:space="preserve">3.   </w:t>
            </w:r>
            <w:r>
              <w:rPr>
                <w:rFonts w:ascii="Arial" w:eastAsia="Arial" w:hAnsi="Arial" w:cs="Arial"/>
              </w:rPr>
              <w:tab/>
            </w:r>
            <w:r>
              <w:rPr>
                <w:rFonts w:ascii="Arial" w:eastAsia="Arial" w:hAnsi="Arial" w:cs="Arial"/>
                <w:b/>
              </w:rPr>
              <w:t>Provedeme odbornou přípravu jmenovaných velitelů a členů požárních hlídek</w:t>
            </w:r>
            <w:r>
              <w:rPr>
                <w:rFonts w:ascii="Arial" w:eastAsia="Arial" w:hAnsi="Arial" w:cs="Arial"/>
              </w:rPr>
              <w:t xml:space="preserve"> podle § 24 vyhlášky MV č. 246/2001 Sb. o Požární Prevenci </w:t>
            </w:r>
            <w:r>
              <w:rPr>
                <w:rFonts w:ascii="Arial" w:eastAsia="Arial" w:hAnsi="Arial" w:cs="Arial"/>
                <w:b/>
                <w:color w:val="C00000"/>
              </w:rPr>
              <w:t>1x ročně</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4.   </w:t>
            </w:r>
            <w:r>
              <w:rPr>
                <w:rFonts w:ascii="Arial" w:eastAsia="Arial" w:hAnsi="Arial" w:cs="Arial"/>
              </w:rPr>
              <w:tab/>
            </w:r>
            <w:r>
              <w:rPr>
                <w:rFonts w:ascii="Arial" w:eastAsia="Arial" w:hAnsi="Arial" w:cs="Arial"/>
                <w:b/>
              </w:rPr>
              <w:t>Zastoupíme Vás u kontrol státních odborných úřadů:</w:t>
            </w:r>
            <w:r>
              <w:rPr>
                <w:rFonts w:ascii="Arial" w:eastAsia="Arial" w:hAnsi="Arial" w:cs="Arial"/>
              </w:rPr>
              <w:t xml:space="preserve"> Hasičského Záchranného Sboru, popřípadě součinnost při kontrolách IBP a Krajské hygienické kontroly.</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5.   </w:t>
            </w:r>
            <w:r>
              <w:rPr>
                <w:rFonts w:ascii="Arial" w:eastAsia="Arial" w:hAnsi="Arial" w:cs="Arial"/>
              </w:rPr>
              <w:tab/>
              <w:t>Poskytneme Vám veškerou</w:t>
            </w:r>
            <w:r>
              <w:rPr>
                <w:rFonts w:ascii="Arial" w:eastAsia="Arial" w:hAnsi="Arial" w:cs="Arial"/>
                <w:b/>
              </w:rPr>
              <w:t xml:space="preserve"> poradenskou</w:t>
            </w:r>
            <w:r>
              <w:rPr>
                <w:rFonts w:ascii="Arial" w:eastAsia="Arial" w:hAnsi="Arial" w:cs="Arial"/>
              </w:rPr>
              <w:t xml:space="preserve"> </w:t>
            </w:r>
            <w:r>
              <w:rPr>
                <w:rFonts w:ascii="Arial" w:eastAsia="Arial" w:hAnsi="Arial" w:cs="Arial"/>
                <w:b/>
              </w:rPr>
              <w:t>činnost v oblasti PO</w:t>
            </w:r>
            <w:r>
              <w:rPr>
                <w:rFonts w:ascii="Arial" w:eastAsia="Arial" w:hAnsi="Arial" w:cs="Arial"/>
              </w:rPr>
              <w:t xml:space="preserve"> např. škodní události, požáru a havarijní události.</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6.   </w:t>
            </w:r>
            <w:r>
              <w:rPr>
                <w:rFonts w:ascii="Arial" w:eastAsia="Arial" w:hAnsi="Arial" w:cs="Arial"/>
              </w:rPr>
              <w:tab/>
              <w:t xml:space="preserve">Zpracujeme / aktualizujeme/ vedeme </w:t>
            </w:r>
            <w:r>
              <w:rPr>
                <w:rFonts w:ascii="Arial" w:eastAsia="Arial" w:hAnsi="Arial" w:cs="Arial"/>
                <w:b/>
              </w:rPr>
              <w:t>dokumentaci o PO</w:t>
            </w:r>
            <w:r>
              <w:rPr>
                <w:rFonts w:ascii="Arial" w:eastAsia="Arial" w:hAnsi="Arial" w:cs="Arial"/>
              </w:rPr>
              <w:t xml:space="preserve"> v nutném rozsahu dle zákona 133/1985 Sb.</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7.   </w:t>
            </w:r>
            <w:r>
              <w:rPr>
                <w:rFonts w:ascii="Arial" w:eastAsia="Arial" w:hAnsi="Arial" w:cs="Arial"/>
              </w:rPr>
              <w:tab/>
              <w:t>Provedeme posouzení začlenění do zvýšeného požárního nebezpečí (dále jen ZPN).</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8.   </w:t>
            </w:r>
            <w:r>
              <w:rPr>
                <w:rFonts w:ascii="Arial" w:eastAsia="Arial" w:hAnsi="Arial" w:cs="Arial"/>
              </w:rPr>
              <w:tab/>
              <w:t xml:space="preserve">Provedeme </w:t>
            </w:r>
            <w:r>
              <w:rPr>
                <w:rFonts w:ascii="Arial" w:eastAsia="Arial" w:hAnsi="Arial" w:cs="Arial"/>
                <w:b/>
              </w:rPr>
              <w:t xml:space="preserve">preventivní prohlídku objektu </w:t>
            </w:r>
            <w:r>
              <w:rPr>
                <w:rFonts w:ascii="Arial" w:eastAsia="Arial" w:hAnsi="Arial" w:cs="Arial"/>
                <w:b/>
                <w:color w:val="C00000"/>
              </w:rPr>
              <w:t>1x za ½ roku</w:t>
            </w:r>
            <w:r>
              <w:rPr>
                <w:rFonts w:ascii="Arial" w:eastAsia="Arial" w:hAnsi="Arial" w:cs="Arial"/>
              </w:rPr>
              <w:t xml:space="preserve"> (V případě ZPN) nebo </w:t>
            </w:r>
            <w:r>
              <w:rPr>
                <w:rFonts w:ascii="Arial" w:eastAsia="Arial" w:hAnsi="Arial" w:cs="Arial"/>
                <w:b/>
                <w:color w:val="FF0000"/>
              </w:rPr>
              <w:t>1 x za rok</w:t>
            </w:r>
            <w:r>
              <w:rPr>
                <w:rFonts w:ascii="Arial" w:eastAsia="Arial" w:hAnsi="Arial" w:cs="Arial"/>
              </w:rPr>
              <w:t xml:space="preserve"> v případě bez ZPN, s návrhem přijatých opatření dle § 5 odst. 1 písm. e.) zákona č. 133/1985 sb. o Požární ochraně včetně metodické realizace nápravných opatření na místě zjištění.</w:t>
            </w:r>
          </w:p>
          <w:p w:rsidR="00493067" w:rsidRDefault="00581DB8">
            <w:pPr>
              <w:spacing w:before="60" w:after="60"/>
              <w:ind w:left="820" w:hanging="360"/>
              <w:jc w:val="both"/>
              <w:rPr>
                <w:rFonts w:ascii="Arial" w:eastAsia="Arial" w:hAnsi="Arial" w:cs="Arial"/>
              </w:rPr>
            </w:pPr>
            <w:r>
              <w:rPr>
                <w:rFonts w:ascii="Arial" w:eastAsia="Arial" w:hAnsi="Arial" w:cs="Arial"/>
              </w:rPr>
              <w:t xml:space="preserve">9.   </w:t>
            </w:r>
            <w:r>
              <w:rPr>
                <w:rFonts w:ascii="Arial" w:eastAsia="Arial" w:hAnsi="Arial" w:cs="Arial"/>
              </w:rPr>
              <w:tab/>
            </w:r>
            <w:r>
              <w:rPr>
                <w:rFonts w:ascii="Arial" w:eastAsia="Arial" w:hAnsi="Arial" w:cs="Arial"/>
                <w:b/>
              </w:rPr>
              <w:t>Kontrola odstraňování závad zjištěných revizemi a kontrolami –</w:t>
            </w:r>
            <w:r>
              <w:rPr>
                <w:rFonts w:ascii="Arial" w:eastAsia="Arial" w:hAnsi="Arial" w:cs="Arial"/>
                <w:b/>
                <w:color w:val="C00000"/>
              </w:rPr>
              <w:t xml:space="preserve"> </w:t>
            </w:r>
            <w:r>
              <w:rPr>
                <w:rFonts w:ascii="Arial" w:eastAsia="Arial" w:hAnsi="Arial" w:cs="Arial"/>
              </w:rPr>
              <w:t>při pravidelné ½ roční kontrole.</w:t>
            </w:r>
          </w:p>
        </w:tc>
      </w:tr>
    </w:tbl>
    <w:p w:rsidR="00493067" w:rsidRDefault="00581DB8">
      <w:pPr>
        <w:pBdr>
          <w:top w:val="nil"/>
          <w:left w:val="nil"/>
          <w:bottom w:val="nil"/>
          <w:right w:val="nil"/>
          <w:between w:val="nil"/>
        </w:pBdr>
        <w:spacing w:after="268"/>
        <w:rPr>
          <w:rFonts w:ascii="Arial" w:eastAsia="Arial" w:hAnsi="Arial" w:cs="Arial"/>
          <w:color w:val="000000"/>
        </w:rPr>
      </w:pPr>
      <w:r>
        <w:rPr>
          <w:rFonts w:ascii="Arial" w:eastAsia="Arial" w:hAnsi="Arial" w:cs="Arial"/>
          <w:color w:val="000000"/>
        </w:rPr>
        <w:t xml:space="preserve"> </w:t>
      </w:r>
    </w:p>
    <w:sectPr w:rsidR="00493067">
      <w:headerReference w:type="default" r:id="rId7"/>
      <w:footerReference w:type="default" r:id="rId8"/>
      <w:pgSz w:w="11906" w:h="16838"/>
      <w:pgMar w:top="1243" w:right="1134" w:bottom="1134" w:left="1134" w:header="426" w:footer="26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AC7" w:rsidRDefault="00D67AC7">
      <w:r>
        <w:separator/>
      </w:r>
    </w:p>
  </w:endnote>
  <w:endnote w:type="continuationSeparator" w:id="0">
    <w:p w:rsidR="00D67AC7" w:rsidRDefault="00D6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PT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67" w:rsidRDefault="00493067">
    <w:pPr>
      <w:pBdr>
        <w:top w:val="nil"/>
        <w:left w:val="nil"/>
        <w:bottom w:val="nil"/>
        <w:right w:val="nil"/>
        <w:between w:val="nil"/>
      </w:pBdr>
      <w:spacing w:line="420" w:lineRule="auto"/>
      <w:rPr>
        <w:b/>
        <w:color w:val="7F7F7F"/>
        <w:sz w:val="16"/>
        <w:szCs w:val="16"/>
        <w:highlight w:val="white"/>
      </w:rPr>
    </w:pPr>
  </w:p>
  <w:p w:rsidR="00493067" w:rsidRDefault="00581DB8">
    <w:pPr>
      <w:pBdr>
        <w:top w:val="nil"/>
        <w:left w:val="nil"/>
        <w:bottom w:val="nil"/>
        <w:right w:val="nil"/>
        <w:between w:val="nil"/>
      </w:pBdr>
      <w:spacing w:line="420" w:lineRule="auto"/>
      <w:rPr>
        <w:color w:val="313131"/>
        <w:sz w:val="16"/>
        <w:szCs w:val="16"/>
        <w:highlight w:val="white"/>
      </w:rPr>
    </w:pPr>
    <w:r>
      <w:rPr>
        <w:b/>
        <w:color w:val="7F7F7F"/>
        <w:sz w:val="16"/>
        <w:szCs w:val="16"/>
        <w:highlight w:val="white"/>
      </w:rPr>
      <w:t>DCT International s.r.</w:t>
    </w:r>
    <w:proofErr w:type="gramStart"/>
    <w:r>
      <w:rPr>
        <w:b/>
        <w:color w:val="7F7F7F"/>
        <w:sz w:val="16"/>
        <w:szCs w:val="16"/>
        <w:highlight w:val="white"/>
      </w:rPr>
      <w:t>o.</w:t>
    </w:r>
    <w:r>
      <w:rPr>
        <w:color w:val="7F7F7F"/>
        <w:sz w:val="16"/>
        <w:szCs w:val="16"/>
      </w:rPr>
      <w:t xml:space="preserve">| </w:t>
    </w:r>
    <w:r>
      <w:rPr>
        <w:color w:val="7F7F7F"/>
        <w:sz w:val="16"/>
        <w:szCs w:val="16"/>
        <w:highlight w:val="white"/>
      </w:rPr>
      <w:t>Venušina</w:t>
    </w:r>
    <w:proofErr w:type="gramEnd"/>
    <w:r>
      <w:rPr>
        <w:color w:val="7F7F7F"/>
        <w:sz w:val="16"/>
        <w:szCs w:val="16"/>
        <w:highlight w:val="white"/>
      </w:rPr>
      <w:t xml:space="preserve"> 534/7460 01 Liberec</w:t>
    </w:r>
    <w:r>
      <w:rPr>
        <w:noProof/>
      </w:rPr>
      <mc:AlternateContent>
        <mc:Choice Requires="wps">
          <w:drawing>
            <wp:anchor distT="0" distB="0" distL="114300" distR="114300" simplePos="0" relativeHeight="251660288" behindDoc="0" locked="0" layoutInCell="1" hidden="0" allowOverlap="1">
              <wp:simplePos x="0" y="0"/>
              <wp:positionH relativeFrom="column">
                <wp:posOffset>25401</wp:posOffset>
              </wp:positionH>
              <wp:positionV relativeFrom="paragraph">
                <wp:posOffset>177800</wp:posOffset>
              </wp:positionV>
              <wp:extent cx="6610350" cy="12700"/>
              <wp:effectExtent l="0" t="0" r="0" b="0"/>
              <wp:wrapNone/>
              <wp:docPr id="1" name="Přímá spojnice se šipkou 1"/>
              <wp:cNvGraphicFramePr/>
              <a:graphic xmlns:a="http://schemas.openxmlformats.org/drawingml/2006/main">
                <a:graphicData uri="http://schemas.microsoft.com/office/word/2010/wordprocessingShape">
                  <wps:wsp>
                    <wps:cNvCnPr/>
                    <wps:spPr>
                      <a:xfrm>
                        <a:off x="2040825" y="3780000"/>
                        <a:ext cx="6610350" cy="0"/>
                      </a:xfrm>
                      <a:prstGeom prst="straightConnector1">
                        <a:avLst/>
                      </a:prstGeom>
                      <a:noFill/>
                      <a:ln w="9525" cap="flat" cmpd="sng">
                        <a:solidFill>
                          <a:srgbClr val="BFBFBF"/>
                        </a:solidFill>
                        <a:prstDash val="solid"/>
                        <a:miter lim="800000"/>
                        <a:headEnd type="none" w="med" len="med"/>
                        <a:tailEnd type="none" w="med" len="med"/>
                      </a:ln>
                    </wps:spPr>
                    <wps:bodyPr/>
                  </wps:wsp>
                </a:graphicData>
              </a:graphic>
            </wp:anchor>
          </w:drawing>
        </mc:Choice>
        <mc:Fallback>
          <w:pict>
            <v:shapetype w14:anchorId="5BC75B7C" id="_x0000_t32" coordsize="21600,21600" o:spt="32" o:oned="t" path="m,l21600,21600e" filled="f">
              <v:path arrowok="t" fillok="f" o:connecttype="none"/>
              <o:lock v:ext="edit" shapetype="t"/>
            </v:shapetype>
            <v:shape id="Přímá spojnice se šipkou 1" o:spid="_x0000_s1026" type="#_x0000_t32" style="position:absolute;margin-left:2pt;margin-top:14pt;width:520.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" strokecolor="#bfbfbf">
              <v:stroke joinstyle="miter"/>
            </v:shape>
          </w:pict>
        </mc:Fallback>
      </mc:AlternateContent>
    </w:r>
  </w:p>
  <w:p w:rsidR="00493067" w:rsidRDefault="00581DB8">
    <w:pPr>
      <w:pBdr>
        <w:top w:val="nil"/>
        <w:left w:val="nil"/>
        <w:bottom w:val="nil"/>
        <w:right w:val="nil"/>
        <w:between w:val="nil"/>
      </w:pBdr>
      <w:spacing w:line="420" w:lineRule="auto"/>
      <w:rPr>
        <w:color w:val="7F7F7F"/>
        <w:sz w:val="16"/>
        <w:szCs w:val="16"/>
      </w:rPr>
    </w:pPr>
    <w:r>
      <w:rPr>
        <w:i/>
        <w:color w:val="7F7F7F"/>
        <w:sz w:val="16"/>
        <w:szCs w:val="16"/>
      </w:rPr>
      <w:t xml:space="preserve">tel.: +420 731 447 999 | dennysturmdct@gmail.com | http://www.dct-sro.cz| IČ: </w:t>
    </w:r>
    <w:r>
      <w:rPr>
        <w:i/>
        <w:color w:val="7F7F7F"/>
        <w:sz w:val="16"/>
        <w:szCs w:val="16"/>
        <w:highlight w:val="white"/>
      </w:rPr>
      <w:t>241 78 136</w:t>
    </w:r>
    <w:r>
      <w:rPr>
        <w:i/>
        <w:color w:val="7F7F7F"/>
        <w:sz w:val="16"/>
        <w:szCs w:val="16"/>
      </w:rPr>
      <w:t xml:space="preserve"> | DIČ: CZ </w:t>
    </w:r>
    <w:r>
      <w:rPr>
        <w:i/>
        <w:color w:val="7F7F7F"/>
        <w:sz w:val="16"/>
        <w:szCs w:val="16"/>
        <w:highlight w:val="white"/>
      </w:rPr>
      <w:t>241 78 136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AC7" w:rsidRDefault="00D67AC7">
      <w:r>
        <w:separator/>
      </w:r>
    </w:p>
  </w:footnote>
  <w:footnote w:type="continuationSeparator" w:id="0">
    <w:p w:rsidR="00D67AC7" w:rsidRDefault="00D67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67" w:rsidRDefault="00581DB8">
    <w:pPr>
      <w:pBdr>
        <w:top w:val="nil"/>
        <w:left w:val="nil"/>
        <w:bottom w:val="nil"/>
        <w:right w:val="nil"/>
        <w:between w:val="nil"/>
      </w:pBdr>
      <w:ind w:firstLine="2124"/>
      <w:rPr>
        <w:color w:val="7F7F7F"/>
        <w:sz w:val="22"/>
        <w:szCs w:val="22"/>
      </w:rPr>
    </w:pPr>
    <w:r>
      <w:rPr>
        <w:noProof/>
      </w:rPr>
      <w:drawing>
        <wp:anchor distT="0" distB="0" distL="114300" distR="114300" simplePos="0" relativeHeight="251658240" behindDoc="0" locked="0" layoutInCell="1" hidden="0" allowOverlap="1">
          <wp:simplePos x="0" y="0"/>
          <wp:positionH relativeFrom="column">
            <wp:posOffset>-529589</wp:posOffset>
          </wp:positionH>
          <wp:positionV relativeFrom="paragraph">
            <wp:posOffset>-94614</wp:posOffset>
          </wp:positionV>
          <wp:extent cx="1504950" cy="4857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4950" cy="485775"/>
                  </a:xfrm>
                  <a:prstGeom prst="rect">
                    <a:avLst/>
                  </a:prstGeom>
                  <a:ln/>
                </pic:spPr>
              </pic:pic>
            </a:graphicData>
          </a:graphic>
        </wp:anchor>
      </w:drawing>
    </w:r>
  </w:p>
  <w:p w:rsidR="00493067" w:rsidRDefault="00581DB8">
    <w:pPr>
      <w:pBdr>
        <w:top w:val="nil"/>
        <w:left w:val="nil"/>
        <w:bottom w:val="nil"/>
        <w:right w:val="nil"/>
        <w:between w:val="nil"/>
      </w:pBdr>
      <w:tabs>
        <w:tab w:val="left" w:pos="6804"/>
      </w:tabs>
      <w:ind w:firstLine="2124"/>
      <w:jc w:val="right"/>
      <w:rPr>
        <w:rFonts w:ascii="PT Sans" w:eastAsia="PT Sans" w:hAnsi="PT Sans" w:cs="PT Sans"/>
        <w:color w:val="262626"/>
        <w:sz w:val="22"/>
        <w:szCs w:val="22"/>
      </w:rPr>
    </w:pPr>
    <w:r>
      <w:rPr>
        <w:b/>
        <w:smallCaps/>
        <w:color w:val="7F7F7F"/>
        <w:sz w:val="28"/>
        <w:szCs w:val="28"/>
      </w:rPr>
      <w:t>D</w:t>
    </w:r>
    <w:r>
      <w:rPr>
        <w:smallCaps/>
        <w:color w:val="7F7F7F"/>
        <w:sz w:val="22"/>
        <w:szCs w:val="22"/>
      </w:rPr>
      <w:t xml:space="preserve">ĚLÁME </w:t>
    </w:r>
    <w:r>
      <w:rPr>
        <w:b/>
        <w:smallCaps/>
        <w:color w:val="7F7F7F"/>
        <w:sz w:val="28"/>
        <w:szCs w:val="28"/>
      </w:rPr>
      <w:t>C</w:t>
    </w:r>
    <w:r>
      <w:rPr>
        <w:smallCaps/>
        <w:color w:val="7F7F7F"/>
        <w:sz w:val="22"/>
        <w:szCs w:val="22"/>
      </w:rPr>
      <w:t xml:space="preserve">O JE </w:t>
    </w:r>
    <w:proofErr w:type="gramStart"/>
    <w:r>
      <w:rPr>
        <w:b/>
        <w:smallCaps/>
        <w:color w:val="7F7F7F"/>
        <w:sz w:val="28"/>
        <w:szCs w:val="28"/>
      </w:rPr>
      <w:t>T</w:t>
    </w:r>
    <w:r>
      <w:rPr>
        <w:smallCaps/>
        <w:color w:val="7F7F7F"/>
        <w:sz w:val="22"/>
        <w:szCs w:val="22"/>
      </w:rPr>
      <w:t xml:space="preserve">ŘEBA                 </w:t>
    </w:r>
    <w:r>
      <w:rPr>
        <w:smallCaps/>
        <w:color w:val="262626"/>
        <w:sz w:val="18"/>
        <w:szCs w:val="18"/>
      </w:rPr>
      <w:t>ČÍSLO</w:t>
    </w:r>
    <w:proofErr w:type="gramEnd"/>
    <w:r>
      <w:rPr>
        <w:smallCaps/>
        <w:color w:val="262626"/>
        <w:sz w:val="18"/>
        <w:szCs w:val="18"/>
      </w:rPr>
      <w:t xml:space="preserve"> SMLOUVY: S05_ZUSVDF_012019</w:t>
    </w:r>
    <w:r>
      <w:rPr>
        <w:noProof/>
      </w:rPr>
      <mc:AlternateContent>
        <mc:Choice Requires="wps">
          <w:drawing>
            <wp:anchor distT="0" distB="0" distL="114300" distR="114300" simplePos="0" relativeHeight="251659264" behindDoc="0" locked="0" layoutInCell="1" hidden="0" allowOverlap="1">
              <wp:simplePos x="0" y="0"/>
              <wp:positionH relativeFrom="column">
                <wp:posOffset>-482599</wp:posOffset>
              </wp:positionH>
              <wp:positionV relativeFrom="paragraph">
                <wp:posOffset>241300</wp:posOffset>
              </wp:positionV>
              <wp:extent cx="7124700" cy="12700"/>
              <wp:effectExtent l="0" t="0" r="0" b="0"/>
              <wp:wrapNone/>
              <wp:docPr id="2" name="Přímá spojnice se šipkou 2"/>
              <wp:cNvGraphicFramePr/>
              <a:graphic xmlns:a="http://schemas.openxmlformats.org/drawingml/2006/main">
                <a:graphicData uri="http://schemas.microsoft.com/office/word/2010/wordprocessingShape">
                  <wps:wsp>
                    <wps:cNvCnPr/>
                    <wps:spPr>
                      <a:xfrm>
                        <a:off x="1783650" y="3779683"/>
                        <a:ext cx="7124700" cy="635"/>
                      </a:xfrm>
                      <a:prstGeom prst="straightConnector1">
                        <a:avLst/>
                      </a:prstGeom>
                      <a:noFill/>
                      <a:ln w="9525" cap="flat" cmpd="sng">
                        <a:solidFill>
                          <a:srgbClr val="BFBFBF"/>
                        </a:solidFill>
                        <a:prstDash val="solid"/>
                        <a:miter lim="800000"/>
                        <a:headEnd type="none" w="med" len="med"/>
                        <a:tailEnd type="none" w="med" len="med"/>
                      </a:ln>
                    </wps:spPr>
                    <wps:bodyPr/>
                  </wps:wsp>
                </a:graphicData>
              </a:graphic>
            </wp:anchor>
          </w:drawing>
        </mc:Choice>
        <mc:Fallback>
          <w:pict>
            <v:shapetype w14:anchorId="213B0ADE" id="_x0000_t32" coordsize="21600,21600" o:spt="32" o:oned="t" path="m,l21600,21600e" filled="f">
              <v:path arrowok="t" fillok="f" o:connecttype="none"/>
              <o:lock v:ext="edit" shapetype="t"/>
            </v:shapetype>
            <v:shape id="Přímá spojnice se šipkou 2" o:spid="_x0000_s1026" type="#_x0000_t32" style="position:absolute;margin-left:-38pt;margin-top:19pt;width:561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" strokecolor="#bfbfbf">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64BB"/>
    <w:multiLevelType w:val="multilevel"/>
    <w:tmpl w:val="360CD1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0D3805"/>
    <w:multiLevelType w:val="multilevel"/>
    <w:tmpl w:val="C6F64B10"/>
    <w:lvl w:ilvl="0">
      <w:start w:val="1"/>
      <w:numFmt w:val="decimal"/>
      <w:lvlText w:val="%1."/>
      <w:lvlJc w:val="left"/>
      <w:pPr>
        <w:ind w:left="107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B2754F1"/>
    <w:multiLevelType w:val="multilevel"/>
    <w:tmpl w:val="F3E0A0D2"/>
    <w:lvl w:ilvl="0">
      <w:start w:val="1"/>
      <w:numFmt w:val="decimal"/>
      <w:lvlText w:val="%1."/>
      <w:lvlJc w:val="left"/>
      <w:pPr>
        <w:ind w:left="2487" w:hanging="360"/>
      </w:pPr>
      <w:rPr>
        <w:vertAlign w:val="baseline"/>
      </w:rPr>
    </w:lvl>
    <w:lvl w:ilvl="1">
      <w:start w:val="1"/>
      <w:numFmt w:val="lowerLetter"/>
      <w:lvlText w:val="%2."/>
      <w:lvlJc w:val="left"/>
      <w:pPr>
        <w:ind w:left="3207" w:hanging="360"/>
      </w:pPr>
      <w:rPr>
        <w:vertAlign w:val="baseline"/>
      </w:rPr>
    </w:lvl>
    <w:lvl w:ilvl="2">
      <w:start w:val="1"/>
      <w:numFmt w:val="lowerRoman"/>
      <w:lvlText w:val="%3."/>
      <w:lvlJc w:val="right"/>
      <w:pPr>
        <w:ind w:left="3927" w:hanging="180"/>
      </w:pPr>
      <w:rPr>
        <w:vertAlign w:val="baseline"/>
      </w:rPr>
    </w:lvl>
    <w:lvl w:ilvl="3">
      <w:start w:val="1"/>
      <w:numFmt w:val="decimal"/>
      <w:lvlText w:val="%4."/>
      <w:lvlJc w:val="left"/>
      <w:pPr>
        <w:ind w:left="4647" w:hanging="360"/>
      </w:pPr>
      <w:rPr>
        <w:vertAlign w:val="baseline"/>
      </w:rPr>
    </w:lvl>
    <w:lvl w:ilvl="4">
      <w:start w:val="1"/>
      <w:numFmt w:val="lowerLetter"/>
      <w:lvlText w:val="%5."/>
      <w:lvlJc w:val="left"/>
      <w:pPr>
        <w:ind w:left="5367" w:hanging="360"/>
      </w:pPr>
      <w:rPr>
        <w:vertAlign w:val="baseline"/>
      </w:rPr>
    </w:lvl>
    <w:lvl w:ilvl="5">
      <w:start w:val="1"/>
      <w:numFmt w:val="lowerRoman"/>
      <w:lvlText w:val="%6."/>
      <w:lvlJc w:val="right"/>
      <w:pPr>
        <w:ind w:left="6087" w:hanging="180"/>
      </w:pPr>
      <w:rPr>
        <w:vertAlign w:val="baseline"/>
      </w:rPr>
    </w:lvl>
    <w:lvl w:ilvl="6">
      <w:start w:val="1"/>
      <w:numFmt w:val="decimal"/>
      <w:lvlText w:val="%7."/>
      <w:lvlJc w:val="left"/>
      <w:pPr>
        <w:ind w:left="6807" w:hanging="360"/>
      </w:pPr>
      <w:rPr>
        <w:vertAlign w:val="baseline"/>
      </w:rPr>
    </w:lvl>
    <w:lvl w:ilvl="7">
      <w:start w:val="1"/>
      <w:numFmt w:val="lowerLetter"/>
      <w:lvlText w:val="%8."/>
      <w:lvlJc w:val="left"/>
      <w:pPr>
        <w:ind w:left="7527" w:hanging="360"/>
      </w:pPr>
      <w:rPr>
        <w:vertAlign w:val="baseline"/>
      </w:rPr>
    </w:lvl>
    <w:lvl w:ilvl="8">
      <w:start w:val="1"/>
      <w:numFmt w:val="lowerRoman"/>
      <w:lvlText w:val="%9."/>
      <w:lvlJc w:val="right"/>
      <w:pPr>
        <w:ind w:left="8247" w:hanging="180"/>
      </w:pPr>
      <w:rPr>
        <w:vertAlign w:val="baseline"/>
      </w:rPr>
    </w:lvl>
  </w:abstractNum>
  <w:abstractNum w:abstractNumId="3" w15:restartNumberingAfterBreak="0">
    <w:nsid w:val="1F64731C"/>
    <w:multiLevelType w:val="multilevel"/>
    <w:tmpl w:val="7F0E998C"/>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4" w15:restartNumberingAfterBreak="0">
    <w:nsid w:val="201B6F11"/>
    <w:multiLevelType w:val="multilevel"/>
    <w:tmpl w:val="7EDA0D4E"/>
    <w:lvl w:ilvl="0">
      <w:start w:val="1"/>
      <w:numFmt w:val="decimal"/>
      <w:lvlText w:val="%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17E688A"/>
    <w:multiLevelType w:val="multilevel"/>
    <w:tmpl w:val="768E9C5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3C275251"/>
    <w:multiLevelType w:val="multilevel"/>
    <w:tmpl w:val="551211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E845B1A"/>
    <w:multiLevelType w:val="multilevel"/>
    <w:tmpl w:val="6138007C"/>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8" w15:restartNumberingAfterBreak="0">
    <w:nsid w:val="60770B4C"/>
    <w:multiLevelType w:val="multilevel"/>
    <w:tmpl w:val="0DCA63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C60615F"/>
    <w:multiLevelType w:val="multilevel"/>
    <w:tmpl w:val="93024E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 w:numId="4">
    <w:abstractNumId w:val="7"/>
  </w:num>
  <w:num w:numId="5">
    <w:abstractNumId w:val="9"/>
  </w:num>
  <w:num w:numId="6">
    <w:abstractNumId w:val="5"/>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93067"/>
    <w:rsid w:val="00163B8A"/>
    <w:rsid w:val="003D1B5A"/>
    <w:rsid w:val="00493067"/>
    <w:rsid w:val="00581DB8"/>
    <w:rsid w:val="007F6846"/>
    <w:rsid w:val="008B1B6B"/>
    <w:rsid w:val="00D67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C1178-02A8-4033-83F8-9A8A452E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bubliny">
    <w:name w:val="Balloon Text"/>
    <w:basedOn w:val="Normln"/>
    <w:link w:val="TextbublinyChar"/>
    <w:uiPriority w:val="99"/>
    <w:semiHidden/>
    <w:unhideWhenUsed/>
    <w:rsid w:val="003D1B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1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1712</Words>
  <Characters>10107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dc:creator>
  <cp:lastModifiedBy>Vlaďka Janoušková</cp:lastModifiedBy>
  <cp:revision>6</cp:revision>
  <cp:lastPrinted>2019-04-08T09:45:00Z</cp:lastPrinted>
  <dcterms:created xsi:type="dcterms:W3CDTF">2019-03-12T13:36:00Z</dcterms:created>
  <dcterms:modified xsi:type="dcterms:W3CDTF">2019-04-11T07:03:00Z</dcterms:modified>
</cp:coreProperties>
</file>