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1711960</wp:posOffset>
                </wp:positionH>
                <wp:positionV relativeFrom="paragraph">
                  <wp:posOffset>12700</wp:posOffset>
                </wp:positionV>
                <wp:extent cx="4199255" cy="85471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99255" cy="854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RÁMCOVÁ KUPNÍ SMLOUVA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uzavřená dle § 2079 a násl. zákona č. 89/2012 Sb. občanský zál^ŠKkova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SMlOJVA !■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572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pod čísle rvi: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4.80000000000001pt;margin-top:1.pt;width:330.64999999999998pt;height:67.299999999999997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RÁMCOVÁ KUPNÍ SMLOUVA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uzavřená dle § 2079 a násl. zákona č. 89/2012 Sb. občanský zál^ŠKkova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mallCap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SMlOJVA !■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572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pod čísle rvi: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1558925</wp:posOffset>
                </wp:positionV>
                <wp:extent cx="1984375" cy="32893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84375" cy="328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25137026 DIČ: CZ25137026 Zastoupený: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3.149999999999999pt;margin-top:122.75pt;width:156.25pt;height:25.89999999999999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25137026 DIČ: CZ25137026 Zastoupený: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395605" distB="111760" distL="114300" distR="2139950" simplePos="0" relativeHeight="125829382" behindDoc="0" locked="0" layoutInCell="1" allowOverlap="1">
                <wp:simplePos x="0" y="0"/>
                <wp:positionH relativeFrom="page">
                  <wp:posOffset>4219575</wp:posOffset>
                </wp:positionH>
                <wp:positionV relativeFrom="paragraph">
                  <wp:posOffset>560070</wp:posOffset>
                </wp:positionV>
                <wp:extent cx="1140460" cy="17399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046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smlouvy kupujícíř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2.25pt;margin-top:44.100000000000001pt;width:89.799999999999997pt;height:13.699999999999999pt;z-index:-125829371;mso-wrap-distance-left:9.pt;mso-wrap-distance-top:31.149999999999999pt;mso-wrap-distance-right:168.5pt;mso-wrap-distance-bottom:8.800000000000000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č.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smlouvy kupujícíř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494790" distR="114300" simplePos="0" relativeHeight="125829384" behindDoc="0" locked="0" layoutInCell="1" allowOverlap="1">
                <wp:simplePos x="0" y="0"/>
                <wp:positionH relativeFrom="page">
                  <wp:posOffset>5600065</wp:posOffset>
                </wp:positionH>
                <wp:positionV relativeFrom="paragraph">
                  <wp:posOffset>164465</wp:posOffset>
                </wp:positionV>
                <wp:extent cx="1785620" cy="68135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5620" cy="6813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XÁ SPRÁVA A ÚDRŽBA SiLAZC VYSOČINY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38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■]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RFG-JXROVR-A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smallCaps w:val="0"/>
                                <w:color w:val="000000"/>
                                <w:spacing w:val="0"/>
                                <w:w w:val="100"/>
                                <w:position w:val="0"/>
                                <w:sz w:val="56"/>
                                <w:szCs w:val="56"/>
                                <w:shd w:val="clear" w:color="auto" w:fill="auto"/>
                                <w:lang w:val="cs-CZ" w:eastAsia="cs-CZ" w:bidi="cs-CZ"/>
                              </w:rPr>
                              <w:t xml:space="preserve">o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ríWaavW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40.94999999999999pt;margin-top:12.949999999999999pt;width:140.59999999999999pt;height:53.649999999999999pt;z-index:-125829369;mso-wrap-distance-left:117.7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XÁ SPRÁVA A ÚDRŽBA SiLAZC VYSOČINY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38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■]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8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RFG-JXROVR-A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  <w:jc w:val="center"/>
                      </w:pPr>
                      <w:r>
                        <w:rPr>
                          <w:rFonts w:ascii="Arial" w:eastAsia="Arial" w:hAnsi="Arial" w:cs="Arial"/>
                          <w:smallCaps w:val="0"/>
                          <w:color w:val="000000"/>
                          <w:spacing w:val="0"/>
                          <w:w w:val="100"/>
                          <w:position w:val="0"/>
                          <w:sz w:val="56"/>
                          <w:szCs w:val="56"/>
                          <w:shd w:val="clear" w:color="auto" w:fill="auto"/>
                          <w:lang w:val="cs-CZ" w:eastAsia="cs-CZ" w:bidi="cs-CZ"/>
                        </w:rPr>
                        <w:t xml:space="preserve">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ríWaavW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prodávajícího;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ZAPA beton a.s. Vídeňská 495 142 00 Praha 4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obchodním zástupcem (pověřeným k podpisu)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833" w:val="left"/>
          <w:tab w:leader="dot" w:pos="35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KUPUJÍCÍ:</w:t>
        <w:tab/>
        <w:tab/>
        <w:t>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58601 Jihlava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00090450 DIČ: CZ00090450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Janem Míkou, MBA, ředitelem organizace ve věcech technických: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212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528" w:left="1270" w:right="1576" w:bottom="2173" w:header="100" w:footer="1745" w:gutter="0"/>
          <w:pgNumType w:start="1"/>
          <w:cols w:num="2" w:space="266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koordinátorem MTZ úsek Havlíčkův Brod</w:t>
      </w:r>
    </w:p>
    <w:p>
      <w:pPr>
        <w:widowControl w:val="0"/>
        <w:spacing w:before="62" w:after="6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28" w:left="0" w:right="0" w:bottom="528" w:header="0" w:footer="3" w:gutter="0"/>
          <w:cols w:space="720"/>
          <w:noEndnote/>
          <w:rtlGutter w:val="0"/>
          <w:docGrid w:linePitch="360"/>
        </w:sectPr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této rámcové kupní smlouvy (dále jen smlouva) je závazek prodávajícího dodávat kupujícímu po dobu platnosti smlouvy dále specifikované výrobky či služby (dále jen zboží), to vše v rozsahu sortimentu uváděného v platných cenicich prodávajícího, a závazek kupujícího toto zboží převzít, poskytnout k převzetí potřebnou součinnost a zaplatit za ně sjednanou kupní cenu, to vše dle těchto smluvních podmínek: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1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RÁMCOVÝ PŘEDMĚT KOUPĚ: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dodávka betonových směsí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1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TERMÍN PLATNOSTI SMLOUVY: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31.12. 2019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Cenové podmínky: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18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ceny jsou stanoveny podle ceníku prodávajícího (popř. výrobce) platného v den objednáni zboží. Z těchto základních cen poskytne prodávající po dohodě kupujícímu síevu. Tato sleva je vždy počítána z Částky bez DPH. Kupující je povinen objednávat zboží u prodávajícího na základě písemné závazné objednávky. Storno objednávky ze strany kupujícího je možné učinit písemným způsobem.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Platební podmínky: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cena bude uhrazena na základě vystavené faktury. V případě prodlení se kupující zavazuje zaplatit prodávajícímu smluvní pokutu ve výši 0,2% z fakturované kupní ceny za každý den prodlení. V případě prodlení s dodáním zboží, se prodávající zavazuje zaplatit kupujícímu smluvní pokutu ve výši 0,2% za každý pracovní den prodlení, a to z ceny zboží, s jejíž dodáním je v prodleni.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se dohodly na závazkovém limitu ve výši 200.000,- Kč.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ceny jednotlivých dodávek bude prováděna bezhotovostní v CZK. Faktura bude vystavena dvakrát do měsíce a bude obsahovat veškeré náležitosti daňového dokladu dle platných právních předpisů. Splatnost faktury je 30 dní od data jejího doručení.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Zboží přechází do vlastnictví kupujícího až po jeho zaplaceni prodávajícímu.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ujednání: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18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poskytuje kupujícímu záruku za jakost zboží. Obě smluvní strany se v případě reklamace zavazuji sepsat reklamační zápis. Prodávající je povinen o reklamaci rozhodnout do 30 - ti dnů ode dne sepsáni reklamačního zápisu.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je oprávněn uveřejnit celý obsah smlouvy, včetně identifikačních údajů prodávajícího.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smlouvaje vyhotovena ve 2 stejnopisech. Každá smluvní strana obdrží vyhotovení (kupující 1x, prodávající 1x). Změny a dodatky lze činit pouze písemně s podpisy oprávněných osob. Tato smlouva nabývá platnosti dnem podpisu oběma smluvními stranami a účinnosti dnem uveřejnění v informačním systému veřejné správy- Registru smluv. Účastníci se dohodli, že zákonnou povinnost dle § 5 odst. 2 zákona č. 340/2015 Sb., v platném zněni (zákon o registru smluv) splní kupující.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8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a kupující shodně prohlašují, že si smlouvy přečetli, že smlouva byla uzavřena jako projev svobodné vůle, bez nátlaku a oběma stranám jsou zřejmá jejich práva a povinnosti z této smlouvy vyplývající.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5442" w:val="left"/>
        </w:tabs>
        <w:bidi w:val="0"/>
        <w:spacing w:before="0" w:after="420" w:line="240" w:lineRule="auto"/>
        <w:ind w:left="3440" w:right="0" w:firstLine="0"/>
        <w:jc w:val="left"/>
        <w:rPr>
          <w:sz w:val="26"/>
          <w:szCs w:val="26"/>
        </w:rPr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861060</wp:posOffset>
                </wp:positionH>
                <wp:positionV relativeFrom="paragraph">
                  <wp:posOffset>38100</wp:posOffset>
                </wp:positionV>
                <wp:extent cx="895985" cy="144145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5985" cy="144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V Chotěhnři—rine: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7.799999999999997pt;margin-top:3.pt;width:70.549999999999997pt;height:11.3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V Chotěhnři—rine: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 Jihlavě dne:</w:t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loltf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180"/>
        <w:jc w:val="both"/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4059555</wp:posOffset>
                </wp:positionH>
                <wp:positionV relativeFrom="paragraph">
                  <wp:posOffset>12700</wp:posOffset>
                </wp:positionV>
                <wp:extent cx="1138555" cy="44831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8555" cy="448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kupujícího: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Jan Mika, MBA ředitel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19.64999999999998pt;margin-top:1.pt;width:89.650000000000006pt;height:35.299999999999997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kupujícího: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Jan Mika, MBA ředitel organizace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prodávajícího: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18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obchodní zástupce (pověřený k podpisu)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528" w:left="1184" w:right="954" w:bottom="52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Základní text (3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3">
    <w:name w:val="Základní text (5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48"/>
      <w:szCs w:val="48"/>
      <w:u w:val="none"/>
    </w:rPr>
  </w:style>
  <w:style w:type="character" w:customStyle="1" w:styleId="CharStyle16">
    <w:name w:val="Základní text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FFFFFF"/>
      <w:ind w:firstLine="240"/>
    </w:pPr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FFFFFF"/>
      <w:spacing w:after="30"/>
      <w:ind w:firstLine="1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2">
    <w:name w:val="Základní text (5)"/>
    <w:basedOn w:val="Normal"/>
    <w:link w:val="CharStyle13"/>
    <w:pPr>
      <w:widowControl w:val="0"/>
      <w:shd w:val="clear" w:color="auto" w:fill="FFFFFF"/>
      <w:spacing w:after="60" w:line="180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48"/>
      <w:szCs w:val="48"/>
      <w:u w:val="none"/>
    </w:rPr>
  </w:style>
  <w:style w:type="paragraph" w:customStyle="1" w:styleId="Style15">
    <w:name w:val="Základní text"/>
    <w:basedOn w:val="Normal"/>
    <w:link w:val="CharStyle16"/>
    <w:pPr>
      <w:widowControl w:val="0"/>
      <w:shd w:val="clear" w:color="auto" w:fill="FFFFFF"/>
      <w:spacing w:after="60"/>
      <w:ind w:firstLine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