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E52" w:rsidRDefault="00493E52" w:rsidP="00DB7E28">
      <w:pPr>
        <w:pStyle w:val="Nadpis10"/>
        <w:keepNext/>
        <w:keepLines/>
        <w:shd w:val="clear" w:color="auto" w:fill="auto"/>
        <w:rPr>
          <w:sz w:val="14"/>
          <w:szCs w:val="14"/>
        </w:rPr>
      </w:pPr>
    </w:p>
    <w:p w:rsidR="00493E52" w:rsidRDefault="007B49E8">
      <w:pPr>
        <w:pStyle w:val="Nadpis20"/>
        <w:keepNext/>
        <w:keepLines/>
        <w:shd w:val="clear" w:color="auto" w:fill="auto"/>
        <w:spacing w:after="720"/>
        <w:ind w:left="2340"/>
      </w:pPr>
      <w:bookmarkStart w:id="0" w:name="bookmark2"/>
      <w:bookmarkStart w:id="1" w:name="bookmark3"/>
      <w:r>
        <w:t>D</w:t>
      </w:r>
      <w:r>
        <w:t>odatek č. 1 k pojistné smlouvě číslo 0016813049</w:t>
      </w:r>
      <w:bookmarkEnd w:id="0"/>
      <w:bookmarkEnd w:id="1"/>
    </w:p>
    <w:p w:rsidR="00493E52" w:rsidRDefault="007B49E8">
      <w:pPr>
        <w:pStyle w:val="Nadpis20"/>
        <w:keepNext/>
        <w:keepLines/>
        <w:shd w:val="clear" w:color="auto" w:fill="auto"/>
        <w:spacing w:after="0"/>
        <w:ind w:left="1020"/>
      </w:pPr>
      <w:bookmarkStart w:id="2" w:name="bookmark4"/>
      <w:bookmarkStart w:id="3" w:name="bookmark5"/>
      <w:r>
        <w:t xml:space="preserve">Česká podnikatelská pojišťovna, a.s., </w:t>
      </w:r>
      <w:proofErr w:type="spellStart"/>
      <w:r>
        <w:t>Vienna</w:t>
      </w:r>
      <w:proofErr w:type="spellEnd"/>
      <w:r>
        <w:t xml:space="preserve"> </w:t>
      </w:r>
      <w:proofErr w:type="spellStart"/>
      <w:r>
        <w:t>Insurance</w:t>
      </w:r>
      <w:proofErr w:type="spellEnd"/>
      <w:r>
        <w:t xml:space="preserve"> Group</w:t>
      </w:r>
      <w:bookmarkEnd w:id="2"/>
      <w:bookmarkEnd w:id="3"/>
    </w:p>
    <w:p w:rsidR="00493E52" w:rsidRDefault="007B49E8">
      <w:pPr>
        <w:pStyle w:val="Zkladntext30"/>
        <w:shd w:val="clear" w:color="auto" w:fill="auto"/>
      </w:pPr>
      <w:r>
        <w:t>Sídlo: Praha 8, Pobřežní 665/23, PSČ 186 00</w:t>
      </w:r>
    </w:p>
    <w:p w:rsidR="00493E52" w:rsidRDefault="007B49E8">
      <w:pPr>
        <w:pStyle w:val="Zkladntext30"/>
        <w:shd w:val="clear" w:color="auto" w:fill="auto"/>
      </w:pPr>
      <w:r>
        <w:t>Zastoupena: na základě zmocnění níže podepsanými osobami</w:t>
      </w:r>
    </w:p>
    <w:p w:rsidR="00493E52" w:rsidRDefault="007B49E8">
      <w:pPr>
        <w:pStyle w:val="Zkladntext30"/>
        <w:shd w:val="clear" w:color="auto" w:fill="auto"/>
        <w:spacing w:line="228" w:lineRule="auto"/>
      </w:pPr>
      <w:r>
        <w:t xml:space="preserve">IČ: 639 98 </w:t>
      </w:r>
      <w:r>
        <w:t>530</w:t>
      </w:r>
    </w:p>
    <w:p w:rsidR="00493E52" w:rsidRDefault="007B49E8">
      <w:pPr>
        <w:pStyle w:val="Zkladntext30"/>
        <w:shd w:val="clear" w:color="auto" w:fill="auto"/>
      </w:pPr>
      <w:r>
        <w:t>Zápis v obchodním rejstříku: Městský soud v Praze, oddíl B, vložka 3433</w:t>
      </w:r>
    </w:p>
    <w:p w:rsidR="00493E52" w:rsidRDefault="007B49E8">
      <w:pPr>
        <w:pStyle w:val="Zkladntext30"/>
        <w:shd w:val="clear" w:color="auto" w:fill="auto"/>
      </w:pPr>
      <w:r>
        <w:t xml:space="preserve">Bankovní spojení: </w:t>
      </w:r>
      <w:proofErr w:type="spellStart"/>
      <w:r w:rsidR="00DB7E28">
        <w:t>xxx</w:t>
      </w:r>
      <w:proofErr w:type="spellEnd"/>
    </w:p>
    <w:p w:rsidR="00493E52" w:rsidRDefault="007B49E8">
      <w:pPr>
        <w:pStyle w:val="Zkladntext30"/>
        <w:shd w:val="clear" w:color="auto" w:fill="auto"/>
        <w:spacing w:after="40" w:line="233" w:lineRule="auto"/>
      </w:pPr>
      <w:r>
        <w:t xml:space="preserve">Tel: </w:t>
      </w:r>
      <w:proofErr w:type="spellStart"/>
      <w:r w:rsidR="00DB7E28">
        <w:t>xxx</w:t>
      </w:r>
      <w:proofErr w:type="spellEnd"/>
    </w:p>
    <w:p w:rsidR="00493E52" w:rsidRDefault="007B49E8">
      <w:pPr>
        <w:pStyle w:val="Zkladntext1"/>
        <w:shd w:val="clear" w:color="auto" w:fill="auto"/>
        <w:spacing w:after="340"/>
        <w:ind w:left="1020"/>
      </w:pPr>
      <w:r>
        <w:t>dále jen pojistitel</w:t>
      </w:r>
    </w:p>
    <w:p w:rsidR="00493E52" w:rsidRDefault="007B49E8">
      <w:pPr>
        <w:pStyle w:val="Zkladntext1"/>
        <w:shd w:val="clear" w:color="auto" w:fill="auto"/>
        <w:spacing w:after="340"/>
        <w:ind w:left="1020"/>
      </w:pPr>
      <w:r>
        <w:t>a</w:t>
      </w:r>
    </w:p>
    <w:p w:rsidR="00493E52" w:rsidRDefault="007B49E8">
      <w:pPr>
        <w:pStyle w:val="Nadpis20"/>
        <w:keepNext/>
        <w:keepLines/>
        <w:shd w:val="clear" w:color="auto" w:fill="auto"/>
        <w:spacing w:after="0"/>
        <w:ind w:left="1020"/>
      </w:pPr>
      <w:bookmarkStart w:id="4" w:name="bookmark6"/>
      <w:bookmarkStart w:id="5" w:name="bookmark7"/>
      <w:r>
        <w:t>SPORTOVNÍ HALA MOST, a.s.</w:t>
      </w:r>
      <w:bookmarkEnd w:id="4"/>
      <w:bookmarkEnd w:id="5"/>
    </w:p>
    <w:p w:rsidR="00493E52" w:rsidRDefault="007B49E8">
      <w:pPr>
        <w:pStyle w:val="Zkladntext30"/>
        <w:shd w:val="clear" w:color="auto" w:fill="auto"/>
      </w:pPr>
      <w:r>
        <w:t>Sídlo: Most, tř. Budovatelů čp. 112/7, PSČ 434 01</w:t>
      </w:r>
    </w:p>
    <w:p w:rsidR="00493E52" w:rsidRDefault="007B49E8" w:rsidP="00DB7E28">
      <w:pPr>
        <w:pStyle w:val="Zkladntext30"/>
        <w:shd w:val="clear" w:color="auto" w:fill="auto"/>
        <w:tabs>
          <w:tab w:val="left" w:pos="3151"/>
        </w:tabs>
      </w:pPr>
      <w:r>
        <w:t>Zastoupena:</w:t>
      </w:r>
      <w:r>
        <w:tab/>
      </w:r>
      <w:proofErr w:type="spellStart"/>
      <w:r w:rsidR="00DB7E28">
        <w:t>xxx</w:t>
      </w:r>
      <w:proofErr w:type="spellEnd"/>
    </w:p>
    <w:p w:rsidR="00493E52" w:rsidRDefault="007B49E8">
      <w:pPr>
        <w:pStyle w:val="Zkladntext30"/>
        <w:shd w:val="clear" w:color="auto" w:fill="auto"/>
        <w:spacing w:line="230" w:lineRule="auto"/>
      </w:pPr>
      <w:r>
        <w:t>I</w:t>
      </w:r>
      <w:r>
        <w:t>Č: 250 44 001</w:t>
      </w:r>
    </w:p>
    <w:p w:rsidR="00493E52" w:rsidRDefault="007B49E8">
      <w:pPr>
        <w:pStyle w:val="Zkladntext30"/>
        <w:shd w:val="clear" w:color="auto" w:fill="auto"/>
      </w:pPr>
      <w:r>
        <w:t>Zápis v obchodním rejstříku: Krajský soud v Ústí nad Labem, oddíl B, vložka 1147</w:t>
      </w:r>
    </w:p>
    <w:p w:rsidR="00493E52" w:rsidRDefault="007B49E8">
      <w:pPr>
        <w:pStyle w:val="Zkladntext30"/>
        <w:shd w:val="clear" w:color="auto" w:fill="auto"/>
      </w:pPr>
      <w:r>
        <w:t xml:space="preserve">Bankovní spojení: </w:t>
      </w:r>
      <w:proofErr w:type="spellStart"/>
      <w:r w:rsidR="00DB7E28">
        <w:t>xxx</w:t>
      </w:r>
      <w:proofErr w:type="spellEnd"/>
    </w:p>
    <w:p w:rsidR="00493E52" w:rsidRDefault="007B49E8">
      <w:pPr>
        <w:pStyle w:val="Zkladntext30"/>
        <w:shd w:val="clear" w:color="auto" w:fill="auto"/>
        <w:spacing w:line="228" w:lineRule="auto"/>
      </w:pPr>
      <w:r>
        <w:t xml:space="preserve">Tel: </w:t>
      </w:r>
      <w:proofErr w:type="spellStart"/>
      <w:r w:rsidR="00DB7E28">
        <w:t>xxx</w:t>
      </w:r>
      <w:proofErr w:type="spellEnd"/>
    </w:p>
    <w:p w:rsidR="00493E52" w:rsidRDefault="007B49E8">
      <w:pPr>
        <w:pStyle w:val="Zkladntext30"/>
        <w:shd w:val="clear" w:color="auto" w:fill="auto"/>
        <w:spacing w:after="40"/>
      </w:pPr>
      <w:r>
        <w:t xml:space="preserve">E-mail: </w:t>
      </w:r>
      <w:proofErr w:type="spellStart"/>
      <w:r w:rsidR="00DB7E28">
        <w:t>xxx</w:t>
      </w:r>
      <w:proofErr w:type="spellEnd"/>
    </w:p>
    <w:p w:rsidR="00493E52" w:rsidRDefault="007B49E8">
      <w:pPr>
        <w:pStyle w:val="Zkladntext1"/>
        <w:shd w:val="clear" w:color="auto" w:fill="auto"/>
        <w:spacing w:after="340"/>
        <w:ind w:left="1020"/>
      </w:pPr>
      <w:r>
        <w:t>dále jen pojistník</w:t>
      </w:r>
    </w:p>
    <w:p w:rsidR="00493E52" w:rsidRDefault="007B49E8">
      <w:pPr>
        <w:pStyle w:val="Jin0"/>
        <w:shd w:val="clear" w:color="auto" w:fill="auto"/>
        <w:spacing w:after="340" w:line="233" w:lineRule="auto"/>
        <w:jc w:val="center"/>
        <w:rPr>
          <w:sz w:val="24"/>
          <w:szCs w:val="24"/>
        </w:rPr>
      </w:pPr>
      <w:r>
        <w:rPr>
          <w:b/>
          <w:bCs/>
          <w:sz w:val="24"/>
          <w:szCs w:val="24"/>
        </w:rPr>
        <w:t>uzavírají</w:t>
      </w:r>
    </w:p>
    <w:p w:rsidR="00493E52" w:rsidRDefault="007B49E8">
      <w:pPr>
        <w:pStyle w:val="Jin0"/>
        <w:shd w:val="clear" w:color="auto" w:fill="auto"/>
        <w:spacing w:after="720" w:line="233" w:lineRule="auto"/>
        <w:ind w:left="1020" w:firstLine="20"/>
        <w:rPr>
          <w:sz w:val="24"/>
          <w:szCs w:val="24"/>
        </w:rPr>
      </w:pPr>
      <w:r>
        <w:rPr>
          <w:sz w:val="24"/>
          <w:szCs w:val="24"/>
        </w:rPr>
        <w:t xml:space="preserve">tento dodatek </w:t>
      </w:r>
      <w:r>
        <w:rPr>
          <w:sz w:val="24"/>
          <w:szCs w:val="24"/>
        </w:rPr>
        <w:t>pojistné smlouvy, který spolu s pojistnými podmínkami pojistitele, pojistnou smlouvou a přílohami tvoří nedílný celek.</w:t>
      </w:r>
    </w:p>
    <w:p w:rsidR="00493E52" w:rsidRDefault="007B49E8">
      <w:pPr>
        <w:pStyle w:val="Zkladntext1"/>
        <w:shd w:val="clear" w:color="auto" w:fill="auto"/>
        <w:tabs>
          <w:tab w:val="left" w:pos="7542"/>
        </w:tabs>
        <w:spacing w:after="0"/>
        <w:ind w:left="4100"/>
      </w:pPr>
      <w:r>
        <w:rPr>
          <w:b/>
          <w:bCs/>
        </w:rPr>
        <w:t>Hlavní pojišťovací zprostředkovatel</w:t>
      </w:r>
      <w:r>
        <w:rPr>
          <w:b/>
          <w:bCs/>
        </w:rPr>
        <w:tab/>
        <w:t>Podřízený pojišťovací zprostředkovatel</w:t>
      </w:r>
    </w:p>
    <w:p w:rsidR="00493E52" w:rsidRDefault="007B49E8">
      <w:pPr>
        <w:pStyle w:val="Zkladntext1"/>
        <w:shd w:val="clear" w:color="auto" w:fill="auto"/>
        <w:spacing w:after="0" w:line="226" w:lineRule="auto"/>
        <w:ind w:left="3340"/>
      </w:pPr>
      <w:r>
        <w:rPr>
          <w:b/>
          <w:bCs/>
        </w:rPr>
        <w:t xml:space="preserve">Název: </w:t>
      </w:r>
      <w:proofErr w:type="spellStart"/>
      <w:r w:rsidR="00DB7E28">
        <w:t>xxx</w:t>
      </w:r>
      <w:proofErr w:type="spellEnd"/>
    </w:p>
    <w:p w:rsidR="00493E52" w:rsidRDefault="007B49E8">
      <w:pPr>
        <w:pStyle w:val="Zkladntext1"/>
        <w:shd w:val="clear" w:color="auto" w:fill="auto"/>
        <w:spacing w:after="0"/>
        <w:ind w:left="2340"/>
      </w:pPr>
      <w:proofErr w:type="spellStart"/>
      <w:r>
        <w:rPr>
          <w:b/>
          <w:bCs/>
        </w:rPr>
        <w:t>Sjednatelské</w:t>
      </w:r>
      <w:proofErr w:type="spellEnd"/>
      <w:r>
        <w:rPr>
          <w:b/>
          <w:bCs/>
        </w:rPr>
        <w:t xml:space="preserve"> číslo: </w:t>
      </w:r>
      <w:r>
        <w:t>9990899000</w:t>
      </w:r>
    </w:p>
    <w:p w:rsidR="00493E52" w:rsidRDefault="007B49E8" w:rsidP="00DB7E28">
      <w:pPr>
        <w:pStyle w:val="Zkladntext1"/>
        <w:shd w:val="clear" w:color="auto" w:fill="auto"/>
        <w:spacing w:after="0"/>
        <w:ind w:left="1100"/>
      </w:pPr>
      <w:r>
        <w:rPr>
          <w:b/>
          <w:bCs/>
        </w:rPr>
        <w:t xml:space="preserve">Jméno a příjmení jednající osoby: </w:t>
      </w:r>
      <w:proofErr w:type="spellStart"/>
      <w:r w:rsidR="00DB7E28">
        <w:t>xxx</w:t>
      </w:r>
      <w:proofErr w:type="spellEnd"/>
    </w:p>
    <w:p w:rsidR="00493E52" w:rsidRDefault="007B49E8">
      <w:pPr>
        <w:pStyle w:val="Zkladntext1"/>
        <w:shd w:val="clear" w:color="auto" w:fill="auto"/>
        <w:spacing w:after="120"/>
        <w:ind w:left="2100"/>
      </w:pPr>
      <w:r>
        <w:rPr>
          <w:b/>
          <w:bCs/>
        </w:rPr>
        <w:t xml:space="preserve">Registrační číslo ČNB: </w:t>
      </w:r>
      <w:proofErr w:type="spellStart"/>
      <w:r w:rsidR="00DB7E28">
        <w:t>xxx</w:t>
      </w:r>
      <w:proofErr w:type="spellEnd"/>
    </w:p>
    <w:p w:rsidR="00493E52" w:rsidRDefault="007B49E8">
      <w:pPr>
        <w:pStyle w:val="Zkladntext1"/>
        <w:shd w:val="clear" w:color="auto" w:fill="auto"/>
        <w:spacing w:after="80"/>
        <w:ind w:left="780"/>
        <w:sectPr w:rsidR="00493E52">
          <w:pgSz w:w="11900" w:h="16840"/>
          <w:pgMar w:top="435" w:right="892" w:bottom="435" w:left="22" w:header="7" w:footer="7"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simplePos x="0" y="0"/>
                <wp:positionH relativeFrom="page">
                  <wp:posOffset>647065</wp:posOffset>
                </wp:positionH>
                <wp:positionV relativeFrom="paragraph">
                  <wp:posOffset>12700</wp:posOffset>
                </wp:positionV>
                <wp:extent cx="1353185" cy="3429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53185" cy="342900"/>
                        </a:xfrm>
                        <a:prstGeom prst="rect">
                          <a:avLst/>
                        </a:prstGeom>
                        <a:noFill/>
                      </wps:spPr>
                      <wps:txbx>
                        <w:txbxContent>
                          <w:p w:rsidR="00493E52" w:rsidRDefault="007B49E8">
                            <w:pPr>
                              <w:pStyle w:val="Zkladntext1"/>
                              <w:shd w:val="clear" w:color="auto" w:fill="auto"/>
                              <w:spacing w:after="0"/>
                            </w:pPr>
                            <w:r>
                              <w:rPr>
                                <w:b/>
                                <w:bCs/>
                              </w:rPr>
                              <w:t xml:space="preserve">Vypracoval </w:t>
                            </w:r>
                            <w:r>
                              <w:rPr>
                                <w:b/>
                                <w:bCs/>
                              </w:rPr>
                              <w:t>(pečovatel): Správa pojistné smlouvy: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0.95pt;margin-top:1pt;width:106.55pt;height:2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bJgQEAAPwCAAAOAAAAZHJzL2Uyb0RvYy54bWysUsFOwzAMvSPxD1HurN3G0KjWTULTEBIC&#10;pMEHpGmyRmriKAlr9/c4WbchuCEujmM7z8/PWax63ZK9cF6BKel4lFMiDIdamV1JP943N3NKfGCm&#10;Zi0YUdKD8HS1vL5adLYQE2igrYUjCGJ80dmSNiHYIss8b4RmfgRWGExKcJoFvLpdVjvWIbpus0me&#10;32UduNo64MJ7jK6PSbpM+FIKHl6l9CKQtqTILSTrkq2izZYLVuwcs43iAw32BxaaKYNNz1BrFhj5&#10;dOoXlFbcgQcZRhx0BlIqLtIMOM04/zHNtmFWpFlQHG/PMvn/g+Uv+zdHVI27o8QwjStKXck4StNZ&#10;X2DF1mJN6B+gj2VD3GMwTtxLp+OJsxDMo8iHs7CiD4THR9PZdDyfUcIxN72d3OdJ+ezy2jofHgVo&#10;Ep2SOlxc0pPtn33Ajlh6KonNDGxU28Z4pHikEr3QV/3Ar4L6gLTbJ4NyxdWfHHdyqsE5waDEqdHw&#10;HeIOv99Ts8unXX4BAAD//wMAUEsDBBQABgAIAAAAIQAaFsWV3QAAAAgBAAAPAAAAZHJzL2Rvd25y&#10;ZXYueG1sTI/BTsMwEETvSPyDtUjcqJ2iRjTEqaqqnJAQaThwdJJtYjVeh9htw9+znOC2oxnNvsk3&#10;sxvEBadgPWlIFgoEUuNbS52Gj+rl4QlEiIZaM3hCDd8YYFPc3uQma/2VSrwcYie4hEJmNPQxjpmU&#10;oenRmbDwIxJ7Rz85E1lOnWwnc+VyN8ilUql0xhJ/6M2Iux6b0+HsNGw/qdzbr7f6vTyWtqrWil7T&#10;k9b3d/P2GUTEOf6F4Ref0aFgptqfqQ1iYK2SNUc1LHkS+4/Jio9awypVIItc/h9Q/AAAAP//AwBQ&#10;SwECLQAUAAYACAAAACEAtoM4kv4AAADhAQAAEwAAAAAAAAAAAAAAAAAAAAAAW0NvbnRlbnRfVHlw&#10;ZXNdLnhtbFBLAQItABQABgAIAAAAIQA4/SH/1gAAAJQBAAALAAAAAAAAAAAAAAAAAC8BAABfcmVs&#10;cy8ucmVsc1BLAQItABQABgAIAAAAIQAzHjbJgQEAAPwCAAAOAAAAAAAAAAAAAAAAAC4CAABkcnMv&#10;ZTJvRG9jLnhtbFBLAQItABQABgAIAAAAIQAaFsWV3QAAAAgBAAAPAAAAAAAAAAAAAAAAANsDAABk&#10;cnMvZG93bnJldi54bWxQSwUGAAAAAAQABADzAAAA5QQAAAAA&#10;" filled="f" stroked="f">
                <v:textbox inset="0,0,0,0">
                  <w:txbxContent>
                    <w:p w:rsidR="00493E52" w:rsidRDefault="007B49E8">
                      <w:pPr>
                        <w:pStyle w:val="Zkladntext1"/>
                        <w:shd w:val="clear" w:color="auto" w:fill="auto"/>
                        <w:spacing w:after="0"/>
                      </w:pPr>
                      <w:r>
                        <w:rPr>
                          <w:b/>
                          <w:bCs/>
                        </w:rPr>
                        <w:t xml:space="preserve">Vypracoval </w:t>
                      </w:r>
                      <w:r>
                        <w:rPr>
                          <w:b/>
                          <w:bCs/>
                        </w:rPr>
                        <w:t>(pečovatel): Správa pojistné smlouvy:</w:t>
                      </w:r>
                    </w:p>
                  </w:txbxContent>
                </v:textbox>
                <w10:wrap type="square" side="right" anchorx="page"/>
              </v:shape>
            </w:pict>
          </mc:Fallback>
        </mc:AlternateContent>
      </w:r>
      <w:proofErr w:type="spellStart"/>
      <w:r w:rsidR="00DB7E28">
        <w:t>xxx</w:t>
      </w:r>
      <w:proofErr w:type="spellEnd"/>
    </w:p>
    <w:p w:rsidR="00493E52" w:rsidRDefault="007B49E8">
      <w:pPr>
        <w:pStyle w:val="Zkladntext1"/>
        <w:shd w:val="clear" w:color="auto" w:fill="auto"/>
        <w:spacing w:after="0"/>
        <w:jc w:val="center"/>
      </w:pPr>
      <w:r>
        <w:rPr>
          <w:b/>
          <w:bCs/>
          <w:u w:val="single"/>
        </w:rPr>
        <w:lastRenderedPageBreak/>
        <w:t>Článek I.</w:t>
      </w:r>
    </w:p>
    <w:p w:rsidR="00493E52" w:rsidRDefault="007B49E8">
      <w:pPr>
        <w:pStyle w:val="Zkladntext1"/>
        <w:shd w:val="clear" w:color="auto" w:fill="auto"/>
        <w:spacing w:after="220"/>
        <w:ind w:left="4520"/>
      </w:pPr>
      <w:r>
        <w:rPr>
          <w:b/>
          <w:bCs/>
          <w:u w:val="single"/>
        </w:rPr>
        <w:t>Předmět dodatku pojistné smlouvy</w:t>
      </w:r>
    </w:p>
    <w:p w:rsidR="00493E52" w:rsidRDefault="007B49E8">
      <w:pPr>
        <w:pStyle w:val="Zkladntext1"/>
        <w:shd w:val="clear" w:color="auto" w:fill="auto"/>
        <w:spacing w:after="340"/>
        <w:ind w:firstLine="980"/>
      </w:pPr>
      <w:r>
        <w:rPr>
          <w:b/>
          <w:bCs/>
        </w:rPr>
        <w:t xml:space="preserve">Pojistitel a pojistník sjednávají tímto dodatkem následující změny v pojistné </w:t>
      </w:r>
      <w:r>
        <w:rPr>
          <w:b/>
          <w:bCs/>
        </w:rPr>
        <w:t>smlouvě:</w:t>
      </w:r>
    </w:p>
    <w:p w:rsidR="00493E52" w:rsidRDefault="007B49E8">
      <w:pPr>
        <w:pStyle w:val="Zkladntext1"/>
        <w:numPr>
          <w:ilvl w:val="0"/>
          <w:numId w:val="1"/>
        </w:numPr>
        <w:shd w:val="clear" w:color="auto" w:fill="auto"/>
        <w:tabs>
          <w:tab w:val="left" w:pos="1298"/>
        </w:tabs>
        <w:spacing w:after="280" w:line="233" w:lineRule="auto"/>
        <w:ind w:left="1260" w:hanging="260"/>
      </w:pPr>
      <w:r>
        <w:rPr>
          <w:b/>
          <w:bCs/>
        </w:rPr>
        <w:t xml:space="preserve">Z důvodu změny a snížení spoluúčasti z 5.000,-Kč na </w:t>
      </w:r>
      <w:proofErr w:type="gramStart"/>
      <w:r>
        <w:rPr>
          <w:b/>
          <w:bCs/>
        </w:rPr>
        <w:t>1.000,-</w:t>
      </w:r>
      <w:proofErr w:type="gramEnd"/>
      <w:r>
        <w:rPr>
          <w:b/>
          <w:bCs/>
        </w:rPr>
        <w:t xml:space="preserve">Kč se sjednává nové znění odst. 2.1.1., bodu 2.1. </w:t>
      </w:r>
      <w:r>
        <w:t xml:space="preserve">(POJIŠTĚNÍ ODCIZENÍ), </w:t>
      </w:r>
      <w:r>
        <w:rPr>
          <w:b/>
          <w:bCs/>
        </w:rPr>
        <w:t>článku II. pojistné smlouvy, původní znění se nahrazuje následovně:</w:t>
      </w:r>
    </w:p>
    <w:p w:rsidR="00DB7E28" w:rsidRDefault="007B49E8" w:rsidP="007B49E8">
      <w:pPr>
        <w:pStyle w:val="Titulektabulky0"/>
        <w:shd w:val="clear" w:color="auto" w:fill="auto"/>
        <w:ind w:firstLine="708"/>
      </w:pPr>
      <w:bookmarkStart w:id="6" w:name="_GoBack"/>
      <w:bookmarkEnd w:id="6"/>
      <w:r>
        <w:rPr>
          <w:b w:val="0"/>
          <w:bCs w:val="0"/>
        </w:rPr>
        <w:t xml:space="preserve">2.1.1. Sjednává se pojištění </w:t>
      </w:r>
      <w:r>
        <w:t>souboru cizích vozi</w:t>
      </w:r>
      <w:r>
        <w:t xml:space="preserve">del nájemníků, klientů, zákazníků a hostů, včetně vozidel, kterým je </w:t>
      </w:r>
    </w:p>
    <w:tbl>
      <w:tblPr>
        <w:tblOverlap w:val="never"/>
        <w:tblW w:w="0" w:type="auto"/>
        <w:jc w:val="right"/>
        <w:tblLayout w:type="fixed"/>
        <w:tblCellMar>
          <w:left w:w="10" w:type="dxa"/>
          <w:right w:w="10" w:type="dxa"/>
        </w:tblCellMar>
        <w:tblLook w:val="04A0" w:firstRow="1" w:lastRow="0" w:firstColumn="1" w:lastColumn="0" w:noHBand="0" w:noVBand="1"/>
      </w:tblPr>
      <w:tblGrid>
        <w:gridCol w:w="3255"/>
        <w:gridCol w:w="6092"/>
      </w:tblGrid>
      <w:tr w:rsidR="00493E52" w:rsidTr="00DB7E28">
        <w:tblPrEx>
          <w:tblCellMar>
            <w:top w:w="0" w:type="dxa"/>
            <w:bottom w:w="0" w:type="dxa"/>
          </w:tblCellMar>
        </w:tblPrEx>
        <w:trPr>
          <w:trHeight w:hRule="exact" w:val="459"/>
          <w:jc w:val="right"/>
        </w:trPr>
        <w:tc>
          <w:tcPr>
            <w:tcW w:w="9347" w:type="dxa"/>
            <w:gridSpan w:val="2"/>
            <w:shd w:val="clear" w:color="auto" w:fill="FFFFFF"/>
            <w:vAlign w:val="bottom"/>
          </w:tcPr>
          <w:p w:rsidR="00493E52" w:rsidRDefault="007B49E8">
            <w:pPr>
              <w:pStyle w:val="Jin0"/>
              <w:shd w:val="clear" w:color="auto" w:fill="auto"/>
              <w:spacing w:after="0"/>
            </w:pPr>
            <w:r w:rsidRPr="00DB7E28">
              <w:rPr>
                <w:b/>
              </w:rPr>
              <w:t>přidělována registrační značka a včetně jejich příslušenství a součástí, umístěných nebo zaparkovaných na</w:t>
            </w:r>
            <w:r w:rsidR="00DB7E28">
              <w:t xml:space="preserve"> </w:t>
            </w:r>
            <w:r>
              <w:rPr>
                <w:b/>
                <w:bCs/>
              </w:rPr>
              <w:t>oploceném parkovišti za úplatu nebo po dohodě s pronajímatelem.</w:t>
            </w:r>
          </w:p>
        </w:tc>
      </w:tr>
      <w:tr w:rsidR="00493E52" w:rsidTr="00DB7E28">
        <w:tblPrEx>
          <w:tblCellMar>
            <w:top w:w="0" w:type="dxa"/>
            <w:bottom w:w="0" w:type="dxa"/>
          </w:tblCellMar>
        </w:tblPrEx>
        <w:trPr>
          <w:trHeight w:hRule="exact" w:val="645"/>
          <w:jc w:val="right"/>
        </w:trPr>
        <w:tc>
          <w:tcPr>
            <w:tcW w:w="3255" w:type="dxa"/>
            <w:shd w:val="clear" w:color="auto" w:fill="FFFFFF"/>
            <w:vAlign w:val="bottom"/>
          </w:tcPr>
          <w:p w:rsidR="00493E52" w:rsidRDefault="007B49E8">
            <w:pPr>
              <w:pStyle w:val="Jin0"/>
              <w:shd w:val="clear" w:color="auto" w:fill="auto"/>
              <w:spacing w:after="0"/>
            </w:pPr>
            <w:r>
              <w:rPr>
                <w:b/>
                <w:bCs/>
              </w:rPr>
              <w:t xml:space="preserve">Místo </w:t>
            </w:r>
            <w:r>
              <w:rPr>
                <w:b/>
                <w:bCs/>
              </w:rPr>
              <w:t>pojištění:</w:t>
            </w:r>
          </w:p>
        </w:tc>
        <w:tc>
          <w:tcPr>
            <w:tcW w:w="6092" w:type="dxa"/>
            <w:shd w:val="clear" w:color="auto" w:fill="FFFFFF"/>
            <w:vAlign w:val="bottom"/>
          </w:tcPr>
          <w:p w:rsidR="00493E52" w:rsidRDefault="007B49E8">
            <w:pPr>
              <w:pStyle w:val="Jin0"/>
              <w:shd w:val="clear" w:color="auto" w:fill="auto"/>
              <w:spacing w:after="0"/>
            </w:pPr>
            <w:r>
              <w:rPr>
                <w:b/>
                <w:bCs/>
              </w:rPr>
              <w:t>dle čl. 1 bodu 7 písmene a)</w:t>
            </w:r>
          </w:p>
        </w:tc>
      </w:tr>
      <w:tr w:rsidR="00493E52" w:rsidTr="00DB7E28">
        <w:tblPrEx>
          <w:tblCellMar>
            <w:top w:w="0" w:type="dxa"/>
            <w:bottom w:w="0" w:type="dxa"/>
          </w:tblCellMar>
        </w:tblPrEx>
        <w:trPr>
          <w:trHeight w:hRule="exact" w:val="645"/>
          <w:jc w:val="right"/>
        </w:trPr>
        <w:tc>
          <w:tcPr>
            <w:tcW w:w="3255" w:type="dxa"/>
            <w:shd w:val="clear" w:color="auto" w:fill="FFFFFF"/>
            <w:vAlign w:val="bottom"/>
          </w:tcPr>
          <w:p w:rsidR="00493E52" w:rsidRDefault="007B49E8">
            <w:pPr>
              <w:pStyle w:val="Jin0"/>
              <w:shd w:val="clear" w:color="auto" w:fill="auto"/>
              <w:spacing w:after="0"/>
            </w:pPr>
            <w:r>
              <w:rPr>
                <w:b/>
                <w:bCs/>
              </w:rPr>
              <w:t>Celková pojistná částka činí:</w:t>
            </w:r>
          </w:p>
        </w:tc>
        <w:tc>
          <w:tcPr>
            <w:tcW w:w="6092" w:type="dxa"/>
            <w:shd w:val="clear" w:color="auto" w:fill="FFFFFF"/>
            <w:vAlign w:val="bottom"/>
          </w:tcPr>
          <w:p w:rsidR="00493E52" w:rsidRDefault="007B49E8">
            <w:pPr>
              <w:pStyle w:val="Jin0"/>
              <w:shd w:val="clear" w:color="auto" w:fill="auto"/>
              <w:spacing w:after="0"/>
            </w:pPr>
            <w:proofErr w:type="gramStart"/>
            <w:r>
              <w:rPr>
                <w:b/>
                <w:bCs/>
              </w:rPr>
              <w:t>500.000,-</w:t>
            </w:r>
            <w:proofErr w:type="gramEnd"/>
            <w:r>
              <w:rPr>
                <w:b/>
                <w:bCs/>
              </w:rPr>
              <w:t>Kč</w:t>
            </w:r>
          </w:p>
        </w:tc>
      </w:tr>
      <w:tr w:rsidR="00493E52" w:rsidTr="00DB7E28">
        <w:tblPrEx>
          <w:tblCellMar>
            <w:top w:w="0" w:type="dxa"/>
            <w:bottom w:w="0" w:type="dxa"/>
          </w:tblCellMar>
        </w:tblPrEx>
        <w:trPr>
          <w:trHeight w:hRule="exact" w:val="682"/>
          <w:jc w:val="right"/>
        </w:trPr>
        <w:tc>
          <w:tcPr>
            <w:tcW w:w="3255" w:type="dxa"/>
            <w:shd w:val="clear" w:color="auto" w:fill="FFFFFF"/>
            <w:vAlign w:val="bottom"/>
          </w:tcPr>
          <w:p w:rsidR="00493E52" w:rsidRDefault="007B49E8">
            <w:pPr>
              <w:pStyle w:val="Jin0"/>
              <w:shd w:val="clear" w:color="auto" w:fill="auto"/>
              <w:spacing w:after="0"/>
            </w:pPr>
            <w:r>
              <w:rPr>
                <w:b/>
                <w:bCs/>
              </w:rPr>
              <w:t>Pojištění se sjednává se spoluúčastí:</w:t>
            </w:r>
          </w:p>
        </w:tc>
        <w:tc>
          <w:tcPr>
            <w:tcW w:w="6092" w:type="dxa"/>
            <w:shd w:val="clear" w:color="auto" w:fill="FFFFFF"/>
            <w:vAlign w:val="bottom"/>
          </w:tcPr>
          <w:p w:rsidR="00493E52" w:rsidRDefault="007B49E8">
            <w:pPr>
              <w:pStyle w:val="Jin0"/>
              <w:shd w:val="clear" w:color="auto" w:fill="auto"/>
              <w:spacing w:after="0"/>
            </w:pPr>
            <w:proofErr w:type="gramStart"/>
            <w:r>
              <w:rPr>
                <w:b/>
                <w:bCs/>
              </w:rPr>
              <w:t>1.000,-</w:t>
            </w:r>
            <w:proofErr w:type="gramEnd"/>
            <w:r>
              <w:rPr>
                <w:b/>
                <w:bCs/>
              </w:rPr>
              <w:t>Kč</w:t>
            </w:r>
          </w:p>
        </w:tc>
      </w:tr>
    </w:tbl>
    <w:p w:rsidR="00493E52" w:rsidRDefault="007B49E8" w:rsidP="00DB7E28">
      <w:pPr>
        <w:pStyle w:val="Titulektabulky0"/>
        <w:shd w:val="clear" w:color="auto" w:fill="auto"/>
        <w:ind w:left="992" w:firstLine="708"/>
      </w:pPr>
      <w:r>
        <w:rPr>
          <w:b w:val="0"/>
          <w:bCs w:val="0"/>
        </w:rPr>
        <w:t>Pojištění se sjednává na první riziko.</w:t>
      </w:r>
    </w:p>
    <w:p w:rsidR="00493E52" w:rsidRDefault="00493E52">
      <w:pPr>
        <w:spacing w:after="119" w:line="1" w:lineRule="exact"/>
      </w:pPr>
    </w:p>
    <w:p w:rsidR="00493E52" w:rsidRDefault="007B49E8">
      <w:pPr>
        <w:pStyle w:val="Zkladntext1"/>
        <w:shd w:val="clear" w:color="auto" w:fill="auto"/>
        <w:spacing w:after="0" w:line="233" w:lineRule="auto"/>
        <w:ind w:left="1700"/>
      </w:pPr>
      <w:r>
        <w:rPr>
          <w:b/>
          <w:bCs/>
        </w:rPr>
        <w:t>Odlišný způsob zabezpečení:</w:t>
      </w:r>
    </w:p>
    <w:p w:rsidR="00493E52" w:rsidRDefault="007B49E8">
      <w:pPr>
        <w:pStyle w:val="Zkladntext1"/>
        <w:shd w:val="clear" w:color="auto" w:fill="auto"/>
        <w:spacing w:after="120" w:line="233" w:lineRule="auto"/>
        <w:ind w:left="1700" w:firstLine="20"/>
      </w:pPr>
      <w:r>
        <w:t xml:space="preserve">Dojde-li ke krádeži výše uvedených předmětů </w:t>
      </w:r>
      <w:r>
        <w:t>pojištění, je pojistitel oprávněn snížit své plnění v případě, že v době škodní události nebyly zabezpečeny následujícím způsobem:</w:t>
      </w:r>
    </w:p>
    <w:p w:rsidR="00493E52" w:rsidRDefault="007B49E8">
      <w:pPr>
        <w:pStyle w:val="Zkladntext1"/>
        <w:shd w:val="clear" w:color="auto" w:fill="auto"/>
        <w:spacing w:after="340"/>
        <w:ind w:left="1700" w:firstLine="20"/>
      </w:pPr>
      <w:r>
        <w:rPr>
          <w:b/>
          <w:bCs/>
        </w:rPr>
        <w:t>Pojištěná vozidla se v době pojistné události nacházejí uvnitř oploceného prostranství s funkčním oplocením o výšce min. cca.</w:t>
      </w:r>
      <w:r>
        <w:rPr>
          <w:b/>
          <w:bCs/>
        </w:rPr>
        <w:t xml:space="preserve"> 150 cm až do výšky cca. 200 cm, vjezd na parkovací plochu je pouze přes vjezdové brány opatřené elektronickým zařízením na čip, parkovací plocha je opatřena funkčním kamerovým systémem se signálem vyvedeným na server se záznamem po dobu cca. 2 dnů a po ot</w:t>
      </w:r>
      <w:r>
        <w:rPr>
          <w:b/>
          <w:bCs/>
        </w:rPr>
        <w:t>evírací dobu recepce na monitor obsluhy. Přílohu č. 4 této pojistné smlouvy tvoří fotodokumentace parkovací plochy a oplocení.</w:t>
      </w:r>
    </w:p>
    <w:p w:rsidR="00493E52" w:rsidRDefault="007B49E8">
      <w:pPr>
        <w:pStyle w:val="Zkladntext1"/>
        <w:numPr>
          <w:ilvl w:val="0"/>
          <w:numId w:val="1"/>
        </w:numPr>
        <w:shd w:val="clear" w:color="auto" w:fill="auto"/>
        <w:tabs>
          <w:tab w:val="left" w:pos="1302"/>
        </w:tabs>
        <w:spacing w:after="280"/>
        <w:ind w:left="1260" w:hanging="260"/>
        <w:jc w:val="both"/>
      </w:pPr>
      <w:r>
        <w:rPr>
          <w:b/>
          <w:bCs/>
        </w:rPr>
        <w:t xml:space="preserve">Z důvodu změny a snížení spoluúčasti z 5.000,-Kč na </w:t>
      </w:r>
      <w:proofErr w:type="gramStart"/>
      <w:r>
        <w:rPr>
          <w:b/>
          <w:bCs/>
        </w:rPr>
        <w:t>1.000,-</w:t>
      </w:r>
      <w:proofErr w:type="gramEnd"/>
      <w:r>
        <w:rPr>
          <w:b/>
          <w:bCs/>
        </w:rPr>
        <w:t xml:space="preserve">Kč se sjednává nové znění odst. 2.2.1, bodu 2.2. </w:t>
      </w:r>
      <w:r>
        <w:t>(POJIŠTĚNÍ VANDALISMU</w:t>
      </w:r>
      <w:r>
        <w:t xml:space="preserve">), </w:t>
      </w:r>
      <w:r>
        <w:rPr>
          <w:b/>
          <w:bCs/>
        </w:rPr>
        <w:t>článku II. pojistné smlouvy, původní znění se nahrazuje následovně:</w:t>
      </w:r>
    </w:p>
    <w:p w:rsidR="00493E52" w:rsidRDefault="007B49E8" w:rsidP="00DB7E28">
      <w:pPr>
        <w:pStyle w:val="Titulektabulky0"/>
        <w:shd w:val="clear" w:color="auto" w:fill="auto"/>
        <w:spacing w:line="233" w:lineRule="auto"/>
        <w:ind w:left="708"/>
      </w:pPr>
      <w:r>
        <w:rPr>
          <w:b w:val="0"/>
          <w:bCs w:val="0"/>
        </w:rPr>
        <w:t xml:space="preserve">2.2.1 Sjednává se pojištění </w:t>
      </w:r>
      <w:r>
        <w:t>souboru cizích vozidel nájemníků, klientů, zákazníků a hostů, včetně vozidel, kterým je přidělována registrační značka a včetně jejich příslušenství a součás</w:t>
      </w:r>
      <w:r>
        <w:t>tí, umístěných nebo zaparkovaných na</w:t>
      </w:r>
    </w:p>
    <w:tbl>
      <w:tblPr>
        <w:tblOverlap w:val="never"/>
        <w:tblW w:w="0" w:type="auto"/>
        <w:jc w:val="right"/>
        <w:tblLayout w:type="fixed"/>
        <w:tblCellMar>
          <w:left w:w="10" w:type="dxa"/>
          <w:right w:w="10" w:type="dxa"/>
        </w:tblCellMar>
        <w:tblLook w:val="04A0" w:firstRow="1" w:lastRow="0" w:firstColumn="1" w:lastColumn="0" w:noHBand="0" w:noVBand="1"/>
      </w:tblPr>
      <w:tblGrid>
        <w:gridCol w:w="3183"/>
        <w:gridCol w:w="5928"/>
      </w:tblGrid>
      <w:tr w:rsidR="00493E52" w:rsidTr="00DB7E28">
        <w:tblPrEx>
          <w:tblCellMar>
            <w:top w:w="0" w:type="dxa"/>
            <w:bottom w:w="0" w:type="dxa"/>
          </w:tblCellMar>
        </w:tblPrEx>
        <w:trPr>
          <w:trHeight w:hRule="exact" w:val="247"/>
          <w:jc w:val="right"/>
        </w:trPr>
        <w:tc>
          <w:tcPr>
            <w:tcW w:w="3183" w:type="dxa"/>
            <w:shd w:val="clear" w:color="auto" w:fill="FFFFFF"/>
            <w:vAlign w:val="bottom"/>
          </w:tcPr>
          <w:p w:rsidR="00493E52" w:rsidRDefault="007B49E8">
            <w:pPr>
              <w:pStyle w:val="Jin0"/>
              <w:shd w:val="clear" w:color="auto" w:fill="auto"/>
              <w:spacing w:after="0"/>
            </w:pPr>
            <w:r>
              <w:rPr>
                <w:b/>
                <w:bCs/>
              </w:rPr>
              <w:t>oploceném parkovišti za úplatu nebo</w:t>
            </w:r>
          </w:p>
        </w:tc>
        <w:tc>
          <w:tcPr>
            <w:tcW w:w="5927" w:type="dxa"/>
            <w:shd w:val="clear" w:color="auto" w:fill="FFFFFF"/>
            <w:vAlign w:val="bottom"/>
          </w:tcPr>
          <w:p w:rsidR="00493E52" w:rsidRDefault="007B49E8">
            <w:pPr>
              <w:pStyle w:val="Jin0"/>
              <w:shd w:val="clear" w:color="auto" w:fill="auto"/>
              <w:spacing w:after="0"/>
            </w:pPr>
            <w:r>
              <w:rPr>
                <w:b/>
                <w:bCs/>
              </w:rPr>
              <w:t>po dohodě s pronajímatelem.</w:t>
            </w:r>
          </w:p>
        </w:tc>
      </w:tr>
      <w:tr w:rsidR="00493E52" w:rsidTr="00DB7E28">
        <w:tblPrEx>
          <w:tblCellMar>
            <w:top w:w="0" w:type="dxa"/>
            <w:bottom w:w="0" w:type="dxa"/>
          </w:tblCellMar>
        </w:tblPrEx>
        <w:trPr>
          <w:trHeight w:hRule="exact" w:val="333"/>
          <w:jc w:val="right"/>
        </w:trPr>
        <w:tc>
          <w:tcPr>
            <w:tcW w:w="3183" w:type="dxa"/>
            <w:shd w:val="clear" w:color="auto" w:fill="FFFFFF"/>
            <w:vAlign w:val="bottom"/>
          </w:tcPr>
          <w:p w:rsidR="00493E52" w:rsidRDefault="007B49E8">
            <w:pPr>
              <w:pStyle w:val="Jin0"/>
              <w:shd w:val="clear" w:color="auto" w:fill="auto"/>
              <w:spacing w:after="0"/>
            </w:pPr>
            <w:r>
              <w:rPr>
                <w:b/>
                <w:bCs/>
              </w:rPr>
              <w:t>Místo pojištění:</w:t>
            </w:r>
          </w:p>
        </w:tc>
        <w:tc>
          <w:tcPr>
            <w:tcW w:w="5927" w:type="dxa"/>
            <w:shd w:val="clear" w:color="auto" w:fill="FFFFFF"/>
            <w:vAlign w:val="bottom"/>
          </w:tcPr>
          <w:p w:rsidR="00493E52" w:rsidRDefault="007B49E8">
            <w:pPr>
              <w:pStyle w:val="Jin0"/>
              <w:shd w:val="clear" w:color="auto" w:fill="auto"/>
              <w:spacing w:after="0"/>
            </w:pPr>
            <w:r>
              <w:rPr>
                <w:b/>
                <w:bCs/>
              </w:rPr>
              <w:t>dle čl. 1 bodu 7 písmene a)</w:t>
            </w:r>
          </w:p>
        </w:tc>
      </w:tr>
      <w:tr w:rsidR="00493E52" w:rsidTr="00DB7E28">
        <w:tblPrEx>
          <w:tblCellMar>
            <w:top w:w="0" w:type="dxa"/>
            <w:bottom w:w="0" w:type="dxa"/>
          </w:tblCellMar>
        </w:tblPrEx>
        <w:trPr>
          <w:trHeight w:hRule="exact" w:val="337"/>
          <w:jc w:val="right"/>
        </w:trPr>
        <w:tc>
          <w:tcPr>
            <w:tcW w:w="3183" w:type="dxa"/>
            <w:shd w:val="clear" w:color="auto" w:fill="FFFFFF"/>
            <w:vAlign w:val="bottom"/>
          </w:tcPr>
          <w:p w:rsidR="00493E52" w:rsidRDefault="007B49E8">
            <w:pPr>
              <w:pStyle w:val="Jin0"/>
              <w:shd w:val="clear" w:color="auto" w:fill="auto"/>
              <w:spacing w:after="0"/>
            </w:pPr>
            <w:r>
              <w:rPr>
                <w:b/>
                <w:bCs/>
              </w:rPr>
              <w:t>Celková pojistná částka činí:</w:t>
            </w:r>
          </w:p>
        </w:tc>
        <w:tc>
          <w:tcPr>
            <w:tcW w:w="5927" w:type="dxa"/>
            <w:shd w:val="clear" w:color="auto" w:fill="FFFFFF"/>
            <w:vAlign w:val="bottom"/>
          </w:tcPr>
          <w:p w:rsidR="00493E52" w:rsidRDefault="007B49E8">
            <w:pPr>
              <w:pStyle w:val="Jin0"/>
              <w:shd w:val="clear" w:color="auto" w:fill="auto"/>
              <w:spacing w:after="0"/>
            </w:pPr>
            <w:proofErr w:type="gramStart"/>
            <w:r>
              <w:rPr>
                <w:b/>
                <w:bCs/>
              </w:rPr>
              <w:t>500.000,-</w:t>
            </w:r>
            <w:proofErr w:type="gramEnd"/>
            <w:r>
              <w:rPr>
                <w:b/>
                <w:bCs/>
              </w:rPr>
              <w:t>Kč</w:t>
            </w:r>
          </w:p>
        </w:tc>
      </w:tr>
      <w:tr w:rsidR="00493E52" w:rsidTr="00DB7E28">
        <w:tblPrEx>
          <w:tblCellMar>
            <w:top w:w="0" w:type="dxa"/>
            <w:bottom w:w="0" w:type="dxa"/>
          </w:tblCellMar>
        </w:tblPrEx>
        <w:trPr>
          <w:trHeight w:hRule="exact" w:val="337"/>
          <w:jc w:val="right"/>
        </w:trPr>
        <w:tc>
          <w:tcPr>
            <w:tcW w:w="3183" w:type="dxa"/>
            <w:shd w:val="clear" w:color="auto" w:fill="FFFFFF"/>
            <w:vAlign w:val="bottom"/>
          </w:tcPr>
          <w:p w:rsidR="00493E52" w:rsidRDefault="007B49E8">
            <w:pPr>
              <w:pStyle w:val="Jin0"/>
              <w:shd w:val="clear" w:color="auto" w:fill="auto"/>
              <w:spacing w:after="0"/>
            </w:pPr>
            <w:r>
              <w:rPr>
                <w:b/>
                <w:bCs/>
              </w:rPr>
              <w:t>Pojištění se sjednává se spoluúčastí:</w:t>
            </w:r>
          </w:p>
        </w:tc>
        <w:tc>
          <w:tcPr>
            <w:tcW w:w="5927" w:type="dxa"/>
            <w:shd w:val="clear" w:color="auto" w:fill="FFFFFF"/>
            <w:vAlign w:val="bottom"/>
          </w:tcPr>
          <w:p w:rsidR="00493E52" w:rsidRDefault="007B49E8">
            <w:pPr>
              <w:pStyle w:val="Jin0"/>
              <w:shd w:val="clear" w:color="auto" w:fill="auto"/>
              <w:spacing w:after="0"/>
            </w:pPr>
            <w:proofErr w:type="gramStart"/>
            <w:r>
              <w:rPr>
                <w:b/>
                <w:bCs/>
              </w:rPr>
              <w:t>1.000,-</w:t>
            </w:r>
            <w:proofErr w:type="gramEnd"/>
            <w:r>
              <w:rPr>
                <w:b/>
                <w:bCs/>
              </w:rPr>
              <w:t>Kč</w:t>
            </w:r>
          </w:p>
        </w:tc>
      </w:tr>
      <w:tr w:rsidR="00493E52" w:rsidTr="00DB7E28">
        <w:tblPrEx>
          <w:tblCellMar>
            <w:top w:w="0" w:type="dxa"/>
            <w:bottom w:w="0" w:type="dxa"/>
          </w:tblCellMar>
        </w:tblPrEx>
        <w:trPr>
          <w:trHeight w:hRule="exact" w:val="275"/>
          <w:jc w:val="right"/>
        </w:trPr>
        <w:tc>
          <w:tcPr>
            <w:tcW w:w="9111" w:type="dxa"/>
            <w:gridSpan w:val="2"/>
            <w:shd w:val="clear" w:color="auto" w:fill="FFFFFF"/>
            <w:vAlign w:val="bottom"/>
          </w:tcPr>
          <w:p w:rsidR="00493E52" w:rsidRDefault="007B49E8">
            <w:pPr>
              <w:pStyle w:val="Jin0"/>
              <w:shd w:val="clear" w:color="auto" w:fill="auto"/>
              <w:spacing w:after="0"/>
            </w:pPr>
            <w:r>
              <w:t>Pojištění se sjednává na první riziko.</w:t>
            </w:r>
          </w:p>
        </w:tc>
      </w:tr>
    </w:tbl>
    <w:p w:rsidR="00493E52" w:rsidRDefault="00493E52">
      <w:pPr>
        <w:spacing w:after="339" w:line="1" w:lineRule="exact"/>
      </w:pPr>
    </w:p>
    <w:p w:rsidR="00493E52" w:rsidRDefault="007B49E8">
      <w:pPr>
        <w:pStyle w:val="Zkladntext1"/>
        <w:numPr>
          <w:ilvl w:val="0"/>
          <w:numId w:val="1"/>
        </w:numPr>
        <w:shd w:val="clear" w:color="auto" w:fill="auto"/>
        <w:tabs>
          <w:tab w:val="left" w:pos="1302"/>
        </w:tabs>
        <w:spacing w:after="220"/>
        <w:ind w:left="1260" w:hanging="260"/>
        <w:jc w:val="both"/>
      </w:pPr>
      <w:r>
        <w:rPr>
          <w:b/>
          <w:bCs/>
        </w:rPr>
        <w:t xml:space="preserve">Z důvodu změny a snížení spoluúčasti z 5.000,-Kč na </w:t>
      </w:r>
      <w:proofErr w:type="gramStart"/>
      <w:r>
        <w:rPr>
          <w:b/>
          <w:bCs/>
        </w:rPr>
        <w:t>1.000,-</w:t>
      </w:r>
      <w:proofErr w:type="gramEnd"/>
      <w:r>
        <w:rPr>
          <w:b/>
          <w:bCs/>
        </w:rPr>
        <w:t xml:space="preserve">Kč se sjednává nové znění odst. 3.1. a 3.2., bodu 3. </w:t>
      </w:r>
      <w:r>
        <w:t xml:space="preserve">(POJIŠTĚNI ODPOVĚDNOSTI), </w:t>
      </w:r>
      <w:r>
        <w:rPr>
          <w:b/>
          <w:bCs/>
        </w:rPr>
        <w:t>článku II. pojistné smlouvy, původní znění se nahrazuje následovně:</w:t>
      </w:r>
    </w:p>
    <w:p w:rsidR="00493E52" w:rsidRDefault="007B49E8">
      <w:pPr>
        <w:pStyle w:val="Zkladntext1"/>
        <w:numPr>
          <w:ilvl w:val="1"/>
          <w:numId w:val="1"/>
        </w:numPr>
        <w:shd w:val="clear" w:color="auto" w:fill="auto"/>
        <w:tabs>
          <w:tab w:val="left" w:pos="1562"/>
        </w:tabs>
        <w:spacing w:after="0"/>
        <w:ind w:left="1540" w:hanging="540"/>
      </w:pPr>
      <w:r>
        <w:t xml:space="preserve">V souladu s § </w:t>
      </w:r>
      <w:proofErr w:type="gramStart"/>
      <w:r>
        <w:t>2945 - 2949</w:t>
      </w:r>
      <w:proofErr w:type="gramEnd"/>
      <w:r>
        <w:t xml:space="preserve"> zákona č. 89/2012 Sb., občanský zákoník, ve znění pozdějších předpisů, se pojištění vztahuje i na povinnost pojištěného nahradit poškozenému majetkovou újmu (škodu) vzniklou </w:t>
      </w:r>
      <w:r>
        <w:rPr>
          <w:b/>
          <w:bCs/>
        </w:rPr>
        <w:t>na dopravních prostředcích a jejich příslušenství nebo s</w:t>
      </w:r>
      <w:r>
        <w:rPr>
          <w:b/>
          <w:bCs/>
        </w:rPr>
        <w:t xml:space="preserve">oučástí, </w:t>
      </w:r>
      <w:r>
        <w:t xml:space="preserve">které byly fyzickými osobami nebo pro ně </w:t>
      </w:r>
      <w:r>
        <w:rPr>
          <w:b/>
          <w:bCs/>
        </w:rPr>
        <w:t xml:space="preserve">vneseny nebo odloženy na parkovištích a odstavných plochách, které pojištěný provozuje, </w:t>
      </w:r>
      <w:r>
        <w:t>ledaže by ke škodě došlo i jinak.</w:t>
      </w:r>
    </w:p>
    <w:p w:rsidR="00493E52" w:rsidRDefault="007B49E8">
      <w:pPr>
        <w:pStyle w:val="Zkladntext1"/>
        <w:shd w:val="clear" w:color="auto" w:fill="auto"/>
        <w:spacing w:after="0"/>
        <w:ind w:left="1540"/>
      </w:pPr>
      <w:r>
        <w:t>Pojištění se však nevztahuje na ztrátu věci nebo celého vozidla.</w:t>
      </w:r>
    </w:p>
    <w:p w:rsidR="00493E52" w:rsidRDefault="007B49E8">
      <w:pPr>
        <w:pStyle w:val="Zkladntext1"/>
        <w:shd w:val="clear" w:color="auto" w:fill="auto"/>
        <w:spacing w:after="0" w:line="233" w:lineRule="auto"/>
        <w:ind w:left="1540" w:firstLine="20"/>
      </w:pPr>
      <w:r>
        <w:rPr>
          <w:noProof/>
        </w:rPr>
        <mc:AlternateContent>
          <mc:Choice Requires="wps">
            <w:drawing>
              <wp:anchor distT="0" distB="0" distL="114300" distR="114300" simplePos="0" relativeHeight="125829380" behindDoc="0" locked="0" layoutInCell="1" allowOverlap="1">
                <wp:simplePos x="0" y="0"/>
                <wp:positionH relativeFrom="page">
                  <wp:posOffset>1010920</wp:posOffset>
                </wp:positionH>
                <wp:positionV relativeFrom="paragraph">
                  <wp:posOffset>330200</wp:posOffset>
                </wp:positionV>
                <wp:extent cx="5948045" cy="3359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948045" cy="335915"/>
                        </a:xfrm>
                        <a:prstGeom prst="rect">
                          <a:avLst/>
                        </a:prstGeom>
                        <a:noFill/>
                      </wps:spPr>
                      <wps:txbx>
                        <w:txbxContent>
                          <w:p w:rsidR="00493E52" w:rsidRDefault="007B49E8">
                            <w:pPr>
                              <w:pStyle w:val="Zkladntext1"/>
                              <w:shd w:val="clear" w:color="auto" w:fill="auto"/>
                              <w:tabs>
                                <w:tab w:val="left" w:leader="dot" w:pos="8248"/>
                              </w:tabs>
                              <w:spacing w:after="0"/>
                            </w:pPr>
                            <w:r>
                              <w:rPr>
                                <w:b/>
                                <w:bCs/>
                              </w:rPr>
                              <w:t xml:space="preserve">Roční </w:t>
                            </w:r>
                            <w:proofErr w:type="spellStart"/>
                            <w:r>
                              <w:rPr>
                                <w:b/>
                                <w:bCs/>
                              </w:rPr>
                              <w:t>sublimit</w:t>
                            </w:r>
                            <w:proofErr w:type="spellEnd"/>
                            <w:r>
                              <w:rPr>
                                <w:b/>
                                <w:bCs/>
                              </w:rPr>
                              <w:t xml:space="preserve"> </w:t>
                            </w:r>
                            <w:r>
                              <w:t>p</w:t>
                            </w:r>
                            <w:r>
                              <w:t>ojistného plnění činí</w:t>
                            </w:r>
                            <w:r>
                              <w:tab/>
                            </w:r>
                            <w:r>
                              <w:rPr>
                                <w:b/>
                                <w:bCs/>
                              </w:rPr>
                              <w:t>500.000,-Kč.</w:t>
                            </w:r>
                          </w:p>
                          <w:p w:rsidR="00493E52" w:rsidRDefault="007B49E8">
                            <w:pPr>
                              <w:pStyle w:val="Zkladntext1"/>
                              <w:shd w:val="clear" w:color="auto" w:fill="auto"/>
                              <w:tabs>
                                <w:tab w:val="left" w:leader="dot" w:pos="8428"/>
                              </w:tabs>
                              <w:spacing w:after="0" w:line="233" w:lineRule="auto"/>
                            </w:pPr>
                            <w:r>
                              <w:t>Pojištění se sjednává se spoluúčastí</w:t>
                            </w:r>
                            <w:r>
                              <w:tab/>
                              <w:t xml:space="preserve"> </w:t>
                            </w:r>
                            <w:proofErr w:type="gramStart"/>
                            <w:r>
                              <w:rPr>
                                <w:b/>
                                <w:bCs/>
                              </w:rPr>
                              <w:t>1.000,-</w:t>
                            </w:r>
                            <w:proofErr w:type="gramEnd"/>
                            <w:r>
                              <w:rPr>
                                <w:b/>
                                <w:bCs/>
                              </w:rPr>
                              <w:t>Kč.</w:t>
                            </w:r>
                          </w:p>
                        </w:txbxContent>
                      </wps:txbx>
                      <wps:bodyPr lIns="0" tIns="0" rIns="0" bIns="0"/>
                    </wps:wsp>
                  </a:graphicData>
                </a:graphic>
              </wp:anchor>
            </w:drawing>
          </mc:Choice>
          <mc:Fallback>
            <w:pict>
              <v:shape id="Shape 3" o:spid="_x0000_s1027" type="#_x0000_t202" style="position:absolute;left:0;text-align:left;margin-left:79.6pt;margin-top:26pt;width:468.35pt;height:26.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VTjhAEAAAMDAAAOAAAAZHJzL2Uyb0RvYy54bWysUstOwzAQvCPxD5bvNOkLtVHTSqgqQkKA&#10;VPgA17EbS7HXsk2T/j1rt2kR3BAXZ727mZ2Z9WLV6YYchPMKTEmHg5wSYThUyuxL+vG+uZtR4gMz&#10;FWvAiJIehaer5e3NorWFGEENTSUcQRDji9aWtA7BFlnmeS008wOwwmBRgtMs4NXts8qxFtF1k43y&#10;/D5rwVXWARfeY3Z9KtJlwpdS8PAqpReBNCVFbiGdLp27eGbLBSv2jtla8TMN9gcWmimDQy9QaxYY&#10;+XTqF5RW3IEHGQYcdAZSKi6SBlQzzH+o2dbMiqQFzfH2YpP/P1j+cnhzRFUlHVNimMYVpalkHK1p&#10;rS+wY2uxJ3QP0OGK+7zHZFTcSafjF7UQrKPJx4uxoguEY3I6n8zyyZQSjrXxeDofTiNMdv3bOh8e&#10;BWgSg5I6XFzykx2efTi19i1xmIGNapqYjxRPVGIUul2X1Fxo7qA6IvvmyaBr8QX0geuD3Tno0dDp&#10;RO38KuIqv9/TzOvbXX4BAAD//wMAUEsDBBQABgAIAAAAIQD4hYl43gAAAAsBAAAPAAAAZHJzL2Rv&#10;d25yZXYueG1sTI89T8MwEIZ3JP6DdUhs1GlEKpzGqSoEExIiDQOjE18Tq/E5xG4b/j3OBNu9ukfv&#10;R7Gb7cAuOHnjSMJ6lQBDap021En4rF8fnoD5oEirwRFK+EEPu/L2plC5dleq8HIIHYsm5HMloQ9h&#10;zDn3bY9W+ZUbkeLv6CarQpRTx/WkrtHcDjxNkg23ylBM6NWIzz22p8PZSth/UfVivt+bj+pYmboW&#10;Cb1tTlLe3837LbCAc/iDYakfq0MZOzXuTNqzIepMpBGVkKVx0wIkIhPAmuV6FMDLgv/fUP4CAAD/&#10;/wMAUEsBAi0AFAAGAAgAAAAhALaDOJL+AAAA4QEAABMAAAAAAAAAAAAAAAAAAAAAAFtDb250ZW50&#10;X1R5cGVzXS54bWxQSwECLQAUAAYACAAAACEAOP0h/9YAAACUAQAACwAAAAAAAAAAAAAAAAAvAQAA&#10;X3JlbHMvLnJlbHNQSwECLQAUAAYACAAAACEAPOlU44QBAAADAwAADgAAAAAAAAAAAAAAAAAuAgAA&#10;ZHJzL2Uyb0RvYy54bWxQSwECLQAUAAYACAAAACEA+IWJeN4AAAALAQAADwAAAAAAAAAAAAAAAADe&#10;AwAAZHJzL2Rvd25yZXYueG1sUEsFBgAAAAAEAAQA8wAAAOkEAAAAAA==&#10;" filled="f" stroked="f">
                <v:textbox inset="0,0,0,0">
                  <w:txbxContent>
                    <w:p w:rsidR="00493E52" w:rsidRDefault="007B49E8">
                      <w:pPr>
                        <w:pStyle w:val="Zkladntext1"/>
                        <w:shd w:val="clear" w:color="auto" w:fill="auto"/>
                        <w:tabs>
                          <w:tab w:val="left" w:leader="dot" w:pos="8248"/>
                        </w:tabs>
                        <w:spacing w:after="0"/>
                      </w:pPr>
                      <w:r>
                        <w:rPr>
                          <w:b/>
                          <w:bCs/>
                        </w:rPr>
                        <w:t xml:space="preserve">Roční </w:t>
                      </w:r>
                      <w:proofErr w:type="spellStart"/>
                      <w:r>
                        <w:rPr>
                          <w:b/>
                          <w:bCs/>
                        </w:rPr>
                        <w:t>sublimit</w:t>
                      </w:r>
                      <w:proofErr w:type="spellEnd"/>
                      <w:r>
                        <w:rPr>
                          <w:b/>
                          <w:bCs/>
                        </w:rPr>
                        <w:t xml:space="preserve"> </w:t>
                      </w:r>
                      <w:r>
                        <w:t>p</w:t>
                      </w:r>
                      <w:r>
                        <w:t>ojistného plnění činí</w:t>
                      </w:r>
                      <w:r>
                        <w:tab/>
                      </w:r>
                      <w:r>
                        <w:rPr>
                          <w:b/>
                          <w:bCs/>
                        </w:rPr>
                        <w:t>500.000,-Kč.</w:t>
                      </w:r>
                    </w:p>
                    <w:p w:rsidR="00493E52" w:rsidRDefault="007B49E8">
                      <w:pPr>
                        <w:pStyle w:val="Zkladntext1"/>
                        <w:shd w:val="clear" w:color="auto" w:fill="auto"/>
                        <w:tabs>
                          <w:tab w:val="left" w:leader="dot" w:pos="8428"/>
                        </w:tabs>
                        <w:spacing w:after="0" w:line="233" w:lineRule="auto"/>
                      </w:pPr>
                      <w:r>
                        <w:t>Pojištění se sjednává se spoluúčastí</w:t>
                      </w:r>
                      <w:r>
                        <w:tab/>
                        <w:t xml:space="preserve"> </w:t>
                      </w:r>
                      <w:proofErr w:type="gramStart"/>
                      <w:r>
                        <w:rPr>
                          <w:b/>
                          <w:bCs/>
                        </w:rPr>
                        <w:t>1.000,-</w:t>
                      </w:r>
                      <w:proofErr w:type="gramEnd"/>
                      <w:r>
                        <w:rPr>
                          <w:b/>
                          <w:bCs/>
                        </w:rPr>
                        <w:t>Kč.</w:t>
                      </w:r>
                    </w:p>
                  </w:txbxContent>
                </v:textbox>
                <w10:wrap type="topAndBottom" anchorx="page"/>
              </v:shape>
            </w:pict>
          </mc:Fallback>
        </mc:AlternateContent>
      </w:r>
      <w:r>
        <w:t>Právo na náhradu škody musí být uplatněno u pojistníka bez zbytečného odkladu, nejpozději však do patnácti dnů po dni, kdy se poškozený o škodě musel dozvědět.</w:t>
      </w:r>
    </w:p>
    <w:p w:rsidR="00493E52" w:rsidRDefault="007B49E8">
      <w:pPr>
        <w:pStyle w:val="Zkladntext1"/>
        <w:shd w:val="clear" w:color="auto" w:fill="auto"/>
        <w:spacing w:after="0"/>
        <w:ind w:left="1540" w:firstLine="20"/>
      </w:pPr>
      <w:r>
        <w:t>Územní platn</w:t>
      </w:r>
      <w:r>
        <w:t xml:space="preserve">ost pojištění: </w:t>
      </w:r>
      <w:r>
        <w:rPr>
          <w:b/>
          <w:bCs/>
        </w:rPr>
        <w:t xml:space="preserve">Parkoviště a odstavné plochy Sportovní Haly Most, </w:t>
      </w:r>
      <w:proofErr w:type="spellStart"/>
      <w:r>
        <w:rPr>
          <w:b/>
          <w:bCs/>
        </w:rPr>
        <w:t>k.ú</w:t>
      </w:r>
      <w:proofErr w:type="spellEnd"/>
      <w:r>
        <w:rPr>
          <w:b/>
          <w:bCs/>
        </w:rPr>
        <w:t>. Most II, pare. č. 6380/1 a</w:t>
      </w:r>
    </w:p>
    <w:p w:rsidR="00493E52" w:rsidRDefault="007B49E8">
      <w:pPr>
        <w:pStyle w:val="Zkladntext1"/>
        <w:shd w:val="clear" w:color="auto" w:fill="auto"/>
        <w:spacing w:after="220"/>
        <w:ind w:left="3960"/>
      </w:pPr>
      <w:r>
        <w:rPr>
          <w:b/>
          <w:bCs/>
        </w:rPr>
        <w:lastRenderedPageBreak/>
        <w:t>6380/2, PSČ 434 01 (vjezd z ulice U Sportovní haly Most a z ulice Bělehradská)</w:t>
      </w:r>
    </w:p>
    <w:p w:rsidR="00493E52" w:rsidRDefault="007B49E8">
      <w:pPr>
        <w:pStyle w:val="Zkladntext1"/>
        <w:numPr>
          <w:ilvl w:val="1"/>
          <w:numId w:val="1"/>
        </w:numPr>
        <w:shd w:val="clear" w:color="auto" w:fill="auto"/>
        <w:tabs>
          <w:tab w:val="left" w:pos="1417"/>
        </w:tabs>
        <w:spacing w:after="0"/>
        <w:ind w:left="1520" w:hanging="580"/>
        <w:jc w:val="both"/>
      </w:pPr>
      <w:r>
        <w:t xml:space="preserve">V souladu s článkem 6, bodem 2, písm. a) DPPOP se ujednává, že pojištění se vztahuje i na právním předpisem stanovenou povinnost pojištěného nahradit poškozenému </w:t>
      </w:r>
      <w:r>
        <w:rPr>
          <w:b/>
          <w:bCs/>
        </w:rPr>
        <w:t xml:space="preserve">majetkovou újmu vzniklou na věci, </w:t>
      </w:r>
      <w:r>
        <w:t>která není ve vlastnictví pojištěného, kterou však pojištěný</w:t>
      </w:r>
      <w:r>
        <w:t>:</w:t>
      </w:r>
    </w:p>
    <w:p w:rsidR="00493E52" w:rsidRDefault="007B49E8">
      <w:pPr>
        <w:pStyle w:val="Zkladntext1"/>
        <w:shd w:val="clear" w:color="auto" w:fill="auto"/>
        <w:spacing w:after="0"/>
        <w:ind w:left="1840" w:hanging="300"/>
        <w:jc w:val="both"/>
      </w:pPr>
      <w:r>
        <w:t xml:space="preserve">a) </w:t>
      </w:r>
      <w:r>
        <w:rPr>
          <w:b/>
          <w:bCs/>
        </w:rPr>
        <w:t xml:space="preserve">převzal za účelem provedení objednané činnosti </w:t>
      </w:r>
      <w:r>
        <w:t xml:space="preserve">(parkování, úschova, </w:t>
      </w:r>
      <w:proofErr w:type="gramStart"/>
      <w:r>
        <w:t>uskladnění,</w:t>
      </w:r>
      <w:proofErr w:type="gramEnd"/>
      <w:r>
        <w:t xml:space="preserve"> apod. dopravních prostředků na parkovištích a odstavných plochách provozovaných pojištěným);</w:t>
      </w:r>
    </w:p>
    <w:p w:rsidR="00493E52" w:rsidRDefault="007B49E8">
      <w:pPr>
        <w:pStyle w:val="Zkladntext1"/>
        <w:shd w:val="clear" w:color="auto" w:fill="auto"/>
        <w:ind w:left="3940" w:hanging="2400"/>
        <w:jc w:val="both"/>
      </w:pPr>
      <w:r>
        <w:t>vznikla-li újma jejím poškozením, zničením nebo pohřešováním, odcizením krádež</w:t>
      </w:r>
      <w:r>
        <w:t>í nebo loupeží.</w:t>
      </w:r>
    </w:p>
    <w:p w:rsidR="00493E52" w:rsidRDefault="007B49E8">
      <w:pPr>
        <w:pStyle w:val="Zkladntext1"/>
        <w:shd w:val="clear" w:color="auto" w:fill="auto"/>
        <w:ind w:left="3940" w:hanging="2400"/>
        <w:jc w:val="both"/>
      </w:pPr>
      <w:r>
        <w:t>Pojištění se vztahuje i na následnou finanční újmu z toho vyplývající.</w:t>
      </w:r>
    </w:p>
    <w:p w:rsidR="00493E52" w:rsidRDefault="007B49E8">
      <w:pPr>
        <w:pStyle w:val="Zkladntext1"/>
        <w:shd w:val="clear" w:color="auto" w:fill="auto"/>
        <w:ind w:left="3940" w:hanging="2400"/>
        <w:jc w:val="both"/>
      </w:pPr>
      <w:r>
        <w:t>Pojištění se nevztahuje na újmu vzniklou ztrátou věci.</w:t>
      </w:r>
    </w:p>
    <w:p w:rsidR="00493E52" w:rsidRDefault="007B49E8">
      <w:pPr>
        <w:pStyle w:val="Zkladntext1"/>
        <w:shd w:val="clear" w:color="auto" w:fill="auto"/>
        <w:tabs>
          <w:tab w:val="left" w:leader="dot" w:pos="9770"/>
        </w:tabs>
        <w:spacing w:after="0"/>
        <w:ind w:left="3940" w:hanging="2400"/>
        <w:jc w:val="both"/>
      </w:pPr>
      <w:r>
        <w:rPr>
          <w:b/>
          <w:bCs/>
        </w:rPr>
        <w:t xml:space="preserve">Roční </w:t>
      </w:r>
      <w:proofErr w:type="spellStart"/>
      <w:r>
        <w:rPr>
          <w:b/>
          <w:bCs/>
        </w:rPr>
        <w:t>sublimit</w:t>
      </w:r>
      <w:proofErr w:type="spellEnd"/>
      <w:r>
        <w:rPr>
          <w:b/>
          <w:bCs/>
        </w:rPr>
        <w:t xml:space="preserve"> </w:t>
      </w:r>
      <w:r>
        <w:t>pojistného plnění činí</w:t>
      </w:r>
      <w:r>
        <w:tab/>
        <w:t xml:space="preserve"> </w:t>
      </w:r>
      <w:proofErr w:type="gramStart"/>
      <w:r>
        <w:rPr>
          <w:b/>
          <w:bCs/>
        </w:rPr>
        <w:t>500.000,-</w:t>
      </w:r>
      <w:proofErr w:type="gramEnd"/>
      <w:r>
        <w:rPr>
          <w:b/>
          <w:bCs/>
        </w:rPr>
        <w:t>Kč.</w:t>
      </w:r>
    </w:p>
    <w:p w:rsidR="00493E52" w:rsidRDefault="007B49E8">
      <w:pPr>
        <w:pStyle w:val="Zkladntext1"/>
        <w:shd w:val="clear" w:color="auto" w:fill="auto"/>
        <w:tabs>
          <w:tab w:val="left" w:leader="dot" w:pos="9971"/>
        </w:tabs>
        <w:spacing w:after="0"/>
        <w:ind w:left="3940" w:hanging="2400"/>
        <w:jc w:val="both"/>
      </w:pPr>
      <w:r>
        <w:t>Pojištění se sjednává se spoluúčastí</w:t>
      </w:r>
      <w:r>
        <w:tab/>
        <w:t xml:space="preserve"> </w:t>
      </w:r>
      <w:proofErr w:type="gramStart"/>
      <w:r>
        <w:rPr>
          <w:b/>
          <w:bCs/>
        </w:rPr>
        <w:t>1.000,-</w:t>
      </w:r>
      <w:proofErr w:type="gramEnd"/>
      <w:r>
        <w:rPr>
          <w:b/>
          <w:bCs/>
        </w:rPr>
        <w:t>Kč.</w:t>
      </w:r>
    </w:p>
    <w:p w:rsidR="00493E52" w:rsidRDefault="007B49E8">
      <w:pPr>
        <w:pStyle w:val="Zkladntext1"/>
        <w:shd w:val="clear" w:color="auto" w:fill="auto"/>
        <w:spacing w:after="580"/>
        <w:ind w:left="3940" w:hanging="2400"/>
        <w:jc w:val="both"/>
      </w:pPr>
      <w:r>
        <w:t>Územní platno</w:t>
      </w:r>
      <w:r>
        <w:t xml:space="preserve">st pojištění: </w:t>
      </w:r>
      <w:r>
        <w:rPr>
          <w:b/>
          <w:bCs/>
        </w:rPr>
        <w:t xml:space="preserve">Parkoviště a odstavné plochy Sportovní Haly Most, </w:t>
      </w:r>
      <w:proofErr w:type="spellStart"/>
      <w:r>
        <w:rPr>
          <w:b/>
          <w:bCs/>
        </w:rPr>
        <w:t>k.ú</w:t>
      </w:r>
      <w:proofErr w:type="spellEnd"/>
      <w:r>
        <w:rPr>
          <w:b/>
          <w:bCs/>
        </w:rPr>
        <w:t>. Most II, pare. č. 6380/1 a 6380/2, PSČ 434 01 (vjezd z ulice U Sportovní haly Most a z ulice Bělehradská)</w:t>
      </w:r>
    </w:p>
    <w:p w:rsidR="00493E52" w:rsidRDefault="007B49E8">
      <w:pPr>
        <w:pStyle w:val="Zkladntext1"/>
        <w:shd w:val="clear" w:color="auto" w:fill="auto"/>
        <w:spacing w:after="0"/>
        <w:jc w:val="center"/>
      </w:pPr>
      <w:r>
        <w:rPr>
          <w:b/>
          <w:bCs/>
          <w:u w:val="single"/>
        </w:rPr>
        <w:t>Článek II.</w:t>
      </w:r>
    </w:p>
    <w:p w:rsidR="00493E52" w:rsidRDefault="007B49E8">
      <w:pPr>
        <w:pStyle w:val="Zkladntext1"/>
        <w:shd w:val="clear" w:color="auto" w:fill="auto"/>
        <w:spacing w:after="280"/>
        <w:jc w:val="center"/>
      </w:pPr>
      <w:r>
        <w:rPr>
          <w:b/>
          <w:bCs/>
          <w:u w:val="single"/>
        </w:rPr>
        <w:t>Pojistné dle dodatku pojistné smlouvy</w:t>
      </w:r>
    </w:p>
    <w:p w:rsidR="00493E52" w:rsidRDefault="007B49E8">
      <w:pPr>
        <w:pStyle w:val="Zkladntext1"/>
        <w:numPr>
          <w:ilvl w:val="0"/>
          <w:numId w:val="2"/>
        </w:numPr>
        <w:shd w:val="clear" w:color="auto" w:fill="auto"/>
        <w:tabs>
          <w:tab w:val="left" w:pos="1519"/>
          <w:tab w:val="right" w:leader="dot" w:pos="10482"/>
          <w:tab w:val="center" w:pos="10566"/>
        </w:tabs>
        <w:ind w:left="1200"/>
        <w:jc w:val="both"/>
      </w:pPr>
      <w:r>
        <w:t>Živelní pojištění</w:t>
      </w:r>
      <w:r>
        <w:tab/>
      </w:r>
      <w:r>
        <w:t xml:space="preserve"> </w:t>
      </w:r>
      <w:proofErr w:type="gramStart"/>
      <w:r>
        <w:t>3.625,-</w:t>
      </w:r>
      <w:proofErr w:type="gramEnd"/>
      <w:r>
        <w:tab/>
        <w:t>Kč</w:t>
      </w:r>
    </w:p>
    <w:p w:rsidR="00493E52" w:rsidRDefault="007B49E8">
      <w:pPr>
        <w:pStyle w:val="Zkladntext1"/>
        <w:shd w:val="clear" w:color="auto" w:fill="auto"/>
        <w:tabs>
          <w:tab w:val="right" w:leader="dot" w:pos="10482"/>
          <w:tab w:val="center" w:pos="10572"/>
        </w:tabs>
        <w:ind w:left="1520"/>
        <w:jc w:val="both"/>
      </w:pPr>
      <w:r>
        <w:t>Navýšení pojistného</w:t>
      </w:r>
      <w:r>
        <w:tab/>
        <w:t>0,-</w:t>
      </w:r>
      <w:r>
        <w:tab/>
        <w:t>Kč</w:t>
      </w:r>
    </w:p>
    <w:p w:rsidR="00493E52" w:rsidRDefault="007B49E8">
      <w:pPr>
        <w:pStyle w:val="Zkladntext1"/>
        <w:numPr>
          <w:ilvl w:val="0"/>
          <w:numId w:val="2"/>
        </w:numPr>
        <w:shd w:val="clear" w:color="auto" w:fill="auto"/>
        <w:tabs>
          <w:tab w:val="left" w:pos="1526"/>
          <w:tab w:val="right" w:leader="dot" w:pos="10482"/>
          <w:tab w:val="center" w:pos="10573"/>
        </w:tabs>
        <w:ind w:left="1200"/>
        <w:jc w:val="both"/>
      </w:pPr>
      <w:r>
        <w:t>Pojištění odcizení a vandalismu</w:t>
      </w:r>
      <w:r>
        <w:tab/>
        <w:t>8.500,-</w:t>
      </w:r>
      <w:r>
        <w:tab/>
        <w:t>Kč</w:t>
      </w:r>
    </w:p>
    <w:p w:rsidR="00493E52" w:rsidRDefault="007B49E8">
      <w:pPr>
        <w:pStyle w:val="Zkladntext1"/>
        <w:shd w:val="clear" w:color="auto" w:fill="auto"/>
        <w:tabs>
          <w:tab w:val="right" w:leader="dot" w:pos="10482"/>
          <w:tab w:val="center" w:pos="10576"/>
        </w:tabs>
        <w:ind w:left="1520"/>
        <w:jc w:val="both"/>
      </w:pPr>
      <w:r>
        <w:rPr>
          <w:b/>
          <w:bCs/>
        </w:rPr>
        <w:t xml:space="preserve">Navýšení </w:t>
      </w:r>
      <w:r>
        <w:t>pojistného</w:t>
      </w:r>
      <w:r>
        <w:tab/>
        <w:t xml:space="preserve"> </w:t>
      </w:r>
      <w:proofErr w:type="gramStart"/>
      <w:r>
        <w:t>5.600,-</w:t>
      </w:r>
      <w:proofErr w:type="gramEnd"/>
      <w:r>
        <w:tab/>
        <w:t>Kč</w:t>
      </w:r>
    </w:p>
    <w:p w:rsidR="00493E52" w:rsidRDefault="007B49E8">
      <w:pPr>
        <w:pStyle w:val="Zkladntext1"/>
        <w:numPr>
          <w:ilvl w:val="0"/>
          <w:numId w:val="2"/>
        </w:numPr>
        <w:shd w:val="clear" w:color="auto" w:fill="auto"/>
        <w:tabs>
          <w:tab w:val="left" w:pos="1526"/>
          <w:tab w:val="right" w:leader="dot" w:pos="10482"/>
          <w:tab w:val="center" w:pos="10576"/>
        </w:tabs>
        <w:ind w:left="1200"/>
        <w:jc w:val="both"/>
      </w:pPr>
      <w:r>
        <w:t>Pojištění odpovědnosti</w:t>
      </w:r>
      <w:r>
        <w:tab/>
        <w:t>7.125,-</w:t>
      </w:r>
      <w:r>
        <w:tab/>
        <w:t>Kč</w:t>
      </w:r>
    </w:p>
    <w:p w:rsidR="00493E52" w:rsidRDefault="007B49E8">
      <w:pPr>
        <w:pStyle w:val="Zkladntext1"/>
        <w:shd w:val="clear" w:color="auto" w:fill="auto"/>
        <w:tabs>
          <w:tab w:val="right" w:leader="dot" w:pos="10482"/>
          <w:tab w:val="center" w:pos="10580"/>
        </w:tabs>
        <w:ind w:left="1520"/>
        <w:jc w:val="both"/>
      </w:pPr>
      <w:r>
        <w:rPr>
          <w:b/>
          <w:bCs/>
        </w:rPr>
        <w:t xml:space="preserve">Navýšení </w:t>
      </w:r>
      <w:r>
        <w:t>pojistného</w:t>
      </w:r>
      <w:r>
        <w:tab/>
        <w:t>4.625,-</w:t>
      </w:r>
      <w:r>
        <w:tab/>
        <w:t>Kč</w:t>
      </w:r>
    </w:p>
    <w:p w:rsidR="00493E52" w:rsidRDefault="007B49E8">
      <w:pPr>
        <w:pStyle w:val="Zkladntext1"/>
        <w:shd w:val="clear" w:color="auto" w:fill="auto"/>
        <w:tabs>
          <w:tab w:val="right" w:leader="dot" w:pos="10482"/>
        </w:tabs>
        <w:ind w:left="1200"/>
        <w:jc w:val="both"/>
      </w:pPr>
      <w:r>
        <w:rPr>
          <w:b/>
          <w:bCs/>
        </w:rPr>
        <w:t>Celkové původní roční pojistné činí</w:t>
      </w:r>
      <w:r>
        <w:rPr>
          <w:b/>
          <w:bCs/>
        </w:rPr>
        <w:tab/>
        <w:t>15.400,- Kč</w:t>
      </w:r>
    </w:p>
    <w:p w:rsidR="00493E52" w:rsidRDefault="007B49E8">
      <w:pPr>
        <w:pStyle w:val="Zkladntext1"/>
        <w:shd w:val="clear" w:color="auto" w:fill="auto"/>
        <w:tabs>
          <w:tab w:val="right" w:leader="dot" w:pos="10482"/>
        </w:tabs>
        <w:ind w:left="1200"/>
        <w:jc w:val="both"/>
      </w:pPr>
      <w:r>
        <w:t xml:space="preserve">Celkové navýšení </w:t>
      </w:r>
      <w:r>
        <w:t>pojistného činí</w:t>
      </w:r>
      <w:r>
        <w:tab/>
        <w:t xml:space="preserve"> </w:t>
      </w:r>
      <w:proofErr w:type="gramStart"/>
      <w:r>
        <w:t>10.225,-</w:t>
      </w:r>
      <w:proofErr w:type="gramEnd"/>
      <w:r>
        <w:t xml:space="preserve"> Kč</w:t>
      </w:r>
    </w:p>
    <w:p w:rsidR="00493E52" w:rsidRDefault="007B49E8">
      <w:pPr>
        <w:pStyle w:val="Zkladntext1"/>
        <w:shd w:val="clear" w:color="auto" w:fill="auto"/>
        <w:tabs>
          <w:tab w:val="right" w:leader="dot" w:pos="10482"/>
        </w:tabs>
        <w:ind w:left="1200"/>
        <w:jc w:val="both"/>
      </w:pPr>
      <w:r>
        <w:rPr>
          <w:b/>
          <w:bCs/>
        </w:rPr>
        <w:t>Celkové nové roční pojistné činí</w:t>
      </w:r>
      <w:r>
        <w:rPr>
          <w:b/>
          <w:bCs/>
        </w:rPr>
        <w:tab/>
        <w:t>29.475,- Kč</w:t>
      </w:r>
    </w:p>
    <w:p w:rsidR="00493E52" w:rsidRDefault="007B49E8">
      <w:pPr>
        <w:pStyle w:val="Zkladntext1"/>
        <w:shd w:val="clear" w:color="auto" w:fill="auto"/>
        <w:tabs>
          <w:tab w:val="right" w:leader="dot" w:pos="10482"/>
        </w:tabs>
        <w:ind w:left="1480"/>
        <w:jc w:val="both"/>
      </w:pPr>
      <w:r>
        <w:t>Sleva ve výši 20 %</w:t>
      </w:r>
      <w:r>
        <w:tab/>
        <w:t>5.895,- Kč</w:t>
      </w:r>
    </w:p>
    <w:p w:rsidR="00493E52" w:rsidRDefault="007B49E8">
      <w:pPr>
        <w:pStyle w:val="Zkladntext1"/>
        <w:shd w:val="clear" w:color="auto" w:fill="auto"/>
        <w:tabs>
          <w:tab w:val="right" w:leader="dot" w:pos="10482"/>
        </w:tabs>
        <w:ind w:left="1200"/>
        <w:jc w:val="both"/>
      </w:pPr>
      <w:r>
        <w:rPr>
          <w:b/>
          <w:bCs/>
        </w:rPr>
        <w:t xml:space="preserve">Celkové navýšení </w:t>
      </w:r>
      <w:r>
        <w:t>pojistného po slevách činí</w:t>
      </w:r>
      <w:r>
        <w:tab/>
        <w:t>8.180,- Kč</w:t>
      </w:r>
    </w:p>
    <w:p w:rsidR="00493E52" w:rsidRDefault="007B49E8">
      <w:pPr>
        <w:pStyle w:val="Zkladntext1"/>
        <w:shd w:val="clear" w:color="auto" w:fill="auto"/>
        <w:tabs>
          <w:tab w:val="right" w:leader="dot" w:pos="10482"/>
        </w:tabs>
        <w:ind w:left="1200"/>
        <w:jc w:val="both"/>
      </w:pPr>
      <w:r>
        <w:t>Celkové poměrné pojistné po slevách činí</w:t>
      </w:r>
      <w:r>
        <w:tab/>
        <w:t xml:space="preserve"> </w:t>
      </w:r>
      <w:proofErr w:type="gramStart"/>
      <w:r>
        <w:t>4.325,-</w:t>
      </w:r>
      <w:proofErr w:type="gramEnd"/>
      <w:r>
        <w:t xml:space="preserve"> Kč</w:t>
      </w:r>
    </w:p>
    <w:p w:rsidR="00493E52" w:rsidRDefault="007B49E8">
      <w:pPr>
        <w:pStyle w:val="Zkladntext1"/>
        <w:shd w:val="clear" w:color="auto" w:fill="auto"/>
        <w:tabs>
          <w:tab w:val="right" w:leader="dot" w:pos="10482"/>
        </w:tabs>
        <w:spacing w:after="340"/>
        <w:ind w:left="1200"/>
        <w:jc w:val="both"/>
      </w:pPr>
      <w:r>
        <w:rPr>
          <w:b/>
          <w:bCs/>
        </w:rPr>
        <w:t>Celkové nové roční pojistné po slevách činí</w:t>
      </w:r>
      <w:r>
        <w:rPr>
          <w:b/>
          <w:bCs/>
        </w:rPr>
        <w:tab/>
      </w:r>
      <w:r>
        <w:rPr>
          <w:b/>
          <w:bCs/>
        </w:rPr>
        <w:t>23.580,- Kč</w:t>
      </w:r>
    </w:p>
    <w:p w:rsidR="00493E52" w:rsidRDefault="007B49E8">
      <w:pPr>
        <w:pStyle w:val="Zkladntext1"/>
        <w:shd w:val="clear" w:color="auto" w:fill="auto"/>
        <w:tabs>
          <w:tab w:val="right" w:leader="dot" w:pos="10482"/>
        </w:tabs>
        <w:spacing w:after="340"/>
        <w:ind w:left="1200"/>
        <w:jc w:val="both"/>
      </w:pPr>
      <w:r>
        <w:rPr>
          <w:b/>
          <w:bCs/>
        </w:rPr>
        <w:t>Pojistné za následující roční pojistná období (poprvé k 01. 10. 2019) činí</w:t>
      </w:r>
      <w:r>
        <w:rPr>
          <w:b/>
          <w:bCs/>
        </w:rPr>
        <w:tab/>
        <w:t>23.580,- Kč</w:t>
      </w:r>
    </w:p>
    <w:p w:rsidR="00493E52" w:rsidRDefault="007B49E8">
      <w:pPr>
        <w:pStyle w:val="Zkladntext1"/>
        <w:shd w:val="clear" w:color="auto" w:fill="auto"/>
        <w:spacing w:after="580" w:line="233" w:lineRule="auto"/>
        <w:ind w:left="940"/>
        <w:jc w:val="both"/>
      </w:pPr>
      <w:r>
        <w:rPr>
          <w:b/>
          <w:bCs/>
        </w:rPr>
        <w:t xml:space="preserve">Celkové poměrné pojistné za období od 22. 03. 2019 do 30. 09. 2019 ve výši </w:t>
      </w:r>
      <w:proofErr w:type="gramStart"/>
      <w:r>
        <w:rPr>
          <w:b/>
          <w:bCs/>
        </w:rPr>
        <w:t>4.325,-</w:t>
      </w:r>
      <w:proofErr w:type="gramEnd"/>
      <w:r>
        <w:rPr>
          <w:b/>
          <w:bCs/>
        </w:rPr>
        <w:t xml:space="preserve"> Kč je splatné na </w:t>
      </w:r>
      <w:r>
        <w:t xml:space="preserve">účet pojistitele </w:t>
      </w:r>
      <w:r>
        <w:rPr>
          <w:b/>
          <w:bCs/>
        </w:rPr>
        <w:t xml:space="preserve">č. 700135002/0800 </w:t>
      </w:r>
      <w:r>
        <w:t>pod variabilním symbol</w:t>
      </w:r>
      <w:r>
        <w:t xml:space="preserve">em </w:t>
      </w:r>
      <w:r>
        <w:rPr>
          <w:b/>
          <w:bCs/>
        </w:rPr>
        <w:t xml:space="preserve">0016813049 </w:t>
      </w:r>
      <w:r>
        <w:t xml:space="preserve">(číslo pojistné smlouvy) k </w:t>
      </w:r>
      <w:r>
        <w:rPr>
          <w:b/>
          <w:bCs/>
        </w:rPr>
        <w:t>datu 15. 04. 2019.</w:t>
      </w:r>
    </w:p>
    <w:p w:rsidR="00493E52" w:rsidRDefault="007B49E8">
      <w:pPr>
        <w:pStyle w:val="Zkladntext1"/>
        <w:shd w:val="clear" w:color="auto" w:fill="auto"/>
        <w:jc w:val="center"/>
      </w:pPr>
      <w:r>
        <w:rPr>
          <w:b/>
          <w:bCs/>
          <w:u w:val="single"/>
        </w:rPr>
        <w:t>Článek III.</w:t>
      </w:r>
    </w:p>
    <w:p w:rsidR="00493E52" w:rsidRDefault="007B49E8">
      <w:pPr>
        <w:pStyle w:val="Zkladntext1"/>
        <w:shd w:val="clear" w:color="auto" w:fill="auto"/>
        <w:spacing w:after="220"/>
        <w:jc w:val="center"/>
      </w:pPr>
      <w:r>
        <w:rPr>
          <w:b/>
          <w:bCs/>
          <w:u w:val="single"/>
        </w:rPr>
        <w:t>Závěrečná ustanovení dodatku pojistné smlouvy</w:t>
      </w:r>
    </w:p>
    <w:p w:rsidR="00493E52" w:rsidRDefault="007B49E8">
      <w:pPr>
        <w:pStyle w:val="Zkladntext1"/>
        <w:numPr>
          <w:ilvl w:val="0"/>
          <w:numId w:val="3"/>
        </w:numPr>
        <w:shd w:val="clear" w:color="auto" w:fill="auto"/>
        <w:tabs>
          <w:tab w:val="left" w:pos="1383"/>
        </w:tabs>
        <w:spacing w:after="100"/>
        <w:ind w:firstLine="940"/>
        <w:jc w:val="both"/>
      </w:pPr>
      <w:r>
        <w:t xml:space="preserve">Datum počátku účinnosti tohoto dodatku pojistné smlouvy: </w:t>
      </w:r>
      <w:r>
        <w:rPr>
          <w:b/>
          <w:bCs/>
        </w:rPr>
        <w:t>22. 03. 2019</w:t>
      </w:r>
    </w:p>
    <w:p w:rsidR="00493E52" w:rsidRDefault="007B49E8">
      <w:pPr>
        <w:pStyle w:val="Zkladntext1"/>
        <w:numPr>
          <w:ilvl w:val="0"/>
          <w:numId w:val="3"/>
        </w:numPr>
        <w:shd w:val="clear" w:color="auto" w:fill="auto"/>
        <w:tabs>
          <w:tab w:val="left" w:pos="1383"/>
        </w:tabs>
        <w:spacing w:after="100"/>
        <w:ind w:firstLine="940"/>
        <w:jc w:val="both"/>
      </w:pPr>
      <w:r>
        <w:t xml:space="preserve">Datum konce pojištění: </w:t>
      </w:r>
      <w:r>
        <w:rPr>
          <w:b/>
          <w:bCs/>
        </w:rPr>
        <w:t>30. 09. 2019</w:t>
      </w:r>
    </w:p>
    <w:p w:rsidR="00493E52" w:rsidRDefault="007B49E8">
      <w:pPr>
        <w:pStyle w:val="Zkladntext1"/>
        <w:numPr>
          <w:ilvl w:val="0"/>
          <w:numId w:val="3"/>
        </w:numPr>
        <w:shd w:val="clear" w:color="auto" w:fill="auto"/>
        <w:tabs>
          <w:tab w:val="left" w:pos="1383"/>
        </w:tabs>
        <w:spacing w:after="100"/>
        <w:ind w:left="1300" w:hanging="360"/>
        <w:jc w:val="both"/>
      </w:pPr>
      <w:r>
        <w:rPr>
          <w:b/>
          <w:bCs/>
        </w:rPr>
        <w:t xml:space="preserve">Pojištění se prodlužuje vždy na další rok, </w:t>
      </w:r>
      <w:r>
        <w:t>pokud pojistník nebo pojistitel nesdělí písemně druhému účastníku smlouvy, nejméně 6 týdnů před uplynutím pojistného roku, že na dalším pojištění nemá zájem.</w:t>
      </w:r>
    </w:p>
    <w:p w:rsidR="00493E52" w:rsidRDefault="007B49E8">
      <w:pPr>
        <w:pStyle w:val="Zkladntext1"/>
        <w:numPr>
          <w:ilvl w:val="0"/>
          <w:numId w:val="3"/>
        </w:numPr>
        <w:shd w:val="clear" w:color="auto" w:fill="auto"/>
        <w:tabs>
          <w:tab w:val="left" w:pos="1383"/>
        </w:tabs>
        <w:spacing w:after="100" w:line="230" w:lineRule="auto"/>
        <w:ind w:left="1300" w:hanging="360"/>
        <w:jc w:val="both"/>
      </w:pPr>
      <w:r>
        <w:rPr>
          <w:b/>
          <w:bCs/>
        </w:rPr>
        <w:t>Ostatní ustanovení pojistné smlouvy v platném znění ned</w:t>
      </w:r>
      <w:r>
        <w:rPr>
          <w:b/>
          <w:bCs/>
        </w:rPr>
        <w:t>otčená obsahem tohoto dodatku se nemění a zůstávají nadále v platnosti.</w:t>
      </w:r>
    </w:p>
    <w:p w:rsidR="00DB7E28" w:rsidRPr="00DB7E28" w:rsidRDefault="007B49E8" w:rsidP="00DB7E28">
      <w:pPr>
        <w:pStyle w:val="Zkladntext1"/>
        <w:numPr>
          <w:ilvl w:val="0"/>
          <w:numId w:val="3"/>
        </w:numPr>
        <w:shd w:val="clear" w:color="auto" w:fill="auto"/>
        <w:tabs>
          <w:tab w:val="left" w:pos="1383"/>
          <w:tab w:val="left" w:pos="3030"/>
        </w:tabs>
        <w:ind w:left="1300" w:hanging="360"/>
        <w:jc w:val="both"/>
      </w:pPr>
      <w:r>
        <w:t xml:space="preserve">Tento dodatek obsahuje 4 strany a je vyhotoven ve 3 </w:t>
      </w:r>
      <w:r>
        <w:t>vyhotoveních, z nichž 1 obdrží pojistník, 1 pojišťovací makléř a 1 pojistitel.</w:t>
      </w:r>
    </w:p>
    <w:sectPr w:rsidR="00DB7E28" w:rsidRPr="00DB7E28" w:rsidSect="00DB7E28">
      <w:headerReference w:type="default" r:id="rId8"/>
      <w:footerReference w:type="default" r:id="rId9"/>
      <w:pgSz w:w="11900" w:h="16840"/>
      <w:pgMar w:top="1550" w:right="257" w:bottom="223" w:left="2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B49E8">
      <w:r>
        <w:separator/>
      </w:r>
    </w:p>
  </w:endnote>
  <w:endnote w:type="continuationSeparator" w:id="0">
    <w:p w:rsidR="00000000" w:rsidRDefault="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E52" w:rsidRDefault="00493E5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E52" w:rsidRDefault="00493E52"/>
  </w:footnote>
  <w:footnote w:type="continuationSeparator" w:id="0">
    <w:p w:rsidR="00493E52" w:rsidRDefault="00493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E52" w:rsidRDefault="00493E5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A5C2F"/>
    <w:multiLevelType w:val="hybridMultilevel"/>
    <w:tmpl w:val="F99C6132"/>
    <w:lvl w:ilvl="0" w:tplc="005039A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3E6D2B15"/>
    <w:multiLevelType w:val="multilevel"/>
    <w:tmpl w:val="0E5C661E"/>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DC231D"/>
    <w:multiLevelType w:val="multilevel"/>
    <w:tmpl w:val="AF5E2EA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3B3A74"/>
    <w:multiLevelType w:val="multilevel"/>
    <w:tmpl w:val="6B38C6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720CE0"/>
    <w:multiLevelType w:val="multilevel"/>
    <w:tmpl w:val="523409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52"/>
    <w:rsid w:val="00493E52"/>
    <w:rsid w:val="007B49E8"/>
    <w:rsid w:val="00DB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8857"/>
  <w15:docId w15:val="{7A5D8D75-4F7C-4660-BFA7-B3552AA4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strike w:val="0"/>
      <w:color w:val="80526C"/>
      <w:sz w:val="72"/>
      <w:szCs w:val="72"/>
      <w:u w:val="singl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8"/>
      <w:szCs w:val="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paragraph" w:customStyle="1" w:styleId="Zkladntext1">
    <w:name w:val="Základní text1"/>
    <w:basedOn w:val="Normln"/>
    <w:link w:val="Zkladntext"/>
    <w:pPr>
      <w:shd w:val="clear" w:color="auto" w:fill="FFFFFF"/>
      <w:spacing w:after="40"/>
    </w:pPr>
    <w:rPr>
      <w:rFonts w:ascii="Calibri" w:eastAsia="Calibri" w:hAnsi="Calibri" w:cs="Calibri"/>
      <w:sz w:val="20"/>
      <w:szCs w:val="20"/>
    </w:rPr>
  </w:style>
  <w:style w:type="paragraph" w:customStyle="1" w:styleId="Nadpis10">
    <w:name w:val="Nadpis #1"/>
    <w:basedOn w:val="Normln"/>
    <w:link w:val="Nadpis1"/>
    <w:pPr>
      <w:shd w:val="clear" w:color="auto" w:fill="FFFFFF"/>
      <w:spacing w:after="40"/>
      <w:outlineLvl w:val="0"/>
    </w:pPr>
    <w:rPr>
      <w:rFonts w:ascii="Arial" w:eastAsia="Arial" w:hAnsi="Arial" w:cs="Arial"/>
      <w:b/>
      <w:bCs/>
      <w:smallCaps/>
      <w:color w:val="80526C"/>
      <w:sz w:val="72"/>
      <w:szCs w:val="72"/>
      <w:u w:val="single"/>
    </w:rPr>
  </w:style>
  <w:style w:type="paragraph" w:customStyle="1" w:styleId="Jin0">
    <w:name w:val="Jiné"/>
    <w:basedOn w:val="Normln"/>
    <w:link w:val="Jin"/>
    <w:pPr>
      <w:shd w:val="clear" w:color="auto" w:fill="FFFFFF"/>
      <w:spacing w:after="40"/>
    </w:pPr>
    <w:rPr>
      <w:rFonts w:ascii="Calibri" w:eastAsia="Calibri" w:hAnsi="Calibri" w:cs="Calibri"/>
      <w:sz w:val="20"/>
      <w:szCs w:val="20"/>
    </w:rPr>
  </w:style>
  <w:style w:type="paragraph" w:customStyle="1" w:styleId="Nadpis20">
    <w:name w:val="Nadpis #2"/>
    <w:basedOn w:val="Normln"/>
    <w:link w:val="Nadpis2"/>
    <w:pPr>
      <w:shd w:val="clear" w:color="auto" w:fill="FFFFFF"/>
      <w:spacing w:after="360"/>
      <w:ind w:left="1680"/>
      <w:outlineLvl w:val="1"/>
    </w:pPr>
    <w:rPr>
      <w:rFonts w:ascii="Calibri" w:eastAsia="Calibri" w:hAnsi="Calibri" w:cs="Calibri"/>
      <w:sz w:val="36"/>
      <w:szCs w:val="36"/>
    </w:rPr>
  </w:style>
  <w:style w:type="paragraph" w:customStyle="1" w:styleId="Zkladntext30">
    <w:name w:val="Základní text (3)"/>
    <w:basedOn w:val="Normln"/>
    <w:link w:val="Zkladntext3"/>
    <w:pPr>
      <w:shd w:val="clear" w:color="auto" w:fill="FFFFFF"/>
      <w:ind w:left="1020"/>
    </w:pPr>
    <w:rPr>
      <w:rFonts w:ascii="Calibri" w:eastAsia="Calibri" w:hAnsi="Calibri" w:cs="Calibri"/>
      <w:sz w:val="28"/>
      <w:szCs w:val="28"/>
    </w:rPr>
  </w:style>
  <w:style w:type="paragraph" w:customStyle="1" w:styleId="Titulekobrzku0">
    <w:name w:val="Titulek obrázku"/>
    <w:basedOn w:val="Normln"/>
    <w:link w:val="Titulekobrzku"/>
    <w:pPr>
      <w:shd w:val="clear" w:color="auto" w:fill="FFFFFF"/>
    </w:pPr>
    <w:rPr>
      <w:rFonts w:ascii="Arial" w:eastAsia="Arial" w:hAnsi="Arial" w:cs="Arial"/>
      <w:sz w:val="8"/>
      <w:szCs w:val="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Zkladntext20">
    <w:name w:val="Základní text (2)"/>
    <w:basedOn w:val="Normln"/>
    <w:link w:val="Zkladntext2"/>
    <w:pPr>
      <w:shd w:val="clear" w:color="auto" w:fill="FFFFFF"/>
      <w:spacing w:line="266" w:lineRule="auto"/>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50C7-7A70-4B39-AE49-C2AB01E9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956</Words>
  <Characters>5646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22C-6e-20190409125222</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22C-6e-20190409125222</dc:title>
  <dc:subject/>
  <dc:creator/>
  <cp:keywords/>
  <cp:lastModifiedBy>Miroslava</cp:lastModifiedBy>
  <cp:revision>2</cp:revision>
  <dcterms:created xsi:type="dcterms:W3CDTF">2019-04-09T11:44:00Z</dcterms:created>
  <dcterms:modified xsi:type="dcterms:W3CDTF">2019-04-09T11:54:00Z</dcterms:modified>
</cp:coreProperties>
</file>