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B2" w:rsidRDefault="008F6760">
      <w:pPr>
        <w:spacing w:after="467" w:line="216" w:lineRule="auto"/>
        <w:ind w:left="2507" w:right="2125" w:firstLine="1520"/>
        <w:jc w:val="left"/>
      </w:pPr>
      <w:bookmarkStart w:id="0" w:name="_GoBack"/>
      <w:bookmarkEnd w:id="0"/>
      <w:r>
        <w:rPr>
          <w:sz w:val="20"/>
        </w:rPr>
        <w:t>SMLOUVA O DÍLO uzavřená podle zákona Č. 89/2012 Sb., občanského zákoníku</w:t>
      </w:r>
    </w:p>
    <w:p w:rsidR="00B905B2" w:rsidRDefault="008F6760">
      <w:pPr>
        <w:spacing w:after="0" w:line="259" w:lineRule="auto"/>
        <w:ind w:left="375" w:firstLine="0"/>
        <w:jc w:val="center"/>
      </w:pPr>
      <w:r>
        <w:rPr>
          <w:sz w:val="30"/>
        </w:rPr>
        <w:t>1.</w:t>
      </w:r>
    </w:p>
    <w:p w:rsidR="00B905B2" w:rsidRDefault="008F6760">
      <w:pPr>
        <w:spacing w:after="401" w:line="259" w:lineRule="auto"/>
        <w:ind w:left="389" w:firstLine="0"/>
        <w:jc w:val="center"/>
      </w:pPr>
      <w:r>
        <w:rPr>
          <w:sz w:val="30"/>
        </w:rPr>
        <w:t>Smluvní strany</w:t>
      </w:r>
    </w:p>
    <w:tbl>
      <w:tblPr>
        <w:tblStyle w:val="TableGrid"/>
        <w:tblW w:w="9262" w:type="dxa"/>
        <w:tblInd w:w="403" w:type="dxa"/>
        <w:tblCellMar>
          <w:top w:w="82" w:type="dxa"/>
          <w:left w:w="115" w:type="dxa"/>
          <w:right w:w="278" w:type="dxa"/>
        </w:tblCellMar>
        <w:tblLook w:val="04A0" w:firstRow="1" w:lastRow="0" w:firstColumn="1" w:lastColumn="0" w:noHBand="0" w:noVBand="1"/>
      </w:tblPr>
      <w:tblGrid>
        <w:gridCol w:w="1542"/>
        <w:gridCol w:w="7720"/>
      </w:tblGrid>
      <w:tr w:rsidR="00B905B2">
        <w:trPr>
          <w:trHeight w:val="2523"/>
        </w:trPr>
        <w:tc>
          <w:tcPr>
            <w:tcW w:w="1542" w:type="dxa"/>
            <w:tcBorders>
              <w:top w:val="single" w:sz="2" w:space="0" w:color="000000"/>
              <w:left w:val="single" w:sz="2" w:space="0" w:color="000000"/>
              <w:bottom w:val="single" w:sz="2" w:space="0" w:color="000000"/>
              <w:right w:val="nil"/>
            </w:tcBorders>
          </w:tcPr>
          <w:p w:rsidR="00B905B2" w:rsidRDefault="008F6760">
            <w:pPr>
              <w:spacing w:after="267" w:line="259" w:lineRule="auto"/>
              <w:ind w:left="0" w:firstLine="0"/>
              <w:jc w:val="left"/>
            </w:pPr>
            <w:r>
              <w:t>Zhotovitel</w:t>
            </w:r>
          </w:p>
          <w:p w:rsidR="00B905B2" w:rsidRDefault="008F6760">
            <w:pPr>
              <w:spacing w:after="195" w:line="259" w:lineRule="auto"/>
              <w:ind w:left="0" w:firstLine="0"/>
              <w:jc w:val="left"/>
            </w:pPr>
            <w:r>
              <w:t>Zastoupená</w:t>
            </w:r>
          </w:p>
          <w:p w:rsidR="00B905B2" w:rsidRDefault="008F6760">
            <w:pPr>
              <w:spacing w:after="629" w:line="259" w:lineRule="auto"/>
              <w:ind w:left="7" w:firstLine="0"/>
              <w:jc w:val="left"/>
            </w:pPr>
            <w:r>
              <w:t>S</w:t>
            </w:r>
            <w:r w:rsidR="005463D5">
              <w:t>ídl</w:t>
            </w:r>
            <w:r>
              <w:t>o</w:t>
            </w:r>
          </w:p>
          <w:p w:rsidR="00B905B2" w:rsidRDefault="008F6760">
            <w:pPr>
              <w:spacing w:after="0" w:line="259" w:lineRule="auto"/>
              <w:ind w:left="7" w:firstLine="0"/>
              <w:jc w:val="left"/>
            </w:pPr>
            <w:r>
              <w:t>Zapsaný v</w:t>
            </w:r>
          </w:p>
        </w:tc>
        <w:tc>
          <w:tcPr>
            <w:tcW w:w="7720" w:type="dxa"/>
            <w:tcBorders>
              <w:top w:val="single" w:sz="2" w:space="0" w:color="000000"/>
              <w:left w:val="nil"/>
              <w:bottom w:val="single" w:sz="2" w:space="0" w:color="000000"/>
              <w:right w:val="single" w:sz="2" w:space="0" w:color="000000"/>
            </w:tcBorders>
            <w:vAlign w:val="center"/>
          </w:tcPr>
          <w:p w:rsidR="00B905B2" w:rsidRDefault="008F6760">
            <w:pPr>
              <w:spacing w:after="147" w:line="259" w:lineRule="auto"/>
              <w:ind w:left="1960" w:firstLine="0"/>
              <w:jc w:val="center"/>
            </w:pPr>
            <w:r>
              <w:rPr>
                <w:sz w:val="26"/>
              </w:rPr>
              <w:t>REAL-GRANT s r o</w:t>
            </w:r>
          </w:p>
          <w:p w:rsidR="00B905B2" w:rsidRDefault="008F6760">
            <w:pPr>
              <w:spacing w:after="11" w:line="259" w:lineRule="auto"/>
              <w:ind w:left="3199" w:firstLine="0"/>
              <w:jc w:val="left"/>
            </w:pPr>
            <w:r>
              <w:t>Ing. Ondřej Schrötter - jednatel</w:t>
            </w:r>
          </w:p>
          <w:p w:rsidR="00B905B2" w:rsidRDefault="008F6760">
            <w:pPr>
              <w:spacing w:after="60" w:line="259" w:lineRule="auto"/>
              <w:ind w:left="0" w:firstLine="0"/>
              <w:jc w:val="right"/>
            </w:pPr>
            <w:proofErr w:type="spellStart"/>
            <w:r>
              <w:t>Moravn</w:t>
            </w:r>
            <w:r w:rsidR="005463D5">
              <w:t>í</w:t>
            </w:r>
            <w:proofErr w:type="spellEnd"/>
            <w:r>
              <w:t xml:space="preserve"> n</w:t>
            </w:r>
            <w:r w:rsidR="005463D5">
              <w:t>á</w:t>
            </w:r>
            <w:r>
              <w:t>b</w:t>
            </w:r>
            <w:r w:rsidR="005463D5">
              <w:t>ř</w:t>
            </w:r>
            <w:r>
              <w:t>e</w:t>
            </w:r>
            <w:r w:rsidR="005463D5">
              <w:t>ží</w:t>
            </w:r>
            <w:r>
              <w:t xml:space="preserve"> 120, 686 Ol Uherské Hrad</w:t>
            </w:r>
            <w:r w:rsidR="005463D5">
              <w:t>iš</w:t>
            </w:r>
            <w:r>
              <w:t>t</w:t>
            </w:r>
            <w:r w:rsidR="005463D5">
              <w:t>ě</w:t>
            </w:r>
            <w:r>
              <w:t xml:space="preserve"> - Ryb</w:t>
            </w:r>
            <w:r w:rsidR="005463D5">
              <w:t>á</w:t>
            </w:r>
            <w:r>
              <w:t>rny</w:t>
            </w:r>
          </w:p>
          <w:p w:rsidR="00B905B2" w:rsidRDefault="008F6760">
            <w:pPr>
              <w:spacing w:after="170" w:line="259" w:lineRule="auto"/>
              <w:ind w:left="2024" w:firstLine="0"/>
              <w:jc w:val="center"/>
            </w:pPr>
            <w:r>
              <w:t>29313651</w:t>
            </w:r>
          </w:p>
          <w:p w:rsidR="00B905B2" w:rsidRDefault="008F6760">
            <w:pPr>
              <w:spacing w:after="0" w:line="259" w:lineRule="auto"/>
              <w:ind w:left="2341" w:firstLine="0"/>
              <w:jc w:val="left"/>
            </w:pPr>
            <w:r>
              <w:t>OR Krajského soudu v Brně, oddíl C, vložka 73655</w:t>
            </w:r>
          </w:p>
        </w:tc>
      </w:tr>
      <w:tr w:rsidR="00B905B2">
        <w:trPr>
          <w:trHeight w:val="2575"/>
        </w:trPr>
        <w:tc>
          <w:tcPr>
            <w:tcW w:w="1542" w:type="dxa"/>
            <w:tcBorders>
              <w:top w:val="single" w:sz="2" w:space="0" w:color="000000"/>
              <w:left w:val="single" w:sz="2" w:space="0" w:color="000000"/>
              <w:bottom w:val="single" w:sz="2" w:space="0" w:color="000000"/>
              <w:right w:val="nil"/>
            </w:tcBorders>
          </w:tcPr>
          <w:p w:rsidR="00B905B2" w:rsidRDefault="008F6760">
            <w:pPr>
              <w:spacing w:after="207" w:line="259" w:lineRule="auto"/>
              <w:ind w:left="0" w:firstLine="0"/>
              <w:jc w:val="left"/>
            </w:pPr>
            <w:r>
              <w:rPr>
                <w:sz w:val="22"/>
              </w:rPr>
              <w:t>Objednatel</w:t>
            </w:r>
          </w:p>
          <w:p w:rsidR="00B905B2" w:rsidRDefault="008F6760">
            <w:pPr>
              <w:spacing w:after="411" w:line="259" w:lineRule="auto"/>
              <w:ind w:left="0" w:firstLine="0"/>
              <w:jc w:val="left"/>
            </w:pPr>
            <w:r>
              <w:t>Zastoupená</w:t>
            </w:r>
          </w:p>
          <w:p w:rsidR="00B905B2" w:rsidRDefault="008F6760">
            <w:pPr>
              <w:spacing w:after="0" w:line="259" w:lineRule="auto"/>
              <w:ind w:left="0" w:firstLine="0"/>
              <w:jc w:val="left"/>
            </w:pPr>
            <w:r>
              <w:rPr>
                <w:sz w:val="26"/>
              </w:rPr>
              <w:t>sídlo</w:t>
            </w:r>
          </w:p>
        </w:tc>
        <w:tc>
          <w:tcPr>
            <w:tcW w:w="7720" w:type="dxa"/>
            <w:tcBorders>
              <w:top w:val="single" w:sz="2" w:space="0" w:color="000000"/>
              <w:left w:val="nil"/>
              <w:bottom w:val="single" w:sz="2" w:space="0" w:color="000000"/>
              <w:right w:val="single" w:sz="2" w:space="0" w:color="000000"/>
            </w:tcBorders>
          </w:tcPr>
          <w:p w:rsidR="00B905B2" w:rsidRDefault="008F6760">
            <w:pPr>
              <w:spacing w:after="140" w:line="259" w:lineRule="auto"/>
              <w:ind w:left="0" w:right="116" w:firstLine="0"/>
              <w:jc w:val="center"/>
            </w:pPr>
            <w:r>
              <w:rPr>
                <w:sz w:val="26"/>
              </w:rPr>
              <w:t>Česká lesnická akademie Trutnov</w:t>
            </w:r>
          </w:p>
          <w:p w:rsidR="00B905B2" w:rsidRDefault="008F6760">
            <w:pPr>
              <w:spacing w:after="0" w:line="378" w:lineRule="auto"/>
              <w:ind w:left="1855" w:right="2043" w:firstLine="0"/>
            </w:pPr>
            <w:r>
              <w:t>Mgr. Jan Korbelář Lesnická 9, Horní Předměstí Trutnov</w:t>
            </w:r>
          </w:p>
          <w:p w:rsidR="00B905B2" w:rsidRDefault="008F6760">
            <w:pPr>
              <w:spacing w:after="177" w:line="259" w:lineRule="auto"/>
              <w:ind w:left="1862" w:firstLine="0"/>
              <w:jc w:val="left"/>
            </w:pPr>
            <w:r>
              <w:t>541 01 Trutnov 1</w:t>
            </w:r>
          </w:p>
          <w:p w:rsidR="00B905B2" w:rsidRDefault="008F6760">
            <w:pPr>
              <w:spacing w:after="0" w:line="259" w:lineRule="auto"/>
              <w:ind w:left="1848" w:firstLine="0"/>
              <w:jc w:val="left"/>
            </w:pPr>
            <w:r>
              <w:t>60153296</w:t>
            </w:r>
          </w:p>
        </w:tc>
      </w:tr>
    </w:tbl>
    <w:p w:rsidR="00B905B2" w:rsidRDefault="008F6760">
      <w:pPr>
        <w:spacing w:after="25" w:line="259" w:lineRule="auto"/>
        <w:ind w:left="396" w:firstLine="0"/>
        <w:jc w:val="center"/>
      </w:pPr>
      <w:r>
        <w:rPr>
          <w:sz w:val="26"/>
        </w:rPr>
        <w:t>11.</w:t>
      </w:r>
    </w:p>
    <w:p w:rsidR="00B905B2" w:rsidRDefault="008F6760">
      <w:pPr>
        <w:spacing w:after="356" w:line="265" w:lineRule="auto"/>
        <w:ind w:left="421" w:hanging="10"/>
        <w:jc w:val="center"/>
      </w:pPr>
      <w:r>
        <w:rPr>
          <w:sz w:val="26"/>
        </w:rPr>
        <w:t>Předmět smlouvy</w:t>
      </w:r>
    </w:p>
    <w:p w:rsidR="00B905B2" w:rsidRDefault="008F6760">
      <w:pPr>
        <w:spacing w:after="132" w:line="259" w:lineRule="auto"/>
        <w:ind w:left="418" w:firstLine="0"/>
        <w:jc w:val="left"/>
      </w:pPr>
      <w:r>
        <w:rPr>
          <w:sz w:val="26"/>
        </w:rPr>
        <w:t>2.1</w:t>
      </w:r>
    </w:p>
    <w:p w:rsidR="00B905B2" w:rsidRDefault="008F6760">
      <w:r>
        <w:t xml:space="preserve">Účelem této smlouvy je vytvoření podmínek směřujících k naplnění záměru objednatele (tj. žadatele o dotaci), získat finanční dotaci z programu </w:t>
      </w:r>
      <w:proofErr w:type="spellStart"/>
      <w:r>
        <w:t>Programu</w:t>
      </w:r>
      <w:proofErr w:type="spellEnd"/>
      <w:r>
        <w:t xml:space="preserve"> rozvoje venkova ČR 2014 — 2020 dále i jen „Dotace), na projekt Rekonstrukce lesní cesty "Nad Bělidlem" (dále i jen „Projekt) a podpis Dohody o financování daného projektu (dále i jen „Dohody") mezi objednatelem (dále i jen „Žadatel o dotaci) a příslušným regionálním odborem Státního zemědělského intervenčního fondu (dále i jen „RO SZIP)</w:t>
      </w:r>
    </w:p>
    <w:p w:rsidR="00B905B2" w:rsidRDefault="008F6760">
      <w:pPr>
        <w:ind w:left="749" w:right="223" w:hanging="555"/>
      </w:pPr>
      <w:r>
        <w:t xml:space="preserve">2.2 </w:t>
      </w:r>
      <w:r>
        <w:rPr>
          <w:noProof/>
        </w:rPr>
        <w:drawing>
          <wp:inline distT="0" distB="0" distL="0" distR="0">
            <wp:extent cx="434596" cy="86868"/>
            <wp:effectExtent l="0" t="0" r="0" b="0"/>
            <wp:docPr id="16969" name="Picture 16969"/>
            <wp:cNvGraphicFramePr/>
            <a:graphic xmlns:a="http://schemas.openxmlformats.org/drawingml/2006/main">
              <a:graphicData uri="http://schemas.openxmlformats.org/drawingml/2006/picture">
                <pic:pic xmlns:pic="http://schemas.openxmlformats.org/drawingml/2006/picture">
                  <pic:nvPicPr>
                    <pic:cNvPr id="16969" name="Picture 16969"/>
                    <pic:cNvPicPr/>
                  </pic:nvPicPr>
                  <pic:blipFill>
                    <a:blip r:embed="rId4"/>
                    <a:stretch>
                      <a:fillRect/>
                    </a:stretch>
                  </pic:blipFill>
                  <pic:spPr>
                    <a:xfrm>
                      <a:off x="0" y="0"/>
                      <a:ext cx="434596" cy="86868"/>
                    </a:xfrm>
                    <a:prstGeom prst="rect">
                      <a:avLst/>
                    </a:prstGeom>
                  </pic:spPr>
                </pic:pic>
              </a:graphicData>
            </a:graphic>
          </wp:inline>
        </w:drawing>
      </w:r>
      <w:proofErr w:type="spellStart"/>
      <w:r>
        <w:t>ce</w:t>
      </w:r>
      <w:proofErr w:type="spellEnd"/>
      <w:r>
        <w:t xml:space="preserve"> tnuto </w:t>
      </w:r>
      <w:proofErr w:type="spellStart"/>
      <w:r>
        <w:t>sm!ouvou</w:t>
      </w:r>
      <w:proofErr w:type="spellEnd"/>
      <w:r>
        <w:t xml:space="preserve"> 2 za </w:t>
      </w:r>
      <w:proofErr w:type="spellStart"/>
      <w:r>
        <w:t>nodmínek</w:t>
      </w:r>
      <w:proofErr w:type="spellEnd"/>
      <w:r>
        <w:t xml:space="preserve"> v ní uvedených zavazuje zpracovat žádost o </w:t>
      </w:r>
      <w:proofErr w:type="spellStart"/>
      <w:r>
        <w:t>Dotari</w:t>
      </w:r>
      <w:proofErr w:type="spellEnd"/>
    </w:p>
    <w:p w:rsidR="00B905B2" w:rsidRDefault="008F6760">
      <w:pPr>
        <w:spacing w:after="1006" w:line="265" w:lineRule="auto"/>
        <w:ind w:left="187" w:firstLine="4"/>
        <w:jc w:val="left"/>
      </w:pPr>
      <w:r>
        <w:rPr>
          <w:sz w:val="22"/>
        </w:rPr>
        <w:t>(dále i jako „Dotační žádost) a žádost o dotaci jménem objednatele podat u příslušného orgánu. Objednatel se zavazuje zaplatit za to zhotoviteli dohodnutou cenu.</w:t>
      </w:r>
    </w:p>
    <w:p w:rsidR="00B905B2" w:rsidRDefault="008F6760">
      <w:pPr>
        <w:spacing w:after="131" w:line="259" w:lineRule="auto"/>
        <w:ind w:left="197" w:hanging="10"/>
        <w:jc w:val="left"/>
      </w:pPr>
      <w:r>
        <w:rPr>
          <w:sz w:val="26"/>
        </w:rPr>
        <w:t>2.3</w:t>
      </w:r>
    </w:p>
    <w:p w:rsidR="00B905B2" w:rsidRDefault="008F6760">
      <w:pPr>
        <w:spacing w:after="1339"/>
        <w:ind w:left="194" w:right="129" w:firstLine="331"/>
      </w:pPr>
      <w:r>
        <w:t>V souvislosti se zpracováním Dotační žádosti bude ze strany zhotovitele zajištěno manažerské řízení přípravy a realizace projektu v období od podpisu této smlouvy do podpisu Dohody.</w:t>
      </w:r>
    </w:p>
    <w:p w:rsidR="00B905B2" w:rsidRDefault="008F6760">
      <w:pPr>
        <w:spacing w:after="42" w:line="259" w:lineRule="auto"/>
        <w:ind w:left="0" w:right="36" w:firstLine="0"/>
        <w:jc w:val="center"/>
      </w:pPr>
      <w:r>
        <w:lastRenderedPageBreak/>
        <w:t>111.</w:t>
      </w:r>
    </w:p>
    <w:p w:rsidR="00B905B2" w:rsidRDefault="008F6760">
      <w:pPr>
        <w:spacing w:after="365" w:line="265" w:lineRule="auto"/>
        <w:ind w:left="421" w:right="389" w:hanging="10"/>
        <w:jc w:val="center"/>
      </w:pPr>
      <w:r>
        <w:rPr>
          <w:sz w:val="26"/>
        </w:rPr>
        <w:t>Postup a způsob plnění smlouvy</w:t>
      </w:r>
    </w:p>
    <w:p w:rsidR="00B905B2" w:rsidRDefault="008F6760">
      <w:pPr>
        <w:spacing w:after="448" w:line="259" w:lineRule="auto"/>
        <w:ind w:left="922" w:firstLine="0"/>
        <w:jc w:val="left"/>
      </w:pPr>
      <w:r>
        <w:rPr>
          <w:noProof/>
        </w:rPr>
        <w:drawing>
          <wp:inline distT="0" distB="0" distL="0" distR="0">
            <wp:extent cx="2049462" cy="123444"/>
            <wp:effectExtent l="0" t="0" r="0" b="0"/>
            <wp:docPr id="3034" name="Picture 3034"/>
            <wp:cNvGraphicFramePr/>
            <a:graphic xmlns:a="http://schemas.openxmlformats.org/drawingml/2006/main">
              <a:graphicData uri="http://schemas.openxmlformats.org/drawingml/2006/picture">
                <pic:pic xmlns:pic="http://schemas.openxmlformats.org/drawingml/2006/picture">
                  <pic:nvPicPr>
                    <pic:cNvPr id="3034" name="Picture 3034"/>
                    <pic:cNvPicPr/>
                  </pic:nvPicPr>
                  <pic:blipFill>
                    <a:blip r:embed="rId5"/>
                    <a:stretch>
                      <a:fillRect/>
                    </a:stretch>
                  </pic:blipFill>
                  <pic:spPr>
                    <a:xfrm>
                      <a:off x="0" y="0"/>
                      <a:ext cx="2049462" cy="123444"/>
                    </a:xfrm>
                    <a:prstGeom prst="rect">
                      <a:avLst/>
                    </a:prstGeom>
                  </pic:spPr>
                </pic:pic>
              </a:graphicData>
            </a:graphic>
          </wp:inline>
        </w:drawing>
      </w:r>
    </w:p>
    <w:p w:rsidR="00B905B2" w:rsidRDefault="008F6760">
      <w:pPr>
        <w:spacing w:after="40"/>
        <w:ind w:left="194" w:right="129"/>
      </w:pPr>
      <w:r>
        <w:rPr>
          <w:noProof/>
        </w:rPr>
        <w:drawing>
          <wp:anchor distT="0" distB="0" distL="114300" distR="114300" simplePos="0" relativeHeight="251658240" behindDoc="0" locked="0" layoutInCell="1" allowOverlap="0">
            <wp:simplePos x="0" y="0"/>
            <wp:positionH relativeFrom="page">
              <wp:posOffset>228735</wp:posOffset>
            </wp:positionH>
            <wp:positionV relativeFrom="page">
              <wp:posOffset>274320</wp:posOffset>
            </wp:positionV>
            <wp:extent cx="22873" cy="5504688"/>
            <wp:effectExtent l="0" t="0" r="0" b="0"/>
            <wp:wrapSquare wrapText="bothSides"/>
            <wp:docPr id="3033" name="Picture 3033"/>
            <wp:cNvGraphicFramePr/>
            <a:graphic xmlns:a="http://schemas.openxmlformats.org/drawingml/2006/main">
              <a:graphicData uri="http://schemas.openxmlformats.org/drawingml/2006/picture">
                <pic:pic xmlns:pic="http://schemas.openxmlformats.org/drawingml/2006/picture">
                  <pic:nvPicPr>
                    <pic:cNvPr id="3033" name="Picture 3033"/>
                    <pic:cNvPicPr/>
                  </pic:nvPicPr>
                  <pic:blipFill>
                    <a:blip r:embed="rId6"/>
                    <a:stretch>
                      <a:fillRect/>
                    </a:stretch>
                  </pic:blipFill>
                  <pic:spPr>
                    <a:xfrm>
                      <a:off x="0" y="0"/>
                      <a:ext cx="22873" cy="5504688"/>
                    </a:xfrm>
                    <a:prstGeom prst="rect">
                      <a:avLst/>
                    </a:prstGeom>
                  </pic:spPr>
                </pic:pic>
              </a:graphicData>
            </a:graphic>
          </wp:anchor>
        </w:drawing>
      </w:r>
      <w:r>
        <w:t>Zhotovitel se zavazuje, že pro objednatele zpracuje Dotační žádost a to v souladu s aktuálně platnými Pravidly pro žadatele.</w:t>
      </w:r>
    </w:p>
    <w:p w:rsidR="00B905B2" w:rsidRDefault="008F6760">
      <w:pPr>
        <w:ind w:left="194" w:right="223"/>
      </w:pPr>
      <w:r>
        <w:t>Zhotovitel splní řádně svou povinnost zpracovat Dotační žádost v okamžiku, kdy jím vypracovaná žádost bude akceptována ze strany SZIF tj. objednatel bude písemně vyrozuměn o akceptaci žádosti ze strany SZIF, a to za předpokladu, že dotační žádost nebude ani následně shledána poskytujícím subjektem závadnou.</w:t>
      </w:r>
    </w:p>
    <w:p w:rsidR="00B905B2" w:rsidRDefault="008F6760">
      <w:pPr>
        <w:ind w:left="201" w:right="216" w:hanging="7"/>
      </w:pPr>
      <w:r>
        <w:t>Bude-li dotační žádost v průběhu řízení o přiznání dotace shledána závadnou, zavazuje se zhotovitel neprodleně upravit a přepracovat žádost tak, aby formálně i materiálně splňovala kritéria pro pokračování v řízení.</w:t>
      </w:r>
    </w:p>
    <w:p w:rsidR="00B905B2" w:rsidRDefault="008F6760">
      <w:pPr>
        <w:spacing w:after="37"/>
        <w:ind w:left="194" w:right="129"/>
      </w:pPr>
      <w:r>
        <w:t>Objednatel bere na vědomí, že akceptace žádosti nezaručuje ještě objednateli přiznání Dotace, ale pouze splnění základních podmínek pro přiznání Dotace.</w:t>
      </w:r>
    </w:p>
    <w:p w:rsidR="00B905B2" w:rsidRDefault="008F6760">
      <w:pPr>
        <w:spacing w:after="654"/>
        <w:ind w:left="194" w:right="223"/>
      </w:pPr>
      <w:r>
        <w:rPr>
          <w:noProof/>
        </w:rPr>
        <w:drawing>
          <wp:inline distT="0" distB="0" distL="0" distR="0">
            <wp:extent cx="5338665" cy="128016"/>
            <wp:effectExtent l="0" t="0" r="0" b="0"/>
            <wp:docPr id="16971" name="Picture 16971"/>
            <wp:cNvGraphicFramePr/>
            <a:graphic xmlns:a="http://schemas.openxmlformats.org/drawingml/2006/main">
              <a:graphicData uri="http://schemas.openxmlformats.org/drawingml/2006/picture">
                <pic:pic xmlns:pic="http://schemas.openxmlformats.org/drawingml/2006/picture">
                  <pic:nvPicPr>
                    <pic:cNvPr id="16971" name="Picture 16971"/>
                    <pic:cNvPicPr/>
                  </pic:nvPicPr>
                  <pic:blipFill>
                    <a:blip r:embed="rId7"/>
                    <a:stretch>
                      <a:fillRect/>
                    </a:stretch>
                  </pic:blipFill>
                  <pic:spPr>
                    <a:xfrm>
                      <a:off x="0" y="0"/>
                      <a:ext cx="5338665" cy="128016"/>
                    </a:xfrm>
                    <a:prstGeom prst="rect">
                      <a:avLst/>
                    </a:prstGeom>
                  </pic:spPr>
                </pic:pic>
              </a:graphicData>
            </a:graphic>
          </wp:inline>
        </w:drawing>
      </w:r>
      <w:r>
        <w:t>pří</w:t>
      </w:r>
      <w:r w:rsidR="005463D5">
        <w:t>l</w:t>
      </w:r>
      <w:r>
        <w:t>oh (1x v listinné a 1x v elektronické podobě) v rozsahu předkládaném při registraci Dotační žádosti po případných úpravách vyžádaných v pr</w:t>
      </w:r>
      <w:r w:rsidR="005463D5">
        <w:t>ů</w:t>
      </w:r>
      <w:r>
        <w:t>běhu administrace žádosti ze strany SZIF a to nejpozději do 50-ti dnů od podpisu DOHODY na SZIF.</w:t>
      </w:r>
    </w:p>
    <w:p w:rsidR="00B905B2" w:rsidRDefault="008F6760">
      <w:pPr>
        <w:spacing w:after="310"/>
        <w:ind w:left="194" w:right="129" w:firstLine="0"/>
      </w:pPr>
      <w:r>
        <w:t>3.2. Manažerské řízení přípravy a realizace projektu</w:t>
      </w:r>
    </w:p>
    <w:p w:rsidR="00B905B2" w:rsidRDefault="008F6760">
      <w:pPr>
        <w:spacing w:after="334"/>
        <w:ind w:left="194" w:right="209" w:firstLine="396"/>
      </w:pPr>
      <w:r>
        <w:t>Zhotovitel se zavazuje poskytovat objednateli nad rámec činností uvedených v bodu 3.1 této smlouvy o</w:t>
      </w:r>
      <w:r w:rsidR="005463D5">
        <w:t>db</w:t>
      </w:r>
      <w:r>
        <w:t>ornou pomoc prost</w:t>
      </w:r>
      <w:r w:rsidR="005463D5">
        <w:t>ř</w:t>
      </w:r>
      <w:r>
        <w:t>e</w:t>
      </w:r>
      <w:r w:rsidR="005463D5">
        <w:t>d</w:t>
      </w:r>
      <w:r>
        <w:t>nictv</w:t>
      </w:r>
      <w:r w:rsidR="005463D5">
        <w:t>í</w:t>
      </w:r>
      <w:r>
        <w:t>m mana</w:t>
      </w:r>
      <w:r w:rsidR="005463D5">
        <w:t>že</w:t>
      </w:r>
      <w:r>
        <w:t>rské</w:t>
      </w:r>
      <w:r w:rsidR="005463D5">
        <w:t>h</w:t>
      </w:r>
      <w:r>
        <w:t xml:space="preserve">o </w:t>
      </w:r>
      <w:r w:rsidR="005463D5">
        <w:t>ří</w:t>
      </w:r>
      <w:r>
        <w:t>zení p</w:t>
      </w:r>
      <w:r w:rsidR="005463D5">
        <w:t>ř</w:t>
      </w:r>
      <w:r>
        <w:t xml:space="preserve">ípravy a realizace projektu </w:t>
      </w:r>
      <w:r w:rsidR="005463D5">
        <w:t>dl</w:t>
      </w:r>
      <w:r>
        <w:t>e bodu 2.3 této smlouvy (v období od podpisu této smlouvy do podpisu Dohody), zejména pak při registraci Dota</w:t>
      </w:r>
      <w:r w:rsidR="005463D5">
        <w:t>č</w:t>
      </w:r>
      <w:r>
        <w:t>n</w:t>
      </w:r>
      <w:r w:rsidR="005463D5">
        <w:t>í</w:t>
      </w:r>
      <w:r>
        <w:t xml:space="preserve"> </w:t>
      </w:r>
      <w:r w:rsidR="005463D5">
        <w:t>žá</w:t>
      </w:r>
      <w:r>
        <w:t xml:space="preserve">dosti na příslušném pracovišti SZIF, při zpracování kompletní agendy v rámci administrace </w:t>
      </w:r>
      <w:r>
        <w:rPr>
          <w:noProof/>
        </w:rPr>
        <w:drawing>
          <wp:inline distT="0" distB="0" distL="0" distR="0">
            <wp:extent cx="434596" cy="100584"/>
            <wp:effectExtent l="0" t="0" r="0" b="0"/>
            <wp:docPr id="16974" name="Picture 16974"/>
            <wp:cNvGraphicFramePr/>
            <a:graphic xmlns:a="http://schemas.openxmlformats.org/drawingml/2006/main">
              <a:graphicData uri="http://schemas.openxmlformats.org/drawingml/2006/picture">
                <pic:pic xmlns:pic="http://schemas.openxmlformats.org/drawingml/2006/picture">
                  <pic:nvPicPr>
                    <pic:cNvPr id="16974" name="Picture 16974"/>
                    <pic:cNvPicPr/>
                  </pic:nvPicPr>
                  <pic:blipFill>
                    <a:blip r:embed="rId8"/>
                    <a:stretch>
                      <a:fillRect/>
                    </a:stretch>
                  </pic:blipFill>
                  <pic:spPr>
                    <a:xfrm>
                      <a:off x="0" y="0"/>
                      <a:ext cx="434596" cy="100584"/>
                    </a:xfrm>
                    <a:prstGeom prst="rect">
                      <a:avLst/>
                    </a:prstGeom>
                  </pic:spPr>
                </pic:pic>
              </a:graphicData>
            </a:graphic>
          </wp:inline>
        </w:drawing>
      </w:r>
      <w:r>
        <w:t xml:space="preserve">Žádosti </w:t>
      </w:r>
      <w:r>
        <w:rPr>
          <w:noProof/>
          <w:sz w:val="22"/>
        </w:rPr>
        <mc:AlternateContent>
          <mc:Choice Requires="wpg">
            <w:drawing>
              <wp:inline distT="0" distB="0" distL="0" distR="0">
                <wp:extent cx="4954390" cy="155448"/>
                <wp:effectExtent l="0" t="0" r="0" b="0"/>
                <wp:docPr id="16003" name="Group 16003"/>
                <wp:cNvGraphicFramePr/>
                <a:graphic xmlns:a="http://schemas.openxmlformats.org/drawingml/2006/main">
                  <a:graphicData uri="http://schemas.microsoft.com/office/word/2010/wordprocessingGroup">
                    <wpg:wgp>
                      <wpg:cNvGrpSpPr/>
                      <wpg:grpSpPr>
                        <a:xfrm>
                          <a:off x="0" y="0"/>
                          <a:ext cx="4954390" cy="155448"/>
                          <a:chOff x="0" y="0"/>
                          <a:chExt cx="4954390" cy="155448"/>
                        </a:xfrm>
                      </wpg:grpSpPr>
                      <pic:pic xmlns:pic="http://schemas.openxmlformats.org/drawingml/2006/picture">
                        <pic:nvPicPr>
                          <pic:cNvPr id="16976" name="Picture 16976"/>
                          <pic:cNvPicPr/>
                        </pic:nvPicPr>
                        <pic:blipFill>
                          <a:blip r:embed="rId9"/>
                          <a:stretch>
                            <a:fillRect/>
                          </a:stretch>
                        </pic:blipFill>
                        <pic:spPr>
                          <a:xfrm>
                            <a:off x="0" y="18288"/>
                            <a:ext cx="4954390" cy="137160"/>
                          </a:xfrm>
                          <a:prstGeom prst="rect">
                            <a:avLst/>
                          </a:prstGeom>
                        </pic:spPr>
                      </pic:pic>
                      <wps:wsp>
                        <wps:cNvPr id="3417" name="Rectangle 3417"/>
                        <wps:cNvSpPr/>
                        <wps:spPr>
                          <a:xfrm>
                            <a:off x="1820727" y="0"/>
                            <a:ext cx="91265" cy="170262"/>
                          </a:xfrm>
                          <a:prstGeom prst="rect">
                            <a:avLst/>
                          </a:prstGeom>
                          <a:ln>
                            <a:noFill/>
                          </a:ln>
                        </wps:spPr>
                        <wps:txbx>
                          <w:txbxContent>
                            <w:p w:rsidR="00B905B2" w:rsidRDefault="008F6760">
                              <w:pPr>
                                <w:spacing w:after="160" w:line="259" w:lineRule="auto"/>
                                <w:ind w:left="0" w:firstLine="0"/>
                                <w:jc w:val="left"/>
                              </w:pPr>
                              <w:r>
                                <w:rPr>
                                  <w:sz w:val="32"/>
                                </w:rPr>
                                <w:t>k</w:t>
                              </w:r>
                            </w:p>
                          </w:txbxContent>
                        </wps:txbx>
                        <wps:bodyPr horzOverflow="overflow" vert="horz" lIns="0" tIns="0" rIns="0" bIns="0" rtlCol="0">
                          <a:noAutofit/>
                        </wps:bodyPr>
                      </wps:wsp>
                    </wpg:wgp>
                  </a:graphicData>
                </a:graphic>
              </wp:inline>
            </w:drawing>
          </mc:Choice>
          <mc:Fallback xmlns:a="http://schemas.openxmlformats.org/drawingml/2006/main">
            <w:pict>
              <v:group id="Group 16003" style="width:390.109pt;height:12.24pt;mso-position-horizontal-relative:char;mso-position-vertical-relative:line" coordsize="49543,1554">
                <v:shape id="Picture 16976" style="position:absolute;width:49543;height:1371;left:0;top:182;" filled="f">
                  <v:imagedata r:id="rId10"/>
                </v:shape>
                <v:rect id="Rectangle 3417" style="position:absolute;width:912;height:1702;left:18207;top:0;" filled="f" stroked="f">
                  <v:textbox inset="0,0,0,0">
                    <w:txbxContent>
                      <w:p>
                        <w:pPr>
                          <w:spacing w:before="0" w:after="160" w:line="259" w:lineRule="auto"/>
                          <w:ind w:left="0" w:firstLine="0"/>
                          <w:jc w:val="left"/>
                        </w:pPr>
                        <w:r>
                          <w:rPr>
                            <w:sz w:val="32"/>
                          </w:rPr>
                          <w:t xml:space="preserve">k</w:t>
                        </w:r>
                      </w:p>
                    </w:txbxContent>
                  </v:textbox>
                </v:rect>
              </v:group>
            </w:pict>
          </mc:Fallback>
        </mc:AlternateContent>
      </w:r>
      <w:r>
        <w:t>k vydání Rozhodnutí o přidělení dotace, správa internetové aplikace, popř. dalších úkonů nezbytných pro řádnou administraci žádosti) a při komunikaci mezi objednatelem a SZIF.</w:t>
      </w:r>
    </w:p>
    <w:p w:rsidR="00B905B2" w:rsidRDefault="008F6760">
      <w:pPr>
        <w:spacing w:after="326"/>
        <w:ind w:left="36" w:right="129" w:firstLine="0"/>
      </w:pPr>
      <w:r>
        <w:t>3.3. Zpracování zadávacího řízení</w:t>
      </w:r>
    </w:p>
    <w:p w:rsidR="00B905B2" w:rsidRDefault="008F6760">
      <w:pPr>
        <w:spacing w:after="322"/>
        <w:ind w:left="29" w:right="375"/>
      </w:pPr>
      <w:r>
        <w:t>V případě, že na základě žádosti dojde k schválení Dotace a hodnota zakázky částku odpovídající povinnosti žadatele vyhlásit zadávací řízení, zpracuje zhotovite</w:t>
      </w:r>
      <w:r w:rsidR="005463D5">
        <w:t>l</w:t>
      </w:r>
      <w:r>
        <w:t xml:space="preserve"> pro objednatele zadávací řízení na dodavatele prací a služeb souvisejících s Projektem, a to v souladu s Pravidly a příslušnou legislativou.</w:t>
      </w:r>
    </w:p>
    <w:p w:rsidR="00B905B2" w:rsidRDefault="008F6760">
      <w:pPr>
        <w:spacing w:after="390" w:line="265" w:lineRule="auto"/>
        <w:ind w:left="21" w:firstLine="4"/>
        <w:jc w:val="left"/>
      </w:pPr>
      <w:r>
        <w:rPr>
          <w:sz w:val="22"/>
        </w:rPr>
        <w:t>3.4. Činnosti, které nejsou předmětem smluvního plnění</w:t>
      </w:r>
    </w:p>
    <w:p w:rsidR="00B905B2" w:rsidRDefault="008F6760">
      <w:pPr>
        <w:spacing w:after="665"/>
        <w:ind w:left="36" w:right="367"/>
      </w:pPr>
      <w:r>
        <w:lastRenderedPageBreak/>
        <w:t>Předmětem této smlouvy není příprava podklad</w:t>
      </w:r>
      <w:r w:rsidR="005463D5">
        <w:t>ů</w:t>
      </w:r>
      <w:r>
        <w:t xml:space="preserve"> technického charakteru nezbytných k splnění p</w:t>
      </w:r>
      <w:r w:rsidR="005463D5">
        <w:t>ř</w:t>
      </w:r>
      <w:r>
        <w:t>edm</w:t>
      </w:r>
      <w:r w:rsidR="005463D5">
        <w:t>ě</w:t>
      </w:r>
      <w:r>
        <w:t>tu této smlouvy (např. stavební dokumentace a rozpo</w:t>
      </w:r>
      <w:r w:rsidR="005463D5">
        <w:t>č</w:t>
      </w:r>
      <w:r>
        <w:t>ty, finan</w:t>
      </w:r>
      <w:r w:rsidR="005463D5">
        <w:t>č</w:t>
      </w:r>
      <w:r>
        <w:t>ních analýz, odborných posudk</w:t>
      </w:r>
      <w:r w:rsidR="005463D5">
        <w:t>ů</w:t>
      </w:r>
      <w:r>
        <w:t xml:space="preserve"> a studií). V případě, že se zhotovitel a objednatel dohodnou i na zpracování těchto plnění, stane se tak na základě samostatné smlouvy o dílo resp. písemné objednávky.</w:t>
      </w:r>
    </w:p>
    <w:p w:rsidR="00B905B2" w:rsidRDefault="008F6760">
      <w:pPr>
        <w:spacing w:line="259" w:lineRule="auto"/>
        <w:ind w:left="17" w:right="346" w:hanging="10"/>
        <w:jc w:val="center"/>
      </w:pPr>
      <w:r>
        <w:rPr>
          <w:sz w:val="34"/>
        </w:rPr>
        <w:t>IV.</w:t>
      </w:r>
    </w:p>
    <w:p w:rsidR="00B905B2" w:rsidRDefault="008F6760">
      <w:pPr>
        <w:spacing w:after="329" w:line="265" w:lineRule="auto"/>
        <w:ind w:left="421" w:right="742" w:hanging="10"/>
        <w:jc w:val="center"/>
      </w:pPr>
      <w:r>
        <w:rPr>
          <w:sz w:val="26"/>
        </w:rPr>
        <w:t>Termíny plnění smlouvy</w:t>
      </w:r>
    </w:p>
    <w:p w:rsidR="00B905B2" w:rsidRDefault="008F6760">
      <w:pPr>
        <w:spacing w:after="638"/>
        <w:ind w:left="43" w:right="360"/>
      </w:pPr>
      <w:r>
        <w:t>Vzhledem k charakteru plnění předmětu smlouvy budou termíny dílčích úkolů i před</w:t>
      </w:r>
      <w:r w:rsidR="005463D5">
        <w:t>ání k tomu požadovaných podkladů</w:t>
      </w:r>
      <w:r>
        <w:t xml:space="preserve"> stanovovány operativně, dohodou mezi zhotovitelem a objednatelem, vždy takovým způsobem, aby mohly být splněny závazné termíny stanovené pravidly SZIF a specifickými podmínkami příslušné výzvy.</w:t>
      </w:r>
    </w:p>
    <w:p w:rsidR="00B905B2" w:rsidRDefault="008F6760">
      <w:pPr>
        <w:spacing w:after="0" w:line="259" w:lineRule="auto"/>
        <w:ind w:left="0" w:right="324" w:firstLine="0"/>
        <w:jc w:val="center"/>
      </w:pPr>
      <w:r>
        <w:rPr>
          <w:rFonts w:ascii="Times New Roman" w:eastAsia="Times New Roman" w:hAnsi="Times New Roman" w:cs="Times New Roman"/>
          <w:sz w:val="28"/>
        </w:rPr>
        <w:t>v.</w:t>
      </w:r>
    </w:p>
    <w:p w:rsidR="00B905B2" w:rsidRDefault="008F6760">
      <w:pPr>
        <w:spacing w:after="763" w:line="265" w:lineRule="auto"/>
        <w:ind w:left="421" w:right="728" w:hanging="10"/>
        <w:jc w:val="center"/>
      </w:pPr>
      <w:r>
        <w:rPr>
          <w:sz w:val="26"/>
        </w:rPr>
        <w:t>Cena díla</w:t>
      </w:r>
    </w:p>
    <w:p w:rsidR="00B905B2" w:rsidRDefault="008F6760">
      <w:pPr>
        <w:spacing w:after="349"/>
        <w:ind w:left="58" w:right="353"/>
      </w:pPr>
      <w:r>
        <w:t>Cena díla za provedení prací specifikovaných v článku III., bodu 3.1 až 3.3 této smlouvy, je stanovena dohodou smluvních stran ve výši 2,5 % z objemu finanční dotace přiznané objednateli (žadateli o dotaci).</w:t>
      </w:r>
    </w:p>
    <w:p w:rsidR="00B905B2" w:rsidRDefault="008F6760">
      <w:pPr>
        <w:spacing w:after="169" w:line="259" w:lineRule="auto"/>
        <w:ind w:left="65" w:firstLine="0"/>
        <w:jc w:val="left"/>
      </w:pPr>
      <w:r>
        <w:rPr>
          <w:rFonts w:ascii="Times New Roman" w:eastAsia="Times New Roman" w:hAnsi="Times New Roman" w:cs="Times New Roman"/>
        </w:rPr>
        <w:t>5.2</w:t>
      </w:r>
    </w:p>
    <w:p w:rsidR="00B905B2" w:rsidRDefault="008F6760">
      <w:pPr>
        <w:spacing w:after="628"/>
        <w:ind w:left="58" w:right="331" w:firstLine="14"/>
      </w:pPr>
      <w:r>
        <w:t>Nárok na odměnu vzniká a cena díla bude fakturována v případě úspěchu žádosti, tj. v případě, že žádost splnění všechny požadavky stanovené Pravidly a jejímž výsledkem je přidělení dotace ze strany SZIF objednateli (žadateli o dotaci), kdy se za prokazatelné přidělení dotace považuje uvedení Projektu v rámci seznamu schválených žádostí na oficiálních webových stránkách SZIF (</w:t>
      </w:r>
      <w:r>
        <w:rPr>
          <w:u w:val="single" w:color="000000"/>
        </w:rPr>
        <w:t>www.szif.cz</w:t>
      </w:r>
      <w:r>
        <w:t>) a po předání zhotoveného díla dle článku 3. 1. této smlouvy objednateli.</w:t>
      </w:r>
    </w:p>
    <w:p w:rsidR="00B905B2" w:rsidRDefault="008F6760">
      <w:pPr>
        <w:spacing w:after="129" w:line="259" w:lineRule="auto"/>
        <w:ind w:left="247" w:hanging="10"/>
        <w:jc w:val="left"/>
      </w:pPr>
      <w:r>
        <w:rPr>
          <w:rFonts w:ascii="Times New Roman" w:eastAsia="Times New Roman" w:hAnsi="Times New Roman" w:cs="Times New Roman"/>
          <w:sz w:val="26"/>
        </w:rPr>
        <w:t>5.3</w:t>
      </w:r>
    </w:p>
    <w:p w:rsidR="00B905B2" w:rsidRDefault="008F6760">
      <w:pPr>
        <w:spacing w:after="829"/>
        <w:ind w:left="194" w:right="202"/>
      </w:pPr>
      <w:r>
        <w:t>V případě, že žádost splní všechny požadavky stanovené Pravidly, ale dotace přesto nebyla přidělena např. z d</w:t>
      </w:r>
      <w:r w:rsidR="005463D5">
        <w:t>ů</w:t>
      </w:r>
      <w:r>
        <w:t>vodu nedostatku finančních prostředk</w:t>
      </w:r>
      <w:r w:rsidR="005463D5">
        <w:t>ů</w:t>
      </w:r>
      <w:r>
        <w:t>, může být registrována opakovaně v pr</w:t>
      </w:r>
      <w:r w:rsidR="005463D5">
        <w:t>ů</w:t>
      </w:r>
      <w:r>
        <w:t>běhu celého programovacího období 2014-2020, aniž by byl dotčen kterýkoliv z bodů této smlouvy</w:t>
      </w:r>
    </w:p>
    <w:p w:rsidR="00B905B2" w:rsidRDefault="008F6760">
      <w:pPr>
        <w:spacing w:after="783"/>
        <w:ind w:left="194" w:right="129"/>
      </w:pPr>
      <w:r>
        <w:t xml:space="preserve">Nárok zhotovitele na odměnu za úkony a práce specifikované v článku III. této smlouvy zůstává nedotčena v případech, kdy dojde k ukončení projektu ze strany žadatele v období po přidělení dotace, porušením pravidel ze strany žadatele, porušením pravidel ze strany třetích osob vstupujících do projektového cyklu nebo dodatečným zpochybněním správnosti žádosti, projektu </w:t>
      </w:r>
      <w:r>
        <w:lastRenderedPageBreak/>
        <w:t>a příloh ze strany administrativních a kontrolních orgánů a to v období po písemném oznámení RO SZIF objednateli (žadateli o dotaci), že po prozkoumání předložené dokumentace nebyly zjištěny žádné</w:t>
      </w:r>
    </w:p>
    <w:p w:rsidR="00B905B2" w:rsidRDefault="008F6760">
      <w:pPr>
        <w:spacing w:line="259" w:lineRule="auto"/>
        <w:ind w:left="17" w:hanging="10"/>
        <w:jc w:val="center"/>
      </w:pPr>
      <w:proofErr w:type="spellStart"/>
      <w:r>
        <w:rPr>
          <w:sz w:val="34"/>
        </w:rPr>
        <w:t>Vl</w:t>
      </w:r>
      <w:proofErr w:type="spellEnd"/>
      <w:r>
        <w:rPr>
          <w:sz w:val="34"/>
        </w:rPr>
        <w:t>.</w:t>
      </w:r>
    </w:p>
    <w:p w:rsidR="00B905B2" w:rsidRDefault="008F6760">
      <w:pPr>
        <w:spacing w:after="472" w:line="265" w:lineRule="auto"/>
        <w:ind w:left="421" w:right="382" w:hanging="10"/>
        <w:jc w:val="center"/>
      </w:pPr>
      <w:r>
        <w:rPr>
          <w:sz w:val="26"/>
        </w:rPr>
        <w:t>Platební podmínky</w:t>
      </w:r>
    </w:p>
    <w:p w:rsidR="00B905B2" w:rsidRDefault="008F6760">
      <w:pPr>
        <w:spacing w:after="129" w:line="259" w:lineRule="auto"/>
        <w:ind w:left="247" w:hanging="10"/>
        <w:jc w:val="left"/>
      </w:pPr>
      <w:r>
        <w:rPr>
          <w:rFonts w:ascii="Times New Roman" w:eastAsia="Times New Roman" w:hAnsi="Times New Roman" w:cs="Times New Roman"/>
          <w:sz w:val="26"/>
        </w:rPr>
        <w:t>6.1</w:t>
      </w:r>
    </w:p>
    <w:p w:rsidR="00B905B2" w:rsidRDefault="008F6760">
      <w:pPr>
        <w:spacing w:line="259" w:lineRule="auto"/>
        <w:ind w:left="10" w:right="195" w:hanging="10"/>
        <w:jc w:val="right"/>
      </w:pPr>
      <w:r>
        <w:t>Cena díla dle článku V. této smlouvy bude objednatelem uhrazena na základě faktury vystavené</w:t>
      </w:r>
    </w:p>
    <w:p w:rsidR="00B905B2" w:rsidRDefault="008F6760">
      <w:pPr>
        <w:spacing w:after="266" w:line="259" w:lineRule="auto"/>
        <w:ind w:left="223" w:firstLine="0"/>
        <w:jc w:val="left"/>
      </w:pPr>
      <w:r>
        <w:rPr>
          <w:noProof/>
        </w:rPr>
        <w:drawing>
          <wp:inline distT="0" distB="0" distL="0" distR="0">
            <wp:extent cx="4222440" cy="128016"/>
            <wp:effectExtent l="0" t="0" r="0" b="0"/>
            <wp:docPr id="16977" name="Picture 16977"/>
            <wp:cNvGraphicFramePr/>
            <a:graphic xmlns:a="http://schemas.openxmlformats.org/drawingml/2006/main">
              <a:graphicData uri="http://schemas.openxmlformats.org/drawingml/2006/picture">
                <pic:pic xmlns:pic="http://schemas.openxmlformats.org/drawingml/2006/picture">
                  <pic:nvPicPr>
                    <pic:cNvPr id="16977" name="Picture 16977"/>
                    <pic:cNvPicPr/>
                  </pic:nvPicPr>
                  <pic:blipFill>
                    <a:blip r:embed="rId11"/>
                    <a:stretch>
                      <a:fillRect/>
                    </a:stretch>
                  </pic:blipFill>
                  <pic:spPr>
                    <a:xfrm>
                      <a:off x="0" y="0"/>
                      <a:ext cx="4222440" cy="128016"/>
                    </a:xfrm>
                    <a:prstGeom prst="rect">
                      <a:avLst/>
                    </a:prstGeom>
                  </pic:spPr>
                </pic:pic>
              </a:graphicData>
            </a:graphic>
          </wp:inline>
        </w:drawing>
      </w:r>
    </w:p>
    <w:p w:rsidR="00B905B2" w:rsidRDefault="008F6760">
      <w:pPr>
        <w:spacing w:after="129" w:line="259" w:lineRule="auto"/>
        <w:ind w:left="247" w:hanging="10"/>
        <w:jc w:val="left"/>
      </w:pPr>
      <w:r>
        <w:rPr>
          <w:rFonts w:ascii="Times New Roman" w:eastAsia="Times New Roman" w:hAnsi="Times New Roman" w:cs="Times New Roman"/>
          <w:sz w:val="26"/>
        </w:rPr>
        <w:t>6.2</w:t>
      </w:r>
    </w:p>
    <w:p w:rsidR="00B905B2" w:rsidRDefault="008F6760">
      <w:pPr>
        <w:spacing w:after="52"/>
        <w:ind w:left="194" w:right="129"/>
      </w:pPr>
      <w:r>
        <w:t>V případě, že zhotovite</w:t>
      </w:r>
      <w:r w:rsidR="005463D5">
        <w:t>l</w:t>
      </w:r>
      <w:r>
        <w:t xml:space="preserve"> bude ke dni fakturace plátcem DPH, bude k ceně díla dle článku 5. 1. této smlouvy fakturováno DPH v souladu s platnou legislativou.</w:t>
      </w:r>
    </w:p>
    <w:p w:rsidR="00B905B2" w:rsidRDefault="008F6760">
      <w:pPr>
        <w:spacing w:after="129" w:line="259" w:lineRule="auto"/>
        <w:ind w:left="247" w:hanging="10"/>
        <w:jc w:val="left"/>
      </w:pPr>
      <w:r>
        <w:rPr>
          <w:rFonts w:ascii="Times New Roman" w:eastAsia="Times New Roman" w:hAnsi="Times New Roman" w:cs="Times New Roman"/>
          <w:sz w:val="26"/>
        </w:rPr>
        <w:t>6.3</w:t>
      </w:r>
    </w:p>
    <w:p w:rsidR="00B905B2" w:rsidRDefault="008F6760">
      <w:pPr>
        <w:spacing w:after="121" w:line="259" w:lineRule="auto"/>
        <w:ind w:left="10" w:right="195" w:hanging="10"/>
        <w:jc w:val="right"/>
      </w:pPr>
      <w:r>
        <w:t xml:space="preserve">Všechny platby budou realizovány bankovním převodem na účet zhotovitele — </w:t>
      </w:r>
      <w:r w:rsidRPr="005463D5">
        <w:rPr>
          <w:highlight w:val="black"/>
        </w:rPr>
        <w:t>2966626369/0800.</w:t>
      </w:r>
    </w:p>
    <w:p w:rsidR="00B905B2" w:rsidRDefault="008F6760">
      <w:pPr>
        <w:spacing w:after="129" w:line="259" w:lineRule="auto"/>
        <w:ind w:left="247" w:hanging="10"/>
        <w:jc w:val="left"/>
      </w:pPr>
      <w:r>
        <w:rPr>
          <w:rFonts w:ascii="Times New Roman" w:eastAsia="Times New Roman" w:hAnsi="Times New Roman" w:cs="Times New Roman"/>
          <w:sz w:val="26"/>
        </w:rPr>
        <w:t>6.4</w:t>
      </w:r>
    </w:p>
    <w:p w:rsidR="00B905B2" w:rsidRDefault="008F6760">
      <w:pPr>
        <w:spacing w:after="151"/>
        <w:ind w:left="194" w:right="129"/>
      </w:pPr>
      <w:r>
        <w:t>Smluvní strany se dohodly, že při nedodržení termínu splatnosti vystavené faktury činí smluvní pokuta 0,5 % z dlužné částky za každý den prodlení, nejvýše však je objednatel povinen uhradit na smluvní pokutě dvojnásobek celkové ceny díla.</w:t>
      </w:r>
    </w:p>
    <w:p w:rsidR="00B905B2" w:rsidRDefault="008F6760">
      <w:pPr>
        <w:spacing w:after="129" w:line="259" w:lineRule="auto"/>
        <w:ind w:left="247" w:hanging="10"/>
        <w:jc w:val="left"/>
      </w:pPr>
      <w:r>
        <w:rPr>
          <w:rFonts w:ascii="Times New Roman" w:eastAsia="Times New Roman" w:hAnsi="Times New Roman" w:cs="Times New Roman"/>
          <w:sz w:val="26"/>
        </w:rPr>
        <w:t>6.5</w:t>
      </w:r>
    </w:p>
    <w:p w:rsidR="00B905B2" w:rsidRDefault="008F6760">
      <w:pPr>
        <w:ind w:left="194" w:right="129"/>
      </w:pPr>
      <w:r>
        <w:t>V případě nedodržení splatnosti faktury má zhotovitel právo na základě plné moci, udělené dle článku 7.2 této smlouvy, ukončit administraci Dotační žádosti na Projekt. Zhotovitel je povinen Objednatele nejméně jednou písemně upomenout o zaplacení a nejméně 2 týdny před případným</w:t>
      </w:r>
    </w:p>
    <w:p w:rsidR="00B905B2" w:rsidRDefault="008F6760">
      <w:pPr>
        <w:spacing w:after="1174" w:line="259" w:lineRule="auto"/>
        <w:ind w:left="267" w:firstLine="0"/>
        <w:jc w:val="left"/>
      </w:pPr>
      <w:r>
        <w:rPr>
          <w:noProof/>
        </w:rPr>
        <w:drawing>
          <wp:inline distT="0" distB="0" distL="0" distR="0">
            <wp:extent cx="5846455" cy="128016"/>
            <wp:effectExtent l="0" t="0" r="0" b="0"/>
            <wp:docPr id="8351" name="Picture 8351"/>
            <wp:cNvGraphicFramePr/>
            <a:graphic xmlns:a="http://schemas.openxmlformats.org/drawingml/2006/main">
              <a:graphicData uri="http://schemas.openxmlformats.org/drawingml/2006/picture">
                <pic:pic xmlns:pic="http://schemas.openxmlformats.org/drawingml/2006/picture">
                  <pic:nvPicPr>
                    <pic:cNvPr id="8351" name="Picture 8351"/>
                    <pic:cNvPicPr/>
                  </pic:nvPicPr>
                  <pic:blipFill>
                    <a:blip r:embed="rId12"/>
                    <a:stretch>
                      <a:fillRect/>
                    </a:stretch>
                  </pic:blipFill>
                  <pic:spPr>
                    <a:xfrm>
                      <a:off x="0" y="0"/>
                      <a:ext cx="5846455" cy="128016"/>
                    </a:xfrm>
                    <a:prstGeom prst="rect">
                      <a:avLst/>
                    </a:prstGeom>
                  </pic:spPr>
                </pic:pic>
              </a:graphicData>
            </a:graphic>
          </wp:inline>
        </w:drawing>
      </w:r>
    </w:p>
    <w:p w:rsidR="00B905B2" w:rsidRDefault="008F6760">
      <w:pPr>
        <w:spacing w:after="229" w:line="259" w:lineRule="auto"/>
        <w:ind w:left="147" w:right="29" w:hanging="10"/>
        <w:jc w:val="center"/>
      </w:pPr>
      <w:r>
        <w:rPr>
          <w:rFonts w:ascii="Courier New" w:eastAsia="Courier New" w:hAnsi="Courier New" w:cs="Courier New"/>
          <w:sz w:val="18"/>
        </w:rPr>
        <w:t>VII.</w:t>
      </w:r>
    </w:p>
    <w:p w:rsidR="00B905B2" w:rsidRDefault="008F6760">
      <w:pPr>
        <w:spacing w:after="86" w:line="265" w:lineRule="auto"/>
        <w:ind w:left="421" w:right="288" w:hanging="10"/>
        <w:jc w:val="center"/>
      </w:pPr>
      <w:r>
        <w:rPr>
          <w:sz w:val="26"/>
        </w:rPr>
        <w:t>Povinnosti objednatele</w:t>
      </w:r>
    </w:p>
    <w:p w:rsidR="00B905B2" w:rsidRDefault="008F6760">
      <w:pPr>
        <w:pStyle w:val="Nadpis1"/>
      </w:pPr>
      <w:r>
        <w:t>7.1</w:t>
      </w:r>
    </w:p>
    <w:p w:rsidR="00B905B2" w:rsidRDefault="008F6760">
      <w:pPr>
        <w:spacing w:after="847"/>
        <w:ind w:left="194" w:right="129"/>
      </w:pPr>
      <w:r>
        <w:t>Smluvní strany se dohodly, že objednatel je povinen poskytovat zhotoviteli nezbytnou součinnost, zejména je povinen v součinnosti se zhotovitelem zajistit povinné a nepovinné přílohy k Dotační žádosti v rozsahu požadavků aktuálních Pravidel a to na základě výzvy zhotovitele s konkretizací předmětu součinnosti.</w:t>
      </w:r>
    </w:p>
    <w:p w:rsidR="00B905B2" w:rsidRDefault="008F6760">
      <w:pPr>
        <w:spacing w:after="263"/>
        <w:ind w:left="267" w:right="129"/>
      </w:pPr>
      <w:r>
        <w:lastRenderedPageBreak/>
        <w:t>Objednatel se zavazuje udělit zhotoviteli plnou moc k úkonům spojeným s registrací Dotační žádosti a předložením žádosti o proplacení, případně k dalším úkonům spojených s projektovým cyklem, pokud se těchto úkonů nebude osobně účastnit sám.</w:t>
      </w:r>
    </w:p>
    <w:p w:rsidR="00B905B2" w:rsidRDefault="008F6760">
      <w:pPr>
        <w:spacing w:after="131" w:line="259" w:lineRule="auto"/>
        <w:ind w:left="276" w:hanging="10"/>
        <w:jc w:val="left"/>
      </w:pPr>
      <w:r>
        <w:rPr>
          <w:rFonts w:ascii="Times New Roman" w:eastAsia="Times New Roman" w:hAnsi="Times New Roman" w:cs="Times New Roman"/>
          <w:sz w:val="26"/>
        </w:rPr>
        <w:t>7.3</w:t>
      </w:r>
    </w:p>
    <w:p w:rsidR="00B905B2" w:rsidRDefault="008F6760">
      <w:pPr>
        <w:spacing w:after="247"/>
        <w:ind w:left="267" w:right="129"/>
      </w:pPr>
      <w:r>
        <w:t>Objednatel se zavazuje bezprostředně informovat zhotovitele o všech d</w:t>
      </w:r>
      <w:r w:rsidR="005463D5">
        <w:t>ů</w:t>
      </w:r>
      <w:r>
        <w:t>ležitých skutečnost souvisejících s touto smlouvou, zejména o obdržení dopisu o akceptaci žádosti.</w:t>
      </w:r>
    </w:p>
    <w:p w:rsidR="00B905B2" w:rsidRDefault="008F6760">
      <w:pPr>
        <w:spacing w:after="165" w:line="259" w:lineRule="auto"/>
        <w:ind w:left="276" w:hanging="10"/>
        <w:jc w:val="left"/>
      </w:pPr>
      <w:r>
        <w:rPr>
          <w:rFonts w:ascii="Times New Roman" w:eastAsia="Times New Roman" w:hAnsi="Times New Roman" w:cs="Times New Roman"/>
          <w:sz w:val="26"/>
        </w:rPr>
        <w:t>7.4</w:t>
      </w:r>
    </w:p>
    <w:p w:rsidR="00B905B2" w:rsidRDefault="008F6760">
      <w:pPr>
        <w:spacing w:after="47"/>
        <w:ind w:left="274" w:right="129"/>
      </w:pPr>
      <w:r>
        <w:t>Objednatel bere na vědomí, že zhotovitel nenese zodpovědnost za správnost a úplnost podk</w:t>
      </w:r>
      <w:r w:rsidR="005463D5">
        <w:t>l</w:t>
      </w:r>
      <w:r>
        <w:t>ad</w:t>
      </w:r>
      <w:r w:rsidR="005463D5">
        <w:t>ů</w:t>
      </w:r>
      <w:r>
        <w:t xml:space="preserve"> a písemností objednatele, které jsou podkladem pro činnost zhotovitele a za škodu na ztracených pří</w:t>
      </w:r>
      <w:r w:rsidR="005463D5">
        <w:t>l</w:t>
      </w:r>
      <w:r>
        <w:t>ež</w:t>
      </w:r>
      <w:r w:rsidR="005463D5">
        <w:t>i</w:t>
      </w:r>
      <w:r>
        <w:t>tostech objednate</w:t>
      </w:r>
      <w:r w:rsidR="005463D5">
        <w:t>l</w:t>
      </w:r>
      <w:r>
        <w:t>e. Zhotovite</w:t>
      </w:r>
      <w:r w:rsidR="005463D5">
        <w:t>l</w:t>
      </w:r>
      <w:r>
        <w:t xml:space="preserve"> je však povinen o</w:t>
      </w:r>
      <w:r w:rsidR="005463D5">
        <w:t>b</w:t>
      </w:r>
      <w:r>
        <w:t>jednate</w:t>
      </w:r>
      <w:r w:rsidR="005463D5">
        <w:t>l</w:t>
      </w:r>
      <w:r>
        <w:t>e na neúp</w:t>
      </w:r>
      <w:r w:rsidR="005463D5">
        <w:t>l</w:t>
      </w:r>
      <w:r>
        <w:t>nost či nesprávnost podklad</w:t>
      </w:r>
      <w:r w:rsidR="005463D5">
        <w:t>ů</w:t>
      </w:r>
      <w:r>
        <w:t xml:space="preserve"> a písemností upozornit z titulu své odbornosti.</w:t>
      </w:r>
    </w:p>
    <w:p w:rsidR="00B905B2" w:rsidRDefault="008F6760">
      <w:pPr>
        <w:spacing w:after="131" w:line="259" w:lineRule="auto"/>
        <w:ind w:left="276" w:hanging="10"/>
        <w:jc w:val="left"/>
      </w:pPr>
      <w:r>
        <w:rPr>
          <w:rFonts w:ascii="Times New Roman" w:eastAsia="Times New Roman" w:hAnsi="Times New Roman" w:cs="Times New Roman"/>
          <w:sz w:val="26"/>
        </w:rPr>
        <w:t>7.5</w:t>
      </w:r>
    </w:p>
    <w:p w:rsidR="00B905B2" w:rsidRDefault="008F6760">
      <w:pPr>
        <w:spacing w:after="974"/>
        <w:ind w:left="281" w:right="129" w:firstLine="195"/>
      </w:pPr>
      <w:r>
        <w:t>Objednatel je povinen řádně se seznámit s kompletním obsahem předmětu plnění této smlouvy a podpisem dotační žádosti předkládané na SZIF vyjadřuje souhlas s kompletním obsahem včetně příloh a potvrzuje správnost uváděných údajů.</w:t>
      </w:r>
    </w:p>
    <w:p w:rsidR="00B905B2" w:rsidRDefault="008F6760">
      <w:pPr>
        <w:spacing w:after="229" w:line="259" w:lineRule="auto"/>
        <w:ind w:left="147" w:hanging="10"/>
        <w:jc w:val="center"/>
      </w:pPr>
      <w:r>
        <w:rPr>
          <w:rFonts w:ascii="Courier New" w:eastAsia="Courier New" w:hAnsi="Courier New" w:cs="Courier New"/>
          <w:sz w:val="18"/>
        </w:rPr>
        <w:t>VIII.</w:t>
      </w:r>
    </w:p>
    <w:p w:rsidR="00B905B2" w:rsidRDefault="008F6760">
      <w:pPr>
        <w:spacing w:after="112" w:line="265" w:lineRule="auto"/>
        <w:ind w:left="421" w:right="259" w:hanging="10"/>
        <w:jc w:val="center"/>
      </w:pPr>
      <w:r>
        <w:rPr>
          <w:sz w:val="26"/>
        </w:rPr>
        <w:t>Doba platnosti</w:t>
      </w:r>
    </w:p>
    <w:p w:rsidR="00B905B2" w:rsidRDefault="008F6760">
      <w:pPr>
        <w:spacing w:after="131" w:line="259" w:lineRule="auto"/>
        <w:ind w:left="276" w:hanging="10"/>
        <w:jc w:val="left"/>
      </w:pPr>
      <w:r>
        <w:rPr>
          <w:rFonts w:ascii="Times New Roman" w:eastAsia="Times New Roman" w:hAnsi="Times New Roman" w:cs="Times New Roman"/>
          <w:sz w:val="26"/>
        </w:rPr>
        <w:t>8.1</w:t>
      </w:r>
    </w:p>
    <w:p w:rsidR="00B905B2" w:rsidRDefault="008F6760">
      <w:pPr>
        <w:ind w:left="598" w:right="129" w:firstLine="0"/>
      </w:pPr>
      <w:r>
        <w:t>Tato smlouva se uzavírá na dobu určitou do 31. 12. 2023.</w:t>
      </w:r>
    </w:p>
    <w:p w:rsidR="00B905B2" w:rsidRDefault="008F6760">
      <w:pPr>
        <w:spacing w:after="0" w:line="259" w:lineRule="auto"/>
        <w:ind w:left="108" w:firstLine="0"/>
        <w:jc w:val="center"/>
      </w:pPr>
      <w:r>
        <w:rPr>
          <w:sz w:val="36"/>
        </w:rPr>
        <w:t>IX.</w:t>
      </w:r>
    </w:p>
    <w:p w:rsidR="00B905B2" w:rsidRDefault="008F6760">
      <w:pPr>
        <w:spacing w:after="86" w:line="265" w:lineRule="auto"/>
        <w:ind w:left="421" w:right="310" w:hanging="10"/>
        <w:jc w:val="center"/>
      </w:pPr>
      <w:r>
        <w:rPr>
          <w:sz w:val="26"/>
        </w:rPr>
        <w:t>Závěrečné ustanovení</w:t>
      </w:r>
    </w:p>
    <w:p w:rsidR="00B905B2" w:rsidRDefault="008F6760">
      <w:pPr>
        <w:spacing w:after="298" w:line="259" w:lineRule="auto"/>
        <w:ind w:left="247" w:hanging="10"/>
        <w:jc w:val="left"/>
      </w:pPr>
      <w:r>
        <w:rPr>
          <w:rFonts w:ascii="Times New Roman" w:eastAsia="Times New Roman" w:hAnsi="Times New Roman" w:cs="Times New Roman"/>
          <w:sz w:val="26"/>
        </w:rPr>
        <w:t>9.1</w:t>
      </w:r>
    </w:p>
    <w:p w:rsidR="00B905B2" w:rsidRDefault="008F6760">
      <w:pPr>
        <w:spacing w:after="178"/>
        <w:ind w:left="512" w:right="129" w:firstLine="0"/>
      </w:pPr>
      <w:r>
        <w:t>Tato smlouva nabývá platnosti a účinnosti dnem jejího podpisu oběma smluvními stranami.</w:t>
      </w:r>
    </w:p>
    <w:p w:rsidR="00B905B2" w:rsidRDefault="008F6760">
      <w:pPr>
        <w:spacing w:after="265" w:line="259" w:lineRule="auto"/>
        <w:ind w:left="247" w:hanging="10"/>
        <w:jc w:val="left"/>
      </w:pPr>
      <w:r>
        <w:rPr>
          <w:rFonts w:ascii="Times New Roman" w:eastAsia="Times New Roman" w:hAnsi="Times New Roman" w:cs="Times New Roman"/>
          <w:sz w:val="26"/>
        </w:rPr>
        <w:t>9.2</w:t>
      </w:r>
    </w:p>
    <w:p w:rsidR="00B905B2" w:rsidRDefault="008F6760">
      <w:pPr>
        <w:spacing w:after="150"/>
        <w:ind w:left="519" w:right="129" w:firstLine="0"/>
      </w:pPr>
      <w:r>
        <w:t>Zveřejnění smlouvy v registru smluv provede zhotovitel.</w:t>
      </w:r>
    </w:p>
    <w:p w:rsidR="00B905B2" w:rsidRDefault="008F6760">
      <w:pPr>
        <w:spacing w:after="332" w:line="259" w:lineRule="auto"/>
        <w:ind w:left="247" w:hanging="10"/>
        <w:jc w:val="left"/>
      </w:pPr>
      <w:r>
        <w:rPr>
          <w:rFonts w:ascii="Times New Roman" w:eastAsia="Times New Roman" w:hAnsi="Times New Roman" w:cs="Times New Roman"/>
          <w:sz w:val="26"/>
        </w:rPr>
        <w:t>9.3</w:t>
      </w:r>
    </w:p>
    <w:p w:rsidR="00B905B2" w:rsidRDefault="008F6760">
      <w:pPr>
        <w:spacing w:after="835"/>
        <w:ind w:left="194" w:right="129"/>
      </w:pPr>
      <w:r>
        <w:t>Veškeré dodatky pozměňující, upravující a doplňující tuto smlouvu je možno činit pouze písemně se souhlasem obou stran.</w:t>
      </w:r>
    </w:p>
    <w:p w:rsidR="00B905B2" w:rsidRDefault="008F6760">
      <w:pPr>
        <w:spacing w:after="228"/>
        <w:ind w:left="194" w:right="129"/>
      </w:pPr>
      <w:r>
        <w:t>Smluvní strany prohlašují, že tuto smlouvu uzavírají ze svobodné vůle a bez nátlaku v jakékoli formě.</w:t>
      </w:r>
    </w:p>
    <w:p w:rsidR="00B905B2" w:rsidRDefault="008F6760">
      <w:pPr>
        <w:spacing w:after="173" w:line="259" w:lineRule="auto"/>
        <w:ind w:left="247" w:hanging="10"/>
        <w:jc w:val="left"/>
      </w:pPr>
      <w:r>
        <w:rPr>
          <w:rFonts w:ascii="Times New Roman" w:eastAsia="Times New Roman" w:hAnsi="Times New Roman" w:cs="Times New Roman"/>
          <w:sz w:val="26"/>
        </w:rPr>
        <w:lastRenderedPageBreak/>
        <w:t>9.5</w:t>
      </w:r>
    </w:p>
    <w:p w:rsidR="00B905B2" w:rsidRDefault="008F6760">
      <w:pPr>
        <w:spacing w:after="0" w:line="259" w:lineRule="auto"/>
        <w:ind w:left="231" w:firstLine="0"/>
        <w:jc w:val="center"/>
      </w:pPr>
      <w:r>
        <w:t>Tato smlouva je vyhotovena ve dvou originálech, ze kterých si každá smluvní strana při podpisu</w:t>
      </w:r>
    </w:p>
    <w:p w:rsidR="00B905B2" w:rsidRDefault="00B905B2">
      <w:pPr>
        <w:sectPr w:rsidR="00B905B2">
          <w:pgSz w:w="12240" w:h="15840"/>
          <w:pgMar w:top="1426" w:right="1412" w:bottom="173" w:left="1145" w:header="708" w:footer="708" w:gutter="0"/>
          <w:cols w:space="708"/>
        </w:sectPr>
      </w:pPr>
    </w:p>
    <w:p w:rsidR="00B905B2" w:rsidRDefault="008F6760">
      <w:pPr>
        <w:spacing w:after="1495"/>
        <w:ind w:left="14" w:right="129" w:firstLine="0"/>
      </w:pPr>
      <w:r>
        <w:t>ponechá jeden originál.</w:t>
      </w:r>
    </w:p>
    <w:p w:rsidR="00B905B2" w:rsidRDefault="008F6760" w:rsidP="008F6760">
      <w:pPr>
        <w:spacing w:after="1343" w:line="240" w:lineRule="auto"/>
        <w:ind w:left="0" w:right="129" w:firstLine="0"/>
        <w:contextualSpacing/>
      </w:pPr>
      <w:r>
        <w:t>V Praze, dne 23.</w:t>
      </w:r>
      <w:r w:rsidR="005463D5">
        <w:t xml:space="preserve"> </w:t>
      </w:r>
      <w:r>
        <w:t>1. 2019</w:t>
      </w:r>
    </w:p>
    <w:p w:rsidR="00B905B2" w:rsidRDefault="008F6760" w:rsidP="008F6760">
      <w:pPr>
        <w:spacing w:after="0" w:line="240" w:lineRule="auto"/>
        <w:ind w:left="21" w:firstLine="4"/>
        <w:contextualSpacing/>
        <w:jc w:val="left"/>
      </w:pPr>
      <w:r>
        <w:rPr>
          <w:sz w:val="22"/>
        </w:rPr>
        <w:t xml:space="preserve">Za zhotovitele: </w:t>
      </w:r>
    </w:p>
    <w:p w:rsidR="00B905B2" w:rsidRDefault="008F6760" w:rsidP="008F6760">
      <w:pPr>
        <w:spacing w:line="240" w:lineRule="auto"/>
        <w:ind w:left="10" w:right="-15" w:hanging="10"/>
        <w:contextualSpacing/>
      </w:pPr>
      <w:r>
        <w:t>Ing. Ondřej Schrötter</w:t>
      </w:r>
    </w:p>
    <w:p w:rsidR="008F6760" w:rsidRDefault="008F6760">
      <w:pPr>
        <w:spacing w:after="911"/>
        <w:ind w:left="0" w:right="129" w:firstLine="0"/>
      </w:pPr>
    </w:p>
    <w:p w:rsidR="00B905B2" w:rsidRDefault="008F6760" w:rsidP="008F6760">
      <w:pPr>
        <w:spacing w:after="911" w:line="240" w:lineRule="auto"/>
        <w:ind w:left="0" w:right="129" w:firstLine="0"/>
        <w:contextualSpacing/>
      </w:pPr>
      <w:r>
        <w:t>V Trutnově, dne 23. 1. 2019</w:t>
      </w:r>
    </w:p>
    <w:p w:rsidR="00B905B2" w:rsidRDefault="008F6760" w:rsidP="008F6760">
      <w:pPr>
        <w:spacing w:after="139" w:line="240" w:lineRule="auto"/>
        <w:ind w:left="-1117" w:right="-807" w:firstLine="1117"/>
        <w:contextualSpacing/>
        <w:jc w:val="left"/>
      </w:pPr>
      <w:r>
        <w:rPr>
          <w:noProof/>
        </w:rPr>
        <w:t>Za objednatele:</w:t>
      </w:r>
    </w:p>
    <w:p w:rsidR="00B905B2" w:rsidRDefault="008F6760" w:rsidP="008F6760">
      <w:pPr>
        <w:spacing w:line="240" w:lineRule="auto"/>
        <w:ind w:left="10" w:right="-15" w:hanging="10"/>
        <w:contextualSpacing/>
      </w:pPr>
      <w:r>
        <w:t>Mgr. Jan Korbelář</w:t>
      </w:r>
    </w:p>
    <w:sectPr w:rsidR="00B905B2">
      <w:type w:val="continuous"/>
      <w:pgSz w:w="12240" w:h="15840"/>
      <w:pgMar w:top="1440" w:right="2190" w:bottom="1440" w:left="1383" w:header="708" w:footer="708" w:gutter="0"/>
      <w:cols w:num="2" w:space="708" w:equalWidth="0">
        <w:col w:w="3674" w:space="2255"/>
        <w:col w:w="27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0eo5Qj4Df9TxkaVwoqJFWkY1aWug7deqXtElbtWwW6C26u0bLll2IqWWFuIavMCOgVCXsvLEOfJKWqJuF+/n2A==" w:salt="xXVz/RiZCZIiH/arNUjn6A=="/>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B2"/>
    <w:rsid w:val="00190671"/>
    <w:rsid w:val="005463D5"/>
    <w:rsid w:val="008F6760"/>
    <w:rsid w:val="00B90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00F81-D647-4A82-8AA7-77CF17E7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0" w:lineRule="auto"/>
      <w:ind w:left="411" w:firstLine="257"/>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44"/>
      <w:ind w:left="259"/>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g"/><Relationship Id="rId10" Type="http://schemas.openxmlformats.org/officeDocument/2006/relationships/image" Target="media/image65.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7436</Characters>
  <Application>Microsoft Office Word</Application>
  <DocSecurity>8</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4</cp:revision>
  <dcterms:created xsi:type="dcterms:W3CDTF">2019-04-09T08:02:00Z</dcterms:created>
  <dcterms:modified xsi:type="dcterms:W3CDTF">2019-04-09T08:02:00Z</dcterms:modified>
</cp:coreProperties>
</file>