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09" w:rsidRPr="00015409" w:rsidRDefault="00015409" w:rsidP="00015409">
      <w:pPr>
        <w:keepNext/>
        <w:widowControl/>
        <w:spacing w:before="0" w:after="0" w:line="240" w:lineRule="auto"/>
        <w:contextualSpacing w:val="0"/>
        <w:outlineLvl w:val="0"/>
        <w:rPr>
          <w:b/>
          <w:color w:val="auto"/>
          <w:kern w:val="28"/>
          <w:sz w:val="24"/>
          <w:szCs w:val="20"/>
          <w:lang w:val="cs-CZ" w:eastAsia="cs-CZ"/>
        </w:rPr>
      </w:pPr>
    </w:p>
    <w:p w:rsidR="00CD21E6" w:rsidRDefault="00CD21E6" w:rsidP="00CD21E6">
      <w:pPr>
        <w:widowControl/>
        <w:spacing w:before="0" w:after="0" w:line="240" w:lineRule="auto"/>
        <w:ind w:left="284"/>
        <w:rPr>
          <w:rFonts w:cs="Arial"/>
          <w:bCs/>
          <w:color w:val="auto"/>
          <w:sz w:val="20"/>
          <w:szCs w:val="20"/>
          <w:lang w:val="cs-CZ" w:eastAsia="cs-CZ"/>
        </w:rPr>
      </w:pPr>
      <w:proofErr w:type="spellStart"/>
      <w:r>
        <w:rPr>
          <w:rFonts w:cs="Arial"/>
          <w:b/>
          <w:color w:val="auto"/>
          <w:sz w:val="20"/>
          <w:szCs w:val="20"/>
          <w:lang w:val="cs-CZ" w:eastAsia="cs-CZ"/>
        </w:rPr>
        <w:t>Generali</w:t>
      </w:r>
      <w:proofErr w:type="spellEnd"/>
      <w:r>
        <w:rPr>
          <w:rFonts w:cs="Arial"/>
          <w:b/>
          <w:color w:val="auto"/>
          <w:sz w:val="20"/>
          <w:szCs w:val="20"/>
          <w:lang w:val="cs-CZ" w:eastAsia="cs-CZ"/>
        </w:rPr>
        <w:t xml:space="preserve"> Pojišťovna a.s.</w:t>
      </w:r>
      <w:r>
        <w:rPr>
          <w:rFonts w:cs="Arial"/>
          <w:bCs/>
          <w:color w:val="auto"/>
          <w:sz w:val="20"/>
          <w:szCs w:val="20"/>
          <w:lang w:val="cs-CZ" w:eastAsia="cs-CZ"/>
        </w:rPr>
        <w:t xml:space="preserve"> </w:t>
      </w:r>
    </w:p>
    <w:p w:rsidR="00CD21E6" w:rsidRDefault="00BE7EDE" w:rsidP="00CD21E6">
      <w:pPr>
        <w:widowControl/>
        <w:spacing w:before="0" w:after="0" w:line="240" w:lineRule="auto"/>
        <w:ind w:left="284"/>
        <w:rPr>
          <w:rFonts w:cs="Arial"/>
          <w:color w:val="auto"/>
          <w:sz w:val="20"/>
          <w:szCs w:val="20"/>
          <w:lang w:val="cs-CZ" w:eastAsia="cs-CZ"/>
        </w:rPr>
      </w:pPr>
      <w:r>
        <w:rPr>
          <w:rFonts w:cs="Arial"/>
          <w:color w:val="auto"/>
          <w:sz w:val="20"/>
          <w:szCs w:val="20"/>
          <w:lang w:val="cs-CZ" w:eastAsia="cs-CZ"/>
        </w:rPr>
        <w:t>Bělehradská 299/132, 120 00</w:t>
      </w:r>
      <w:r w:rsidR="00CD21E6">
        <w:rPr>
          <w:rFonts w:cs="Arial"/>
          <w:color w:val="auto"/>
          <w:sz w:val="20"/>
          <w:szCs w:val="20"/>
          <w:lang w:val="cs-CZ" w:eastAsia="cs-CZ"/>
        </w:rPr>
        <w:t xml:space="preserve"> Praha 2, Česká republika, IČO: 61859869</w:t>
      </w:r>
    </w:p>
    <w:p w:rsidR="00CD21E6" w:rsidRPr="00623256" w:rsidRDefault="00CD21E6" w:rsidP="00CD21E6">
      <w:pPr>
        <w:widowControl/>
        <w:spacing w:before="0" w:after="0" w:line="240" w:lineRule="auto"/>
        <w:ind w:left="284"/>
        <w:rPr>
          <w:rFonts w:cs="Arial"/>
          <w:color w:val="auto"/>
          <w:sz w:val="20"/>
          <w:szCs w:val="20"/>
          <w:lang w:val="cs-CZ" w:eastAsia="cs-CZ"/>
        </w:rPr>
      </w:pPr>
      <w:r w:rsidRPr="00623256">
        <w:rPr>
          <w:rFonts w:cs="Arial"/>
          <w:color w:val="auto"/>
          <w:sz w:val="20"/>
          <w:szCs w:val="20"/>
          <w:lang w:val="cs-CZ" w:eastAsia="cs-CZ"/>
        </w:rPr>
        <w:t xml:space="preserve">zastoupená </w:t>
      </w:r>
      <w:r w:rsidR="00CA0C01">
        <w:rPr>
          <w:rFonts w:cs="Arial"/>
          <w:color w:val="auto"/>
          <w:sz w:val="20"/>
          <w:szCs w:val="20"/>
          <w:lang w:val="cs-CZ" w:eastAsia="cs-CZ"/>
        </w:rPr>
        <w:t>Martinou Trávníčkovou,</w:t>
      </w:r>
      <w:r w:rsidR="00623256" w:rsidRPr="00623256">
        <w:rPr>
          <w:rFonts w:cs="Arial"/>
          <w:color w:val="auto"/>
          <w:sz w:val="20"/>
          <w:szCs w:val="20"/>
          <w:lang w:val="cs-CZ" w:eastAsia="cs-CZ"/>
        </w:rPr>
        <w:t xml:space="preserve"> upisovatelem,</w:t>
      </w:r>
      <w:r w:rsidRPr="00623256">
        <w:rPr>
          <w:rFonts w:cs="Arial"/>
          <w:color w:val="auto"/>
          <w:sz w:val="20"/>
          <w:szCs w:val="20"/>
          <w:lang w:val="cs-CZ" w:eastAsia="cs-CZ"/>
        </w:rPr>
        <w:t xml:space="preserve"> </w:t>
      </w:r>
      <w:r w:rsidR="00E34C2E" w:rsidRPr="00623256">
        <w:rPr>
          <w:rFonts w:cs="Arial"/>
          <w:color w:val="auto"/>
          <w:sz w:val="20"/>
          <w:szCs w:val="20"/>
          <w:lang w:val="cs-CZ" w:eastAsia="cs-CZ"/>
        </w:rPr>
        <w:t>Korporátní a průmyslové pojištění</w:t>
      </w:r>
    </w:p>
    <w:p w:rsidR="00CD21E6" w:rsidRPr="00623256" w:rsidRDefault="00CD21E6" w:rsidP="00CD21E6">
      <w:pPr>
        <w:widowControl/>
        <w:spacing w:before="0" w:after="0" w:line="240" w:lineRule="auto"/>
        <w:ind w:left="284"/>
        <w:rPr>
          <w:rFonts w:cs="Arial"/>
          <w:color w:val="auto"/>
          <w:sz w:val="20"/>
          <w:szCs w:val="20"/>
          <w:lang w:val="cs-CZ" w:eastAsia="cs-CZ"/>
        </w:rPr>
      </w:pPr>
      <w:r w:rsidRPr="00623256">
        <w:rPr>
          <w:rFonts w:cs="Arial"/>
          <w:color w:val="auto"/>
          <w:sz w:val="20"/>
          <w:szCs w:val="20"/>
          <w:lang w:val="cs-CZ" w:eastAsia="cs-CZ"/>
        </w:rPr>
        <w:t xml:space="preserve">a </w:t>
      </w:r>
      <w:r w:rsidR="00CA0C01">
        <w:rPr>
          <w:rFonts w:cs="Arial"/>
          <w:color w:val="auto"/>
          <w:sz w:val="20"/>
          <w:szCs w:val="20"/>
          <w:lang w:val="cs-CZ" w:eastAsia="cs-CZ"/>
        </w:rPr>
        <w:t xml:space="preserve">Matějem </w:t>
      </w:r>
      <w:proofErr w:type="spellStart"/>
      <w:r w:rsidR="00CA0C01">
        <w:rPr>
          <w:rFonts w:cs="Arial"/>
          <w:color w:val="auto"/>
          <w:sz w:val="20"/>
          <w:szCs w:val="20"/>
          <w:lang w:val="cs-CZ" w:eastAsia="cs-CZ"/>
        </w:rPr>
        <w:t>Maričem</w:t>
      </w:r>
      <w:proofErr w:type="spellEnd"/>
      <w:r w:rsidR="00623256" w:rsidRPr="00623256">
        <w:rPr>
          <w:rFonts w:cs="Arial"/>
          <w:color w:val="auto"/>
          <w:sz w:val="20"/>
          <w:szCs w:val="20"/>
          <w:lang w:val="cs-CZ" w:eastAsia="cs-CZ"/>
        </w:rPr>
        <w:t>,</w:t>
      </w:r>
      <w:r w:rsidR="00623256" w:rsidRPr="00623256">
        <w:rPr>
          <w:rFonts w:cs="Arial"/>
          <w:color w:val="auto"/>
          <w:sz w:val="20"/>
          <w:szCs w:val="20"/>
          <w:lang w:val="cs-CZ" w:eastAsia="cs-CZ"/>
        </w:rPr>
        <w:t xml:space="preserve"> upisovatelem,</w:t>
      </w:r>
      <w:r w:rsidRPr="00623256">
        <w:rPr>
          <w:rFonts w:cs="Arial"/>
          <w:color w:val="auto"/>
          <w:sz w:val="20"/>
          <w:szCs w:val="20"/>
          <w:lang w:val="cs-CZ" w:eastAsia="cs-CZ"/>
        </w:rPr>
        <w:t xml:space="preserve"> </w:t>
      </w:r>
      <w:r w:rsidR="00E34C2E" w:rsidRPr="00623256">
        <w:rPr>
          <w:rFonts w:cs="Arial"/>
          <w:color w:val="auto"/>
          <w:sz w:val="20"/>
          <w:szCs w:val="20"/>
          <w:lang w:val="cs-CZ" w:eastAsia="cs-CZ"/>
        </w:rPr>
        <w:t>Korporátní a průmyslové pojištění</w:t>
      </w:r>
    </w:p>
    <w:p w:rsidR="00CD21E6" w:rsidRPr="00623256" w:rsidRDefault="00CD21E6" w:rsidP="00CD21E6">
      <w:pPr>
        <w:widowControl/>
        <w:spacing w:before="0" w:after="0" w:line="240" w:lineRule="auto"/>
        <w:ind w:left="284"/>
        <w:rPr>
          <w:rFonts w:cs="Arial"/>
          <w:color w:val="auto"/>
          <w:sz w:val="20"/>
          <w:szCs w:val="20"/>
          <w:lang w:val="cs-CZ" w:eastAsia="cs-CZ"/>
        </w:rPr>
      </w:pPr>
      <w:r w:rsidRPr="00623256">
        <w:rPr>
          <w:rFonts w:cs="Arial"/>
          <w:color w:val="auto"/>
          <w:sz w:val="20"/>
          <w:szCs w:val="20"/>
          <w:lang w:val="cs-CZ" w:eastAsia="cs-CZ"/>
        </w:rPr>
        <w:t>Společnost je zapsána v obchodním rejstříku vedeném Městským soudem v Praze, spisová značka B 2866</w:t>
      </w:r>
    </w:p>
    <w:p w:rsidR="00CD21E6" w:rsidRPr="00623256" w:rsidRDefault="00CD21E6" w:rsidP="00CD21E6">
      <w:pPr>
        <w:widowControl/>
        <w:autoSpaceDE w:val="0"/>
        <w:autoSpaceDN w:val="0"/>
        <w:adjustRightInd w:val="0"/>
        <w:spacing w:before="0" w:after="0" w:line="0" w:lineRule="atLeast"/>
        <w:ind w:left="284"/>
        <w:rPr>
          <w:rFonts w:cs="Arial"/>
          <w:bCs/>
          <w:color w:val="auto"/>
          <w:sz w:val="20"/>
          <w:szCs w:val="20"/>
          <w:lang w:val="cs-CZ" w:eastAsia="cs-CZ"/>
        </w:rPr>
      </w:pPr>
      <w:r w:rsidRPr="00623256">
        <w:rPr>
          <w:rFonts w:cs="Arial"/>
          <w:color w:val="auto"/>
          <w:sz w:val="20"/>
          <w:szCs w:val="20"/>
        </w:rPr>
        <w:t>a je členem Skupiny Generali, zapsané v italském registru pojišťovacích skupin, vedeném IVASS</w:t>
      </w:r>
      <w:r w:rsidRPr="00623256">
        <w:rPr>
          <w:rFonts w:cs="Arial"/>
          <w:bCs/>
          <w:color w:val="auto"/>
          <w:sz w:val="20"/>
          <w:szCs w:val="20"/>
          <w:lang w:val="cs-CZ" w:eastAsia="cs-CZ"/>
        </w:rPr>
        <w:t xml:space="preserve"> </w:t>
      </w:r>
    </w:p>
    <w:p w:rsidR="00CD21E6" w:rsidRPr="00623256" w:rsidRDefault="00CD21E6" w:rsidP="00CD21E6">
      <w:pPr>
        <w:widowControl/>
        <w:spacing w:before="0" w:after="0" w:line="240" w:lineRule="auto"/>
        <w:ind w:left="284"/>
        <w:rPr>
          <w:rFonts w:cs="Arial"/>
          <w:color w:val="auto"/>
          <w:sz w:val="20"/>
          <w:szCs w:val="20"/>
          <w:lang w:val="cs-CZ" w:eastAsia="cs-CZ"/>
        </w:rPr>
      </w:pPr>
      <w:r w:rsidRPr="00623256">
        <w:rPr>
          <w:rFonts w:cs="Arial"/>
          <w:color w:val="auto"/>
          <w:sz w:val="20"/>
          <w:szCs w:val="20"/>
          <w:lang w:val="cs-CZ" w:eastAsia="cs-CZ"/>
        </w:rPr>
        <w:t xml:space="preserve">(dále jen </w:t>
      </w:r>
      <w:r w:rsidRPr="00623256">
        <w:rPr>
          <w:color w:val="auto"/>
          <w:sz w:val="20"/>
          <w:szCs w:val="20"/>
          <w:lang w:val="cs-CZ" w:eastAsia="cs-CZ"/>
        </w:rPr>
        <w:t>„</w:t>
      </w:r>
      <w:r w:rsidRPr="00623256">
        <w:rPr>
          <w:rFonts w:cs="Arial"/>
          <w:color w:val="auto"/>
          <w:sz w:val="20"/>
          <w:szCs w:val="20"/>
          <w:lang w:val="cs-CZ" w:eastAsia="cs-CZ"/>
        </w:rPr>
        <w:t>pojistitel“)</w:t>
      </w:r>
    </w:p>
    <w:p w:rsidR="008852B1" w:rsidRPr="00623256" w:rsidRDefault="008852B1" w:rsidP="006149DE">
      <w:pPr>
        <w:widowControl/>
        <w:spacing w:before="240" w:after="240" w:line="240" w:lineRule="auto"/>
        <w:ind w:left="284"/>
        <w:contextualSpacing w:val="0"/>
        <w:rPr>
          <w:color w:val="auto"/>
          <w:sz w:val="20"/>
          <w:szCs w:val="20"/>
          <w:lang w:val="cs-CZ" w:eastAsia="cs-CZ"/>
        </w:rPr>
      </w:pPr>
      <w:r w:rsidRPr="00623256">
        <w:rPr>
          <w:color w:val="auto"/>
          <w:sz w:val="20"/>
          <w:szCs w:val="20"/>
          <w:lang w:val="cs-CZ" w:eastAsia="cs-CZ"/>
        </w:rPr>
        <w:t>a</w:t>
      </w:r>
    </w:p>
    <w:p w:rsidR="008852B1" w:rsidRPr="00623256" w:rsidRDefault="00623256" w:rsidP="006149DE">
      <w:pPr>
        <w:widowControl/>
        <w:spacing w:before="0" w:after="0" w:line="240" w:lineRule="auto"/>
        <w:ind w:left="284"/>
        <w:contextualSpacing w:val="0"/>
        <w:rPr>
          <w:bCs/>
          <w:color w:val="auto"/>
          <w:sz w:val="20"/>
          <w:szCs w:val="20"/>
          <w:lang w:val="cs-CZ" w:eastAsia="cs-CZ"/>
        </w:rPr>
      </w:pPr>
      <w:r w:rsidRPr="00623256">
        <w:rPr>
          <w:b/>
          <w:color w:val="auto"/>
          <w:sz w:val="20"/>
          <w:szCs w:val="20"/>
          <w:lang w:val="cs-CZ" w:eastAsia="cs-CZ"/>
        </w:rPr>
        <w:t xml:space="preserve">Mikrobiologický ústav AV ČR, </w:t>
      </w:r>
      <w:proofErr w:type="spellStart"/>
      <w:proofErr w:type="gramStart"/>
      <w:r w:rsidRPr="00623256">
        <w:rPr>
          <w:b/>
          <w:color w:val="auto"/>
          <w:sz w:val="20"/>
          <w:szCs w:val="20"/>
          <w:lang w:val="cs-CZ" w:eastAsia="cs-CZ"/>
        </w:rPr>
        <w:t>v.v.</w:t>
      </w:r>
      <w:proofErr w:type="gramEnd"/>
      <w:r w:rsidRPr="00623256">
        <w:rPr>
          <w:b/>
          <w:color w:val="auto"/>
          <w:sz w:val="20"/>
          <w:szCs w:val="20"/>
          <w:lang w:val="cs-CZ" w:eastAsia="cs-CZ"/>
        </w:rPr>
        <w:t>i</w:t>
      </w:r>
      <w:proofErr w:type="spellEnd"/>
      <w:r w:rsidRPr="00623256">
        <w:rPr>
          <w:b/>
          <w:color w:val="auto"/>
          <w:sz w:val="20"/>
          <w:szCs w:val="20"/>
          <w:lang w:val="cs-CZ" w:eastAsia="cs-CZ"/>
        </w:rPr>
        <w:t>.</w:t>
      </w:r>
    </w:p>
    <w:p w:rsidR="008852B1" w:rsidRPr="00623256" w:rsidRDefault="00623256" w:rsidP="006149DE">
      <w:pPr>
        <w:widowControl/>
        <w:spacing w:before="0" w:after="0" w:line="240" w:lineRule="auto"/>
        <w:ind w:left="284"/>
        <w:contextualSpacing w:val="0"/>
        <w:rPr>
          <w:color w:val="auto"/>
          <w:sz w:val="20"/>
          <w:szCs w:val="20"/>
          <w:lang w:val="cs-CZ" w:eastAsia="cs-CZ"/>
        </w:rPr>
      </w:pPr>
      <w:r w:rsidRPr="00623256">
        <w:rPr>
          <w:color w:val="auto"/>
          <w:sz w:val="20"/>
          <w:szCs w:val="20"/>
          <w:lang w:val="cs-CZ" w:eastAsia="cs-CZ"/>
        </w:rPr>
        <w:t>Vídeňská 1083</w:t>
      </w:r>
      <w:r w:rsidR="008852B1" w:rsidRPr="00623256">
        <w:rPr>
          <w:color w:val="auto"/>
          <w:sz w:val="20"/>
          <w:szCs w:val="20"/>
          <w:lang w:val="cs-CZ" w:eastAsia="cs-CZ"/>
        </w:rPr>
        <w:t>,</w:t>
      </w:r>
      <w:r w:rsidRPr="00623256">
        <w:rPr>
          <w:color w:val="auto"/>
          <w:sz w:val="20"/>
          <w:szCs w:val="20"/>
          <w:lang w:val="cs-CZ" w:eastAsia="cs-CZ"/>
        </w:rPr>
        <w:t xml:space="preserve"> 142 00 Praha,</w:t>
      </w:r>
      <w:r w:rsidR="008852B1" w:rsidRPr="00623256">
        <w:rPr>
          <w:color w:val="auto"/>
          <w:sz w:val="20"/>
          <w:szCs w:val="20"/>
          <w:lang w:val="cs-CZ" w:eastAsia="cs-CZ"/>
        </w:rPr>
        <w:t xml:space="preserve"> Česká republika, IČO: </w:t>
      </w:r>
      <w:r w:rsidRPr="00623256">
        <w:rPr>
          <w:color w:val="auto"/>
          <w:sz w:val="20"/>
          <w:szCs w:val="20"/>
          <w:lang w:val="cs-CZ" w:eastAsia="cs-CZ"/>
        </w:rPr>
        <w:t>61388971</w:t>
      </w:r>
    </w:p>
    <w:p w:rsidR="00623256" w:rsidRDefault="00623256" w:rsidP="006149DE">
      <w:pPr>
        <w:widowControl/>
        <w:spacing w:before="0" w:after="0" w:line="240" w:lineRule="auto"/>
        <w:ind w:left="284"/>
        <w:contextualSpacing w:val="0"/>
        <w:rPr>
          <w:color w:val="auto"/>
          <w:sz w:val="20"/>
          <w:szCs w:val="20"/>
          <w:lang w:val="cs-CZ" w:eastAsia="cs-CZ"/>
        </w:rPr>
      </w:pPr>
      <w:r w:rsidRPr="00623256">
        <w:rPr>
          <w:color w:val="auto"/>
          <w:sz w:val="20"/>
          <w:szCs w:val="20"/>
          <w:lang w:val="cs-CZ" w:eastAsia="cs-CZ"/>
        </w:rPr>
        <w:t>Veřejná výzkumná instituce</w:t>
      </w:r>
    </w:p>
    <w:p w:rsidR="008852B1" w:rsidRPr="00623256" w:rsidRDefault="00623256" w:rsidP="006149DE">
      <w:pPr>
        <w:widowControl/>
        <w:spacing w:before="0" w:after="0" w:line="240" w:lineRule="auto"/>
        <w:ind w:left="284"/>
        <w:contextualSpacing w:val="0"/>
        <w:rPr>
          <w:color w:val="auto"/>
          <w:sz w:val="20"/>
          <w:szCs w:val="20"/>
          <w:lang w:val="cs-CZ" w:eastAsia="cs-CZ"/>
        </w:rPr>
      </w:pPr>
      <w:r>
        <w:rPr>
          <w:color w:val="auto"/>
          <w:sz w:val="20"/>
          <w:szCs w:val="20"/>
          <w:lang w:val="cs-CZ" w:eastAsia="cs-CZ"/>
        </w:rPr>
        <w:t xml:space="preserve">Společnost je zastoupená </w:t>
      </w:r>
      <w:r w:rsidR="00917FAA" w:rsidRPr="00917FAA">
        <w:rPr>
          <w:color w:val="auto"/>
          <w:sz w:val="20"/>
          <w:szCs w:val="20"/>
          <w:lang w:val="cs-CZ" w:eastAsia="cs-CZ"/>
        </w:rPr>
        <w:t>Ing. Jiří</w:t>
      </w:r>
      <w:r w:rsidR="00EC05E7">
        <w:rPr>
          <w:color w:val="auto"/>
          <w:sz w:val="20"/>
          <w:szCs w:val="20"/>
          <w:lang w:val="cs-CZ" w:eastAsia="cs-CZ"/>
        </w:rPr>
        <w:t>m Hašek</w:t>
      </w:r>
      <w:r w:rsidR="00E1669B">
        <w:rPr>
          <w:color w:val="auto"/>
          <w:sz w:val="20"/>
          <w:szCs w:val="20"/>
          <w:lang w:val="cs-CZ" w:eastAsia="cs-CZ"/>
        </w:rPr>
        <w:t>, CSc., ředitel</w:t>
      </w:r>
    </w:p>
    <w:p w:rsidR="008852B1" w:rsidRPr="00D81FCF" w:rsidRDefault="008852B1" w:rsidP="006149DE">
      <w:pPr>
        <w:widowControl/>
        <w:spacing w:before="0" w:after="0" w:line="240" w:lineRule="auto"/>
        <w:ind w:left="284"/>
        <w:contextualSpacing w:val="0"/>
        <w:rPr>
          <w:color w:val="auto"/>
          <w:sz w:val="20"/>
          <w:szCs w:val="20"/>
          <w:lang w:val="cs-CZ" w:eastAsia="cs-CZ"/>
        </w:rPr>
      </w:pPr>
      <w:r w:rsidRPr="00D81FCF">
        <w:rPr>
          <w:color w:val="auto"/>
          <w:sz w:val="20"/>
          <w:szCs w:val="20"/>
          <w:lang w:val="cs-CZ" w:eastAsia="cs-CZ"/>
        </w:rPr>
        <w:t>(dále jen „pojistník“)</w:t>
      </w:r>
    </w:p>
    <w:p w:rsidR="008852B1" w:rsidRDefault="008852B1" w:rsidP="006149DE">
      <w:pPr>
        <w:widowControl/>
        <w:spacing w:before="0" w:after="0" w:line="240" w:lineRule="auto"/>
        <w:ind w:left="284"/>
        <w:contextualSpacing w:val="0"/>
        <w:rPr>
          <w:color w:val="auto"/>
          <w:sz w:val="20"/>
          <w:szCs w:val="20"/>
          <w:lang w:val="cs-CZ" w:eastAsia="cs-CZ"/>
        </w:rPr>
      </w:pPr>
    </w:p>
    <w:p w:rsidR="00766A2F" w:rsidRPr="00D81FCF" w:rsidRDefault="00766A2F" w:rsidP="006149DE">
      <w:pPr>
        <w:widowControl/>
        <w:spacing w:before="0" w:after="0" w:line="240" w:lineRule="auto"/>
        <w:ind w:left="284"/>
        <w:contextualSpacing w:val="0"/>
        <w:rPr>
          <w:color w:val="auto"/>
          <w:sz w:val="20"/>
          <w:szCs w:val="20"/>
          <w:lang w:val="cs-CZ" w:eastAsia="cs-CZ"/>
        </w:rPr>
      </w:pPr>
    </w:p>
    <w:p w:rsidR="008852B1" w:rsidRPr="008A5328" w:rsidRDefault="008852B1" w:rsidP="006149DE">
      <w:pPr>
        <w:widowControl/>
        <w:spacing w:before="0" w:after="0" w:line="240" w:lineRule="auto"/>
        <w:ind w:left="284"/>
        <w:contextualSpacing w:val="0"/>
        <w:rPr>
          <w:b/>
          <w:color w:val="auto"/>
          <w:sz w:val="20"/>
          <w:szCs w:val="20"/>
          <w:lang w:val="cs-CZ" w:eastAsia="cs-CZ"/>
        </w:rPr>
      </w:pPr>
      <w:r w:rsidRPr="00D81FCF">
        <w:rPr>
          <w:color w:val="auto"/>
          <w:sz w:val="20"/>
          <w:szCs w:val="20"/>
          <w:lang w:val="cs-CZ" w:eastAsia="cs-CZ"/>
        </w:rPr>
        <w:t xml:space="preserve">uzavírají </w:t>
      </w:r>
      <w:r w:rsidR="00BE7EDE">
        <w:rPr>
          <w:color w:val="auto"/>
          <w:sz w:val="20"/>
          <w:szCs w:val="20"/>
          <w:lang w:val="cs-CZ" w:eastAsia="cs-CZ"/>
        </w:rPr>
        <w:t>tento dodatek</w:t>
      </w:r>
      <w:r w:rsidR="008A5328" w:rsidRPr="008A5328">
        <w:rPr>
          <w:b/>
          <w:sz w:val="20"/>
          <w:szCs w:val="20"/>
        </w:rPr>
        <w:t xml:space="preserve"> o </w:t>
      </w:r>
      <w:r w:rsidR="007808AB">
        <w:rPr>
          <w:b/>
          <w:sz w:val="20"/>
          <w:szCs w:val="20"/>
        </w:rPr>
        <w:t xml:space="preserve">škodovém pojištění </w:t>
      </w:r>
      <w:r w:rsidR="00530BC9">
        <w:rPr>
          <w:b/>
          <w:sz w:val="20"/>
          <w:szCs w:val="20"/>
        </w:rPr>
        <w:t>elektroniky</w:t>
      </w:r>
      <w:r w:rsidR="008A5328" w:rsidRPr="008A5328">
        <w:rPr>
          <w:b/>
          <w:sz w:val="20"/>
          <w:szCs w:val="20"/>
        </w:rPr>
        <w:t>.</w:t>
      </w:r>
    </w:p>
    <w:p w:rsidR="008852B1" w:rsidRDefault="008852B1" w:rsidP="006149DE">
      <w:pPr>
        <w:widowControl/>
        <w:spacing w:before="0" w:after="0" w:line="240" w:lineRule="auto"/>
        <w:ind w:left="284"/>
        <w:contextualSpacing w:val="0"/>
        <w:rPr>
          <w:color w:val="auto"/>
          <w:sz w:val="20"/>
          <w:szCs w:val="20"/>
          <w:lang w:val="cs-CZ" w:eastAsia="cs-CZ"/>
        </w:rPr>
      </w:pPr>
    </w:p>
    <w:p w:rsidR="00766A2F" w:rsidRPr="000B502C" w:rsidRDefault="00766A2F" w:rsidP="006149DE">
      <w:pPr>
        <w:widowControl/>
        <w:spacing w:before="0" w:after="0" w:line="240" w:lineRule="auto"/>
        <w:ind w:left="284"/>
        <w:contextualSpacing w:val="0"/>
        <w:rPr>
          <w:color w:val="auto"/>
          <w:sz w:val="20"/>
          <w:szCs w:val="20"/>
          <w:lang w:val="cs-CZ" w:eastAsia="cs-CZ"/>
        </w:rPr>
      </w:pPr>
    </w:p>
    <w:p w:rsidR="008852B1" w:rsidRPr="00D81FCF" w:rsidRDefault="008852B1" w:rsidP="006149DE">
      <w:pPr>
        <w:widowControl/>
        <w:spacing w:before="0" w:after="0" w:line="240" w:lineRule="auto"/>
        <w:ind w:left="284"/>
        <w:contextualSpacing w:val="0"/>
        <w:jc w:val="both"/>
        <w:rPr>
          <w:rFonts w:cs="Arial"/>
          <w:b/>
          <w:color w:val="auto"/>
          <w:sz w:val="20"/>
          <w:szCs w:val="20"/>
          <w:lang w:val="cs-CZ" w:eastAsia="cs-CZ"/>
        </w:rPr>
      </w:pPr>
      <w:r w:rsidRPr="00D81FCF">
        <w:rPr>
          <w:rFonts w:cs="Arial"/>
          <w:b/>
          <w:color w:val="auto"/>
          <w:sz w:val="20"/>
          <w:szCs w:val="20"/>
          <w:lang w:val="cs-CZ" w:eastAsia="cs-CZ"/>
        </w:rPr>
        <w:t xml:space="preserve">Pojištěným </w:t>
      </w:r>
      <w:r w:rsidR="00421B4A">
        <w:rPr>
          <w:rFonts w:cs="Arial"/>
          <w:b/>
          <w:color w:val="auto"/>
          <w:sz w:val="20"/>
          <w:szCs w:val="20"/>
          <w:lang w:val="cs-CZ" w:eastAsia="cs-CZ"/>
        </w:rPr>
        <w:t>po</w:t>
      </w:r>
      <w:r w:rsidRPr="00D81FCF">
        <w:rPr>
          <w:rFonts w:cs="Arial"/>
          <w:b/>
          <w:color w:val="auto"/>
          <w:sz w:val="20"/>
          <w:szCs w:val="20"/>
          <w:lang w:val="cs-CZ" w:eastAsia="cs-CZ"/>
        </w:rPr>
        <w:t>dle této pojistné smlouvy je:</w:t>
      </w:r>
    </w:p>
    <w:p w:rsidR="008852B1" w:rsidRPr="000B502C" w:rsidRDefault="008852B1" w:rsidP="006149DE">
      <w:pPr>
        <w:widowControl/>
        <w:spacing w:before="0" w:after="0" w:line="240" w:lineRule="auto"/>
        <w:ind w:left="284"/>
        <w:contextualSpacing w:val="0"/>
        <w:rPr>
          <w:rFonts w:cs="Arial"/>
          <w:color w:val="auto"/>
          <w:sz w:val="20"/>
          <w:szCs w:val="20"/>
          <w:lang w:val="cs-CZ" w:eastAsia="cs-CZ"/>
        </w:rPr>
      </w:pPr>
    </w:p>
    <w:p w:rsidR="00623256" w:rsidRPr="00623256" w:rsidRDefault="00623256" w:rsidP="00623256">
      <w:pPr>
        <w:widowControl/>
        <w:spacing w:before="0" w:after="0" w:line="240" w:lineRule="auto"/>
        <w:ind w:left="284"/>
        <w:contextualSpacing w:val="0"/>
        <w:rPr>
          <w:bCs/>
          <w:color w:val="auto"/>
          <w:sz w:val="20"/>
          <w:szCs w:val="20"/>
          <w:lang w:val="cs-CZ" w:eastAsia="cs-CZ"/>
        </w:rPr>
      </w:pPr>
      <w:r w:rsidRPr="00623256">
        <w:rPr>
          <w:b/>
          <w:color w:val="auto"/>
          <w:sz w:val="20"/>
          <w:szCs w:val="20"/>
          <w:lang w:val="cs-CZ" w:eastAsia="cs-CZ"/>
        </w:rPr>
        <w:t xml:space="preserve">Mikrobiologický ústav AV ČR, </w:t>
      </w:r>
      <w:proofErr w:type="spellStart"/>
      <w:proofErr w:type="gramStart"/>
      <w:r w:rsidRPr="00623256">
        <w:rPr>
          <w:b/>
          <w:color w:val="auto"/>
          <w:sz w:val="20"/>
          <w:szCs w:val="20"/>
          <w:lang w:val="cs-CZ" w:eastAsia="cs-CZ"/>
        </w:rPr>
        <w:t>v.v.</w:t>
      </w:r>
      <w:proofErr w:type="gramEnd"/>
      <w:r w:rsidRPr="00623256">
        <w:rPr>
          <w:b/>
          <w:color w:val="auto"/>
          <w:sz w:val="20"/>
          <w:szCs w:val="20"/>
          <w:lang w:val="cs-CZ" w:eastAsia="cs-CZ"/>
        </w:rPr>
        <w:t>i</w:t>
      </w:r>
      <w:proofErr w:type="spellEnd"/>
      <w:r w:rsidRPr="00623256">
        <w:rPr>
          <w:b/>
          <w:color w:val="auto"/>
          <w:sz w:val="20"/>
          <w:szCs w:val="20"/>
          <w:lang w:val="cs-CZ" w:eastAsia="cs-CZ"/>
        </w:rPr>
        <w:t>.</w:t>
      </w:r>
    </w:p>
    <w:p w:rsidR="00623256" w:rsidRPr="00623256" w:rsidRDefault="00623256" w:rsidP="00623256">
      <w:pPr>
        <w:widowControl/>
        <w:spacing w:before="0" w:after="0" w:line="240" w:lineRule="auto"/>
        <w:ind w:left="284"/>
        <w:contextualSpacing w:val="0"/>
        <w:rPr>
          <w:color w:val="auto"/>
          <w:sz w:val="20"/>
          <w:szCs w:val="20"/>
          <w:lang w:val="cs-CZ" w:eastAsia="cs-CZ"/>
        </w:rPr>
      </w:pPr>
      <w:r w:rsidRPr="00623256">
        <w:rPr>
          <w:color w:val="auto"/>
          <w:sz w:val="20"/>
          <w:szCs w:val="20"/>
          <w:lang w:val="cs-CZ" w:eastAsia="cs-CZ"/>
        </w:rPr>
        <w:t>Vídeňská 1083, 142 00 Praha, Česká republika, IČO: 61388971</w:t>
      </w:r>
    </w:p>
    <w:p w:rsidR="00623256" w:rsidRDefault="00623256" w:rsidP="00623256">
      <w:pPr>
        <w:widowControl/>
        <w:spacing w:before="0" w:after="0" w:line="240" w:lineRule="auto"/>
        <w:ind w:left="284"/>
        <w:contextualSpacing w:val="0"/>
        <w:rPr>
          <w:color w:val="auto"/>
          <w:sz w:val="20"/>
          <w:szCs w:val="20"/>
          <w:lang w:val="cs-CZ" w:eastAsia="cs-CZ"/>
        </w:rPr>
      </w:pPr>
      <w:r w:rsidRPr="00623256">
        <w:rPr>
          <w:color w:val="auto"/>
          <w:sz w:val="20"/>
          <w:szCs w:val="20"/>
          <w:lang w:val="cs-CZ" w:eastAsia="cs-CZ"/>
        </w:rPr>
        <w:t>Veřejná výzkumná instituce</w:t>
      </w:r>
    </w:p>
    <w:p w:rsidR="00623256" w:rsidRPr="00623256" w:rsidRDefault="00623256" w:rsidP="00623256">
      <w:pPr>
        <w:widowControl/>
        <w:spacing w:before="0" w:after="0" w:line="240" w:lineRule="auto"/>
        <w:ind w:left="284"/>
        <w:contextualSpacing w:val="0"/>
        <w:rPr>
          <w:color w:val="auto"/>
          <w:sz w:val="20"/>
          <w:szCs w:val="20"/>
          <w:lang w:val="cs-CZ" w:eastAsia="cs-CZ"/>
        </w:rPr>
      </w:pPr>
      <w:r>
        <w:rPr>
          <w:color w:val="auto"/>
          <w:sz w:val="20"/>
          <w:szCs w:val="20"/>
          <w:lang w:val="cs-CZ" w:eastAsia="cs-CZ"/>
        </w:rPr>
        <w:t xml:space="preserve">Společnost je zastoupená </w:t>
      </w:r>
      <w:r w:rsidR="00BA3428" w:rsidRPr="00917FAA">
        <w:rPr>
          <w:color w:val="auto"/>
          <w:sz w:val="20"/>
          <w:szCs w:val="20"/>
          <w:lang w:val="cs-CZ" w:eastAsia="cs-CZ"/>
        </w:rPr>
        <w:t>Ing. Jiří</w:t>
      </w:r>
      <w:r w:rsidR="00BA3428">
        <w:rPr>
          <w:color w:val="auto"/>
          <w:sz w:val="20"/>
          <w:szCs w:val="20"/>
          <w:lang w:val="cs-CZ" w:eastAsia="cs-CZ"/>
        </w:rPr>
        <w:t>m Hašek, CSc</w:t>
      </w:r>
      <w:r w:rsidR="00E0745A" w:rsidRPr="00E0745A">
        <w:rPr>
          <w:color w:val="auto"/>
          <w:sz w:val="20"/>
          <w:szCs w:val="20"/>
          <w:lang w:val="cs-CZ" w:eastAsia="cs-CZ"/>
        </w:rPr>
        <w:t xml:space="preserve">., </w:t>
      </w:r>
      <w:r w:rsidR="00E1669B">
        <w:rPr>
          <w:color w:val="auto"/>
          <w:sz w:val="20"/>
          <w:szCs w:val="20"/>
          <w:lang w:val="cs-CZ" w:eastAsia="cs-CZ"/>
        </w:rPr>
        <w:t>ředitel</w:t>
      </w:r>
    </w:p>
    <w:p w:rsidR="008852B1" w:rsidRPr="00D81FCF" w:rsidRDefault="008852B1" w:rsidP="00623256">
      <w:pPr>
        <w:widowControl/>
        <w:spacing w:before="0" w:after="0" w:line="240" w:lineRule="auto"/>
        <w:ind w:left="284"/>
        <w:contextualSpacing w:val="0"/>
        <w:rPr>
          <w:color w:val="auto"/>
          <w:sz w:val="20"/>
          <w:szCs w:val="20"/>
          <w:lang w:val="cs-CZ" w:eastAsia="cs-CZ"/>
        </w:rPr>
      </w:pPr>
      <w:r w:rsidRPr="00D81FCF">
        <w:rPr>
          <w:color w:val="auto"/>
          <w:sz w:val="20"/>
          <w:szCs w:val="20"/>
          <w:lang w:val="cs-CZ" w:eastAsia="cs-CZ"/>
        </w:rPr>
        <w:t>(dále jen „pojištěný“)</w:t>
      </w:r>
    </w:p>
    <w:p w:rsidR="008852B1" w:rsidRPr="00D81FCF" w:rsidRDefault="008852B1" w:rsidP="006149DE">
      <w:pPr>
        <w:widowControl/>
        <w:spacing w:before="0" w:after="0" w:line="240" w:lineRule="auto"/>
        <w:ind w:left="284"/>
        <w:contextualSpacing w:val="0"/>
        <w:rPr>
          <w:rFonts w:cs="Arial"/>
          <w:b/>
          <w:color w:val="auto"/>
          <w:sz w:val="20"/>
          <w:szCs w:val="20"/>
          <w:lang w:val="cs-CZ" w:eastAsia="cs-CZ"/>
        </w:rPr>
      </w:pPr>
    </w:p>
    <w:p w:rsidR="008852B1" w:rsidRPr="00D81FCF" w:rsidRDefault="008852B1" w:rsidP="006149DE">
      <w:pPr>
        <w:widowControl/>
        <w:tabs>
          <w:tab w:val="left" w:pos="3900"/>
        </w:tabs>
        <w:spacing w:before="0" w:after="0" w:line="240" w:lineRule="auto"/>
        <w:ind w:left="284"/>
        <w:contextualSpacing w:val="0"/>
        <w:rPr>
          <w:rFonts w:cs="Arial"/>
          <w:b/>
          <w:color w:val="auto"/>
          <w:sz w:val="20"/>
          <w:szCs w:val="20"/>
          <w:lang w:val="cs-CZ" w:eastAsia="cs-CZ"/>
        </w:rPr>
      </w:pPr>
      <w:r w:rsidRPr="00623256">
        <w:rPr>
          <w:rFonts w:cs="Arial"/>
          <w:b/>
          <w:color w:val="auto"/>
          <w:sz w:val="20"/>
          <w:szCs w:val="20"/>
          <w:lang w:val="cs-CZ" w:eastAsia="cs-CZ"/>
        </w:rPr>
        <w:t>Osobou oprávněnou dle této pojistné smlouvy je pojištěný.</w:t>
      </w:r>
    </w:p>
    <w:p w:rsidR="008852B1" w:rsidRPr="00D81FCF" w:rsidRDefault="008852B1" w:rsidP="006149DE">
      <w:pPr>
        <w:widowControl/>
        <w:spacing w:before="0" w:after="0" w:line="240" w:lineRule="auto"/>
        <w:ind w:left="284"/>
        <w:contextualSpacing w:val="0"/>
        <w:rPr>
          <w:rFonts w:cs="Arial"/>
          <w:color w:val="auto"/>
          <w:sz w:val="20"/>
          <w:szCs w:val="20"/>
          <w:lang w:val="cs-CZ" w:eastAsia="cs-CZ"/>
        </w:rPr>
      </w:pPr>
    </w:p>
    <w:p w:rsidR="00623256" w:rsidRDefault="00623256" w:rsidP="00623256">
      <w:pPr>
        <w:widowControl/>
        <w:spacing w:before="0" w:after="120" w:line="240" w:lineRule="auto"/>
        <w:ind w:left="284"/>
        <w:rPr>
          <w:rFonts w:cs="Arial"/>
          <w:b/>
          <w:color w:val="auto"/>
          <w:sz w:val="20"/>
          <w:szCs w:val="20"/>
          <w:lang w:val="cs-CZ" w:eastAsia="cs-CZ"/>
        </w:rPr>
      </w:pPr>
      <w:r>
        <w:rPr>
          <w:rFonts w:cs="Arial"/>
          <w:b/>
          <w:color w:val="auto"/>
          <w:sz w:val="20"/>
          <w:szCs w:val="20"/>
          <w:lang w:val="cs-CZ" w:eastAsia="cs-CZ"/>
        </w:rPr>
        <w:t>Makléřská doložka</w:t>
      </w:r>
    </w:p>
    <w:p w:rsidR="00623256" w:rsidRDefault="00623256" w:rsidP="00623256">
      <w:pPr>
        <w:widowControl/>
        <w:spacing w:before="0" w:after="0" w:line="240" w:lineRule="auto"/>
        <w:ind w:left="284"/>
        <w:rPr>
          <w:rFonts w:cs="Arial"/>
          <w:color w:val="auto"/>
          <w:sz w:val="20"/>
          <w:szCs w:val="20"/>
          <w:lang w:val="cs-CZ" w:eastAsia="cs-CZ"/>
        </w:rPr>
      </w:pPr>
      <w:r>
        <w:rPr>
          <w:rFonts w:cs="Arial"/>
          <w:color w:val="auto"/>
          <w:sz w:val="20"/>
          <w:szCs w:val="20"/>
          <w:lang w:val="cs-CZ" w:eastAsia="cs-CZ"/>
        </w:rPr>
        <w:t>Pojistník prohlašuje, že uzavřel s pojišťovacím makléřem MARSH, s.r.o. se sídlem Na Rybníčku 5, 120 00 Praha 2, Česká republika, IČO: 45306541, agenturní číslo 13024666 (dále jen „zplnomocněný makléř“) smlouvu, na jejímž základě zplnomocněný makléř vykonává pro Pojistníka zprostředkovatelskou činnost v pojišťovnictví a je pověřen správou této pojistné smlouvy. Jednání týkající se této pojistné smlouvy budou prováděna výhradně prostřednictvím zplnomocněného makléře, který je oprávněn přijímat smluvně závazná oznámení a rozhodnutí obou smluvních stran. Písemnosti smluvní strany mající vztah k pojištění sjednanému touto pojistnou smlouvou se považují za doručené doručením na korespondenční adresu druhé smluvní strany. S ohledem na to budou jednání týkající se této pojistné smlouvy prováděna výhradně prostřednictvím zplnomocněného makléře, a to po dobu trvání pojištění nebo do okamžiku, kdy se pojistitel dozví, že plná moc byla odvolána. Pojistník se zavazuje o odvolání plné moci bez odkladu písemně informovat pojistitele.</w:t>
      </w:r>
    </w:p>
    <w:p w:rsidR="00623256" w:rsidRDefault="00623256" w:rsidP="00623256">
      <w:pPr>
        <w:widowControl/>
        <w:spacing w:before="0" w:after="0" w:line="240" w:lineRule="auto"/>
        <w:ind w:left="284"/>
        <w:rPr>
          <w:rFonts w:cs="Arial"/>
          <w:color w:val="auto"/>
          <w:sz w:val="20"/>
          <w:szCs w:val="20"/>
          <w:lang w:val="cs-CZ" w:eastAsia="cs-CZ"/>
        </w:rPr>
      </w:pPr>
    </w:p>
    <w:p w:rsidR="00623256" w:rsidRDefault="00623256" w:rsidP="00623256">
      <w:pPr>
        <w:widowControl/>
        <w:spacing w:before="0" w:after="0" w:line="240" w:lineRule="auto"/>
        <w:ind w:left="284"/>
        <w:rPr>
          <w:rFonts w:cs="Arial"/>
          <w:color w:val="auto"/>
          <w:sz w:val="20"/>
          <w:szCs w:val="20"/>
          <w:lang w:val="cs-CZ" w:eastAsia="cs-CZ"/>
        </w:rPr>
      </w:pPr>
    </w:p>
    <w:p w:rsidR="00623256" w:rsidRDefault="00623256" w:rsidP="00623256">
      <w:pPr>
        <w:widowControl/>
        <w:spacing w:before="0" w:after="120" w:line="240" w:lineRule="auto"/>
        <w:ind w:left="284"/>
        <w:rPr>
          <w:rFonts w:cs="Arial"/>
          <w:b/>
          <w:color w:val="auto"/>
          <w:sz w:val="20"/>
          <w:szCs w:val="20"/>
          <w:lang w:val="cs-CZ" w:eastAsia="cs-CZ"/>
        </w:rPr>
      </w:pPr>
      <w:r>
        <w:rPr>
          <w:rFonts w:cs="Arial"/>
          <w:b/>
          <w:color w:val="auto"/>
          <w:sz w:val="20"/>
          <w:szCs w:val="20"/>
          <w:lang w:val="cs-CZ" w:eastAsia="cs-CZ"/>
        </w:rPr>
        <w:t>Korespondenční adresy</w:t>
      </w:r>
    </w:p>
    <w:p w:rsidR="00623256" w:rsidRDefault="00623256" w:rsidP="00623256">
      <w:pPr>
        <w:widowControl/>
        <w:spacing w:before="0" w:after="0" w:line="240" w:lineRule="auto"/>
        <w:ind w:left="284"/>
        <w:rPr>
          <w:rFonts w:cs="Arial"/>
          <w:color w:val="auto"/>
          <w:sz w:val="20"/>
          <w:szCs w:val="20"/>
          <w:lang w:val="cs-CZ" w:eastAsia="cs-CZ"/>
        </w:rPr>
      </w:pPr>
      <w:r>
        <w:rPr>
          <w:rFonts w:cs="Arial"/>
          <w:color w:val="auto"/>
          <w:sz w:val="20"/>
          <w:szCs w:val="20"/>
          <w:lang w:val="cs-CZ" w:eastAsia="cs-CZ"/>
        </w:rPr>
        <w:t xml:space="preserve">Pojistitel: </w:t>
      </w:r>
      <w:proofErr w:type="spellStart"/>
      <w:r>
        <w:rPr>
          <w:rFonts w:cs="Arial"/>
          <w:color w:val="auto"/>
          <w:sz w:val="20"/>
          <w:szCs w:val="20"/>
          <w:lang w:val="cs-CZ" w:eastAsia="cs-CZ"/>
        </w:rPr>
        <w:t>Generali</w:t>
      </w:r>
      <w:proofErr w:type="spellEnd"/>
      <w:r>
        <w:rPr>
          <w:rFonts w:cs="Arial"/>
          <w:color w:val="auto"/>
          <w:sz w:val="20"/>
          <w:szCs w:val="20"/>
          <w:lang w:val="cs-CZ" w:eastAsia="cs-CZ"/>
        </w:rPr>
        <w:t xml:space="preserve"> Pojišťovna a.s., Na Pankráci 1720/123, 140 21 Praha 4, Česká republika</w:t>
      </w:r>
    </w:p>
    <w:p w:rsidR="00623256" w:rsidRDefault="00623256" w:rsidP="00623256">
      <w:pPr>
        <w:widowControl/>
        <w:spacing w:before="0" w:after="0" w:line="240" w:lineRule="auto"/>
        <w:ind w:left="284"/>
        <w:rPr>
          <w:rFonts w:cs="Arial"/>
          <w:color w:val="auto"/>
          <w:sz w:val="20"/>
          <w:szCs w:val="20"/>
          <w:lang w:val="cs-CZ" w:eastAsia="cs-CZ"/>
        </w:rPr>
      </w:pPr>
      <w:r>
        <w:rPr>
          <w:rFonts w:cs="Arial"/>
          <w:color w:val="auto"/>
          <w:sz w:val="20"/>
          <w:szCs w:val="20"/>
          <w:lang w:val="cs-CZ" w:eastAsia="cs-CZ"/>
        </w:rPr>
        <w:t>Pojistník: na makléře: MARSH, s.r.o., Vinohradská 2828/151, 130 00 Praha 3, Česká republika</w:t>
      </w:r>
    </w:p>
    <w:p w:rsidR="00015409" w:rsidRPr="00015409" w:rsidRDefault="00015409" w:rsidP="00015409">
      <w:pPr>
        <w:widowControl/>
        <w:tabs>
          <w:tab w:val="right" w:pos="9072"/>
        </w:tabs>
        <w:spacing w:before="0" w:after="0" w:line="240" w:lineRule="auto"/>
        <w:contextualSpacing w:val="0"/>
        <w:rPr>
          <w:color w:val="auto"/>
          <w:sz w:val="20"/>
          <w:szCs w:val="20"/>
          <w:lang w:val="cs-CZ" w:eastAsia="cs-CZ"/>
        </w:rPr>
      </w:pPr>
      <w:r w:rsidRPr="00015409">
        <w:rPr>
          <w:color w:val="auto"/>
          <w:sz w:val="20"/>
          <w:szCs w:val="20"/>
          <w:lang w:val="cs-CZ" w:eastAsia="cs-CZ"/>
        </w:rPr>
        <w:br w:type="page"/>
      </w:r>
    </w:p>
    <w:p w:rsidR="00530BC9" w:rsidRPr="009E495B" w:rsidRDefault="009E495B" w:rsidP="006149DE">
      <w:pPr>
        <w:spacing w:after="0" w:line="240" w:lineRule="auto"/>
        <w:ind w:left="993"/>
        <w:rPr>
          <w:rFonts w:cs="Arial"/>
          <w:b/>
          <w:sz w:val="20"/>
          <w:szCs w:val="20"/>
        </w:rPr>
      </w:pPr>
      <w:r w:rsidRPr="009E495B">
        <w:rPr>
          <w:rFonts w:cs="Arial"/>
          <w:b/>
          <w:sz w:val="20"/>
          <w:szCs w:val="20"/>
        </w:rPr>
        <w:lastRenderedPageBreak/>
        <w:t xml:space="preserve">Úvodní ustanovení: </w:t>
      </w:r>
    </w:p>
    <w:p w:rsidR="009E495B" w:rsidRDefault="009E495B" w:rsidP="006149DE">
      <w:pPr>
        <w:spacing w:after="0" w:line="240" w:lineRule="auto"/>
        <w:ind w:left="993"/>
        <w:rPr>
          <w:rFonts w:cs="Arial"/>
          <w:sz w:val="20"/>
          <w:szCs w:val="20"/>
        </w:rPr>
      </w:pPr>
      <w:r>
        <w:rPr>
          <w:rFonts w:cs="Arial"/>
          <w:sz w:val="20"/>
          <w:szCs w:val="20"/>
        </w:rPr>
        <w:t xml:space="preserve">Tímto dodatkem se s účinností od 11.02.2019 aktualizuje seznam elektroniky viz. Příloha č. 1. </w:t>
      </w:r>
    </w:p>
    <w:p w:rsidR="009E495B" w:rsidRDefault="009E495B" w:rsidP="009E495B">
      <w:pPr>
        <w:spacing w:after="0" w:line="240" w:lineRule="auto"/>
        <w:rPr>
          <w:rFonts w:cs="Arial"/>
          <w:sz w:val="20"/>
          <w:szCs w:val="20"/>
        </w:rPr>
      </w:pPr>
    </w:p>
    <w:p w:rsidR="00530BC9" w:rsidRDefault="00530BC9" w:rsidP="00623256">
      <w:pPr>
        <w:widowControl/>
        <w:spacing w:before="0" w:after="120" w:line="240" w:lineRule="auto"/>
        <w:ind w:left="993" w:hanging="709"/>
        <w:contextualSpacing w:val="0"/>
        <w:rPr>
          <w:rFonts w:cs="Arial"/>
          <w:sz w:val="20"/>
          <w:szCs w:val="20"/>
        </w:rPr>
      </w:pPr>
    </w:p>
    <w:p w:rsidR="00530BC9" w:rsidRDefault="00BE7EDE" w:rsidP="00DF18B6">
      <w:pPr>
        <w:spacing w:after="0" w:line="240" w:lineRule="auto"/>
        <w:rPr>
          <w:rFonts w:cs="Arial"/>
          <w:sz w:val="20"/>
          <w:szCs w:val="20"/>
        </w:rPr>
      </w:pPr>
      <w:r>
        <w:rPr>
          <w:rFonts w:cs="Arial"/>
          <w:sz w:val="20"/>
          <w:szCs w:val="20"/>
        </w:rPr>
        <w:t>Nové znění čl. 3</w:t>
      </w:r>
    </w:p>
    <w:p w:rsidR="00DF18B6" w:rsidRPr="00BE7EDE" w:rsidRDefault="00BE7EDE" w:rsidP="00BE7EDE">
      <w:pPr>
        <w:pStyle w:val="Odstavecseseznamem"/>
        <w:widowControl/>
        <w:numPr>
          <w:ilvl w:val="0"/>
          <w:numId w:val="42"/>
        </w:numPr>
        <w:spacing w:before="0" w:after="120" w:line="240" w:lineRule="auto"/>
        <w:contextualSpacing w:val="0"/>
        <w:rPr>
          <w:rFonts w:cs="Arial"/>
          <w:b/>
          <w:sz w:val="20"/>
          <w:szCs w:val="20"/>
        </w:rPr>
      </w:pPr>
      <w:r>
        <w:rPr>
          <w:rFonts w:cs="Arial"/>
          <w:b/>
          <w:sz w:val="20"/>
          <w:szCs w:val="20"/>
        </w:rPr>
        <w:t xml:space="preserve">    </w:t>
      </w:r>
      <w:r w:rsidR="00DF18B6" w:rsidRPr="00BE7EDE">
        <w:rPr>
          <w:rFonts w:cs="Arial"/>
          <w:b/>
          <w:sz w:val="20"/>
          <w:szCs w:val="20"/>
        </w:rPr>
        <w:t xml:space="preserve">Předmět pojištění, pojistné částky </w:t>
      </w:r>
    </w:p>
    <w:p w:rsidR="00DF18B6" w:rsidRDefault="007A3CA2" w:rsidP="006149DE">
      <w:pPr>
        <w:widowControl/>
        <w:spacing w:before="0" w:after="120" w:line="240" w:lineRule="auto"/>
        <w:ind w:left="993" w:hanging="709"/>
        <w:contextualSpacing w:val="0"/>
        <w:rPr>
          <w:rFonts w:cs="Arial"/>
          <w:b/>
          <w:sz w:val="20"/>
          <w:szCs w:val="20"/>
        </w:rPr>
      </w:pPr>
      <w:r>
        <w:rPr>
          <w:rFonts w:cs="Arial"/>
          <w:b/>
          <w:sz w:val="20"/>
          <w:szCs w:val="20"/>
        </w:rPr>
        <w:t>3.1.</w:t>
      </w:r>
      <w:r>
        <w:rPr>
          <w:rFonts w:cs="Arial"/>
          <w:b/>
          <w:sz w:val="20"/>
          <w:szCs w:val="20"/>
        </w:rPr>
        <w:tab/>
      </w:r>
      <w:r w:rsidR="00DF18B6">
        <w:rPr>
          <w:rFonts w:cs="Arial"/>
          <w:b/>
          <w:sz w:val="20"/>
          <w:szCs w:val="20"/>
        </w:rPr>
        <w:t xml:space="preserve">Pojištění </w:t>
      </w:r>
      <w:r w:rsidR="000C2E94">
        <w:rPr>
          <w:rFonts w:cs="Arial"/>
          <w:b/>
          <w:sz w:val="20"/>
          <w:szCs w:val="20"/>
        </w:rPr>
        <w:t>věcných škod</w:t>
      </w:r>
    </w:p>
    <w:p w:rsidR="00DF18B6" w:rsidRDefault="00DF18B6" w:rsidP="000323CA">
      <w:pPr>
        <w:spacing w:after="120"/>
        <w:ind w:left="993"/>
        <w:rPr>
          <w:rFonts w:cs="Arial"/>
          <w:sz w:val="20"/>
          <w:szCs w:val="20"/>
        </w:rPr>
      </w:pPr>
      <w:r w:rsidRPr="00687E32">
        <w:rPr>
          <w:rFonts w:cs="Arial"/>
          <w:sz w:val="20"/>
          <w:szCs w:val="20"/>
        </w:rPr>
        <w:t>Pojištění je uzavřeno pro věci uvedené v </w:t>
      </w:r>
      <w:r w:rsidR="00623256">
        <w:rPr>
          <w:rFonts w:cs="Arial"/>
          <w:sz w:val="20"/>
          <w:szCs w:val="20"/>
        </w:rPr>
        <w:t>příloze č. 1 této smlouvy.</w:t>
      </w:r>
    </w:p>
    <w:p w:rsidR="00DF18B6" w:rsidRPr="000F4A00" w:rsidRDefault="00623256" w:rsidP="000F4A00">
      <w:pPr>
        <w:spacing w:after="120"/>
        <w:ind w:left="993"/>
        <w:rPr>
          <w:rFonts w:cs="Arial"/>
          <w:b/>
          <w:sz w:val="20"/>
          <w:szCs w:val="20"/>
        </w:rPr>
      </w:pPr>
      <w:r w:rsidRPr="00623256">
        <w:rPr>
          <w:rFonts w:cs="Arial"/>
          <w:b/>
          <w:sz w:val="20"/>
          <w:szCs w:val="20"/>
        </w:rPr>
        <w:t xml:space="preserve">Ceková pojistná částka </w:t>
      </w:r>
      <w:r w:rsidR="00742C67">
        <w:rPr>
          <w:rFonts w:cs="Arial"/>
          <w:b/>
          <w:sz w:val="20"/>
          <w:szCs w:val="20"/>
        </w:rPr>
        <w:t>138 645 646</w:t>
      </w:r>
      <w:bookmarkStart w:id="0" w:name="_GoBack"/>
      <w:bookmarkEnd w:id="0"/>
      <w:r w:rsidRPr="00623256">
        <w:rPr>
          <w:rFonts w:cs="Arial"/>
          <w:b/>
          <w:sz w:val="20"/>
          <w:szCs w:val="20"/>
        </w:rPr>
        <w:t>,- Kč</w:t>
      </w:r>
    </w:p>
    <w:p w:rsidR="00DF18B6" w:rsidRDefault="00154F51" w:rsidP="000F4A00">
      <w:pPr>
        <w:spacing w:after="0"/>
        <w:ind w:left="993"/>
        <w:rPr>
          <w:rFonts w:cs="Arial"/>
          <w:iCs/>
          <w:sz w:val="20"/>
          <w:szCs w:val="20"/>
        </w:rPr>
      </w:pPr>
      <w:r w:rsidRPr="00623256">
        <w:rPr>
          <w:rFonts w:cs="Arial"/>
          <w:iCs/>
          <w:sz w:val="20"/>
          <w:szCs w:val="20"/>
        </w:rPr>
        <w:t xml:space="preserve">Hodnoty jsou uvedeny bez DPH a představují novou cenu dle </w:t>
      </w:r>
      <w:r w:rsidR="00DD38D4" w:rsidRPr="00623256">
        <w:rPr>
          <w:rFonts w:cs="Arial"/>
          <w:iCs/>
          <w:sz w:val="20"/>
          <w:szCs w:val="20"/>
        </w:rPr>
        <w:t xml:space="preserve">oddílu I. </w:t>
      </w:r>
      <w:r w:rsidRPr="00623256">
        <w:rPr>
          <w:rFonts w:cs="Arial"/>
          <w:iCs/>
          <w:sz w:val="20"/>
          <w:szCs w:val="20"/>
        </w:rPr>
        <w:t xml:space="preserve">čl. 2 odst. 1 ZPP </w:t>
      </w:r>
      <w:r w:rsidR="00DD38D4" w:rsidRPr="00623256">
        <w:rPr>
          <w:rFonts w:cs="Arial"/>
          <w:iCs/>
          <w:sz w:val="20"/>
          <w:szCs w:val="20"/>
        </w:rPr>
        <w:t>E</w:t>
      </w:r>
      <w:r w:rsidRPr="00623256">
        <w:rPr>
          <w:rFonts w:cs="Arial"/>
          <w:iCs/>
          <w:sz w:val="20"/>
          <w:szCs w:val="20"/>
        </w:rPr>
        <w:t xml:space="preserve"> 2014/01.</w:t>
      </w:r>
    </w:p>
    <w:p w:rsidR="000F4A00" w:rsidRDefault="000F4A00" w:rsidP="000F4A00">
      <w:pPr>
        <w:spacing w:after="0"/>
        <w:ind w:left="993"/>
        <w:rPr>
          <w:rFonts w:cs="Arial"/>
          <w:iCs/>
          <w:sz w:val="20"/>
          <w:szCs w:val="20"/>
        </w:rPr>
      </w:pPr>
    </w:p>
    <w:p w:rsidR="0026125F" w:rsidRPr="00127F24" w:rsidRDefault="00BE7EDE" w:rsidP="00DF18B6">
      <w:pPr>
        <w:spacing w:after="0"/>
        <w:jc w:val="both"/>
        <w:rPr>
          <w:rFonts w:cs="Arial"/>
          <w:iCs/>
          <w:sz w:val="20"/>
          <w:szCs w:val="20"/>
        </w:rPr>
      </w:pPr>
      <w:r>
        <w:rPr>
          <w:rFonts w:cs="Arial"/>
          <w:iCs/>
          <w:sz w:val="20"/>
          <w:szCs w:val="20"/>
        </w:rPr>
        <w:t>Nové znění čl. 7</w:t>
      </w:r>
    </w:p>
    <w:p w:rsidR="00DF18B6" w:rsidRPr="00BE7EDE" w:rsidRDefault="00BE7EDE" w:rsidP="00BE7EDE">
      <w:pPr>
        <w:pStyle w:val="Odstavecseseznamem"/>
        <w:widowControl/>
        <w:numPr>
          <w:ilvl w:val="0"/>
          <w:numId w:val="43"/>
        </w:numPr>
        <w:spacing w:before="0" w:after="120" w:line="240" w:lineRule="auto"/>
        <w:contextualSpacing w:val="0"/>
        <w:rPr>
          <w:rFonts w:cs="Arial"/>
          <w:b/>
          <w:sz w:val="20"/>
          <w:szCs w:val="20"/>
        </w:rPr>
      </w:pPr>
      <w:r>
        <w:rPr>
          <w:rFonts w:cs="Arial"/>
          <w:b/>
          <w:sz w:val="20"/>
          <w:szCs w:val="20"/>
        </w:rPr>
        <w:t xml:space="preserve">     </w:t>
      </w:r>
      <w:r w:rsidR="00DF18B6" w:rsidRPr="00BE7EDE">
        <w:rPr>
          <w:rFonts w:cs="Arial"/>
          <w:b/>
          <w:sz w:val="20"/>
          <w:szCs w:val="20"/>
        </w:rPr>
        <w:t>Pojistné a spoluúčast</w:t>
      </w:r>
    </w:p>
    <w:tbl>
      <w:tblPr>
        <w:tblStyle w:val="Mkatabulky"/>
        <w:tblW w:w="9781"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7938"/>
        <w:gridCol w:w="1843"/>
      </w:tblGrid>
      <w:tr w:rsidR="00AB03C4" w:rsidRPr="00BF430C" w:rsidTr="00AB03C4">
        <w:trPr>
          <w:trHeight w:val="397"/>
        </w:trPr>
        <w:tc>
          <w:tcPr>
            <w:tcW w:w="7938" w:type="dxa"/>
            <w:tcBorders>
              <w:top w:val="single" w:sz="12" w:space="0" w:color="C21B17"/>
              <w:bottom w:val="single" w:sz="4" w:space="0" w:color="000000" w:themeColor="text1"/>
            </w:tcBorders>
            <w:shd w:val="clear" w:color="auto" w:fill="auto"/>
            <w:vAlign w:val="center"/>
          </w:tcPr>
          <w:p w:rsidR="00AB03C4" w:rsidRPr="00BF430C" w:rsidRDefault="00AB03C4" w:rsidP="0070643B">
            <w:pPr>
              <w:rPr>
                <w:rFonts w:cs="Arial"/>
                <w:color w:val="auto"/>
                <w:szCs w:val="18"/>
              </w:rPr>
            </w:pPr>
            <w:r w:rsidRPr="00E8205A">
              <w:rPr>
                <w:rFonts w:cs="Arial"/>
                <w:szCs w:val="20"/>
              </w:rPr>
              <w:t>Spoluúčast pro věcné škody na elektronice dle oddílu I. ZPP E 2014/01</w:t>
            </w:r>
          </w:p>
        </w:tc>
        <w:tc>
          <w:tcPr>
            <w:tcW w:w="1843" w:type="dxa"/>
            <w:tcBorders>
              <w:top w:val="single" w:sz="12" w:space="0" w:color="C21B17"/>
              <w:bottom w:val="single" w:sz="4" w:space="0" w:color="000000" w:themeColor="text1"/>
            </w:tcBorders>
            <w:shd w:val="clear" w:color="auto" w:fill="F2F2F2" w:themeFill="background1" w:themeFillShade="F2"/>
            <w:vAlign w:val="center"/>
          </w:tcPr>
          <w:p w:rsidR="00AB03C4" w:rsidRPr="00E477A2" w:rsidRDefault="00BE3781" w:rsidP="00917FAA">
            <w:pPr>
              <w:rPr>
                <w:rFonts w:cs="Arial"/>
                <w:color w:val="C21B17"/>
                <w:szCs w:val="18"/>
              </w:rPr>
            </w:pPr>
            <w:r>
              <w:rPr>
                <w:rFonts w:cs="Arial"/>
                <w:color w:val="C21B17"/>
                <w:szCs w:val="18"/>
              </w:rPr>
              <w:t>20 000Kč</w:t>
            </w:r>
          </w:p>
        </w:tc>
      </w:tr>
      <w:tr w:rsidR="00AB03C4" w:rsidRPr="00BF430C" w:rsidTr="00AB03C4">
        <w:trPr>
          <w:trHeight w:val="397"/>
        </w:trPr>
        <w:tc>
          <w:tcPr>
            <w:tcW w:w="7938" w:type="dxa"/>
            <w:shd w:val="clear" w:color="auto" w:fill="auto"/>
            <w:vAlign w:val="center"/>
          </w:tcPr>
          <w:p w:rsidR="00AB03C4" w:rsidRPr="00D4091C" w:rsidRDefault="00AB03C4" w:rsidP="00D4091C">
            <w:pPr>
              <w:rPr>
                <w:rFonts w:cs="Arial"/>
                <w:color w:val="auto"/>
                <w:szCs w:val="18"/>
              </w:rPr>
            </w:pPr>
            <w:r w:rsidRPr="00D4091C">
              <w:rPr>
                <w:rFonts w:cs="Arial"/>
                <w:szCs w:val="20"/>
              </w:rPr>
              <w:t>Limit pojistného plnění (roční pro jednu a všechny škody)</w:t>
            </w:r>
          </w:p>
        </w:tc>
        <w:tc>
          <w:tcPr>
            <w:tcW w:w="1843" w:type="dxa"/>
            <w:shd w:val="clear" w:color="auto" w:fill="F2F2F2" w:themeFill="background1" w:themeFillShade="F2"/>
            <w:vAlign w:val="center"/>
          </w:tcPr>
          <w:p w:rsidR="00AB03C4" w:rsidRDefault="00BE3781" w:rsidP="00917FAA">
            <w:r>
              <w:rPr>
                <w:rFonts w:cs="Arial"/>
                <w:color w:val="C21B17"/>
                <w:szCs w:val="18"/>
              </w:rPr>
              <w:t>20</w:t>
            </w:r>
            <w:r w:rsidR="004051BB">
              <w:rPr>
                <w:rFonts w:cs="Arial"/>
                <w:color w:val="C21B17"/>
                <w:szCs w:val="18"/>
              </w:rPr>
              <w:t> </w:t>
            </w:r>
            <w:r>
              <w:rPr>
                <w:rFonts w:cs="Arial"/>
                <w:color w:val="C21B17"/>
                <w:szCs w:val="18"/>
              </w:rPr>
              <w:t>000</w:t>
            </w:r>
            <w:r w:rsidR="004051BB">
              <w:rPr>
                <w:rFonts w:cs="Arial"/>
                <w:color w:val="C21B17"/>
                <w:szCs w:val="18"/>
              </w:rPr>
              <w:t xml:space="preserve"> </w:t>
            </w:r>
            <w:r>
              <w:rPr>
                <w:rFonts w:cs="Arial"/>
                <w:color w:val="C21B17"/>
                <w:szCs w:val="18"/>
              </w:rPr>
              <w:t>0</w:t>
            </w:r>
            <w:r w:rsidR="004051BB">
              <w:rPr>
                <w:rFonts w:cs="Arial"/>
                <w:color w:val="C21B17"/>
                <w:szCs w:val="18"/>
              </w:rPr>
              <w:t>00</w:t>
            </w:r>
            <w:r w:rsidR="00D4091C">
              <w:rPr>
                <w:rFonts w:cs="Arial"/>
                <w:color w:val="C21B17"/>
                <w:szCs w:val="18"/>
              </w:rPr>
              <w:t xml:space="preserve"> Kč</w:t>
            </w:r>
          </w:p>
        </w:tc>
      </w:tr>
      <w:tr w:rsidR="00AB03C4" w:rsidRPr="00BF430C" w:rsidTr="00AB03C4">
        <w:trPr>
          <w:trHeight w:val="397"/>
        </w:trPr>
        <w:tc>
          <w:tcPr>
            <w:tcW w:w="7938" w:type="dxa"/>
            <w:shd w:val="clear" w:color="auto" w:fill="auto"/>
            <w:vAlign w:val="center"/>
          </w:tcPr>
          <w:p w:rsidR="00AB03C4" w:rsidRPr="00D4091C" w:rsidRDefault="00AB03C4" w:rsidP="0070643B">
            <w:pPr>
              <w:rPr>
                <w:rFonts w:cs="Arial"/>
                <w:color w:val="C21B17"/>
                <w:szCs w:val="18"/>
              </w:rPr>
            </w:pPr>
            <w:r w:rsidRPr="00D4091C">
              <w:rPr>
                <w:rFonts w:cs="Arial"/>
                <w:b/>
                <w:szCs w:val="18"/>
              </w:rPr>
              <w:t>Celkové roční pojistné</w:t>
            </w:r>
          </w:p>
        </w:tc>
        <w:tc>
          <w:tcPr>
            <w:tcW w:w="1843" w:type="dxa"/>
            <w:shd w:val="clear" w:color="auto" w:fill="F2F2F2" w:themeFill="background1" w:themeFillShade="F2"/>
            <w:vAlign w:val="center"/>
          </w:tcPr>
          <w:p w:rsidR="00AB03C4" w:rsidRPr="00AB03C4" w:rsidRDefault="009E495B" w:rsidP="0070643B">
            <w:pPr>
              <w:rPr>
                <w:b/>
              </w:rPr>
            </w:pPr>
            <w:r>
              <w:rPr>
                <w:rFonts w:cs="Arial"/>
                <w:b/>
                <w:color w:val="C21B17"/>
                <w:szCs w:val="18"/>
              </w:rPr>
              <w:t>124 781</w:t>
            </w:r>
            <w:r w:rsidR="00D4091C">
              <w:rPr>
                <w:rFonts w:cs="Arial"/>
                <w:b/>
                <w:color w:val="C21B17"/>
                <w:szCs w:val="18"/>
              </w:rPr>
              <w:t xml:space="preserve"> Kč</w:t>
            </w:r>
          </w:p>
        </w:tc>
      </w:tr>
      <w:tr w:rsidR="00AB03C4" w:rsidRPr="00BF430C" w:rsidTr="00AB03C4">
        <w:trPr>
          <w:trHeight w:val="397"/>
        </w:trPr>
        <w:tc>
          <w:tcPr>
            <w:tcW w:w="7938" w:type="dxa"/>
            <w:shd w:val="clear" w:color="auto" w:fill="auto"/>
            <w:vAlign w:val="center"/>
          </w:tcPr>
          <w:p w:rsidR="00AB03C4" w:rsidRPr="00D4091C" w:rsidRDefault="00AB03C4" w:rsidP="00D4091C">
            <w:pPr>
              <w:rPr>
                <w:rFonts w:cs="Arial"/>
                <w:b/>
                <w:szCs w:val="18"/>
              </w:rPr>
            </w:pPr>
            <w:r w:rsidRPr="00D4091C">
              <w:rPr>
                <w:rFonts w:cs="Arial"/>
                <w:b/>
                <w:szCs w:val="18"/>
              </w:rPr>
              <w:t xml:space="preserve">Sleva na pojistném za </w:t>
            </w:r>
            <w:r w:rsidR="00917FAA">
              <w:rPr>
                <w:rFonts w:cs="Arial"/>
                <w:b/>
                <w:szCs w:val="18"/>
              </w:rPr>
              <w:t>dlouhodobost 3 roky X</w:t>
            </w:r>
            <w:r w:rsidR="00D4091C" w:rsidRPr="00D4091C">
              <w:rPr>
                <w:rFonts w:cs="Arial"/>
                <w:b/>
                <w:szCs w:val="18"/>
              </w:rPr>
              <w:t>%</w:t>
            </w:r>
          </w:p>
        </w:tc>
        <w:tc>
          <w:tcPr>
            <w:tcW w:w="1843" w:type="dxa"/>
            <w:shd w:val="clear" w:color="auto" w:fill="F2F2F2" w:themeFill="background1" w:themeFillShade="F2"/>
            <w:vAlign w:val="center"/>
          </w:tcPr>
          <w:p w:rsidR="00AB03C4" w:rsidRPr="00AB03C4" w:rsidRDefault="004051BB" w:rsidP="00917FAA">
            <w:pPr>
              <w:rPr>
                <w:b/>
              </w:rPr>
            </w:pPr>
            <w:r>
              <w:rPr>
                <w:rFonts w:cs="Arial"/>
                <w:b/>
                <w:color w:val="C21B17"/>
                <w:szCs w:val="18"/>
              </w:rPr>
              <w:t>6 239</w:t>
            </w:r>
            <w:r w:rsidR="00D4091C" w:rsidRPr="00D4091C">
              <w:rPr>
                <w:rFonts w:cs="Arial"/>
                <w:b/>
                <w:color w:val="C21B17"/>
                <w:szCs w:val="18"/>
              </w:rPr>
              <w:t xml:space="preserve"> Kč</w:t>
            </w:r>
          </w:p>
        </w:tc>
      </w:tr>
      <w:tr w:rsidR="00AB03C4" w:rsidRPr="00BF430C" w:rsidTr="00AB03C4">
        <w:trPr>
          <w:trHeight w:val="397"/>
        </w:trPr>
        <w:tc>
          <w:tcPr>
            <w:tcW w:w="7938" w:type="dxa"/>
            <w:shd w:val="clear" w:color="auto" w:fill="auto"/>
            <w:vAlign w:val="center"/>
          </w:tcPr>
          <w:p w:rsidR="00AB03C4" w:rsidRPr="00D4091C" w:rsidRDefault="00AB03C4" w:rsidP="0070643B">
            <w:pPr>
              <w:rPr>
                <w:rFonts w:cs="Arial"/>
                <w:b/>
                <w:szCs w:val="18"/>
              </w:rPr>
            </w:pPr>
            <w:r w:rsidRPr="00D4091C">
              <w:rPr>
                <w:rFonts w:cs="Arial"/>
                <w:b/>
                <w:szCs w:val="18"/>
              </w:rPr>
              <w:t>Roční pojistné po slevě k úhradě</w:t>
            </w:r>
          </w:p>
        </w:tc>
        <w:tc>
          <w:tcPr>
            <w:tcW w:w="1843" w:type="dxa"/>
            <w:shd w:val="clear" w:color="auto" w:fill="F2F2F2" w:themeFill="background1" w:themeFillShade="F2"/>
            <w:vAlign w:val="center"/>
          </w:tcPr>
          <w:p w:rsidR="00AB03C4" w:rsidRPr="00AB03C4" w:rsidRDefault="009E495B" w:rsidP="00D4091C">
            <w:pPr>
              <w:rPr>
                <w:b/>
              </w:rPr>
            </w:pPr>
            <w:r>
              <w:rPr>
                <w:rFonts w:cs="Arial"/>
                <w:b/>
                <w:color w:val="C21B17"/>
                <w:szCs w:val="18"/>
              </w:rPr>
              <w:t>118 542</w:t>
            </w:r>
            <w:r w:rsidR="00D4091C">
              <w:rPr>
                <w:rFonts w:cs="Arial"/>
                <w:b/>
                <w:color w:val="C21B17"/>
                <w:szCs w:val="18"/>
              </w:rPr>
              <w:t xml:space="preserve"> Kč</w:t>
            </w:r>
          </w:p>
        </w:tc>
      </w:tr>
      <w:tr w:rsidR="00AB03C4" w:rsidRPr="00BF430C" w:rsidTr="00AB03C4">
        <w:trPr>
          <w:trHeight w:val="397"/>
        </w:trPr>
        <w:tc>
          <w:tcPr>
            <w:tcW w:w="7938" w:type="dxa"/>
            <w:shd w:val="clear" w:color="auto" w:fill="auto"/>
            <w:vAlign w:val="center"/>
          </w:tcPr>
          <w:p w:rsidR="00AB03C4" w:rsidRPr="00D4091C" w:rsidRDefault="00AB03C4" w:rsidP="0070643B">
            <w:pPr>
              <w:rPr>
                <w:rFonts w:cs="Arial"/>
                <w:b/>
                <w:szCs w:val="18"/>
              </w:rPr>
            </w:pPr>
            <w:r w:rsidRPr="00D4091C">
              <w:rPr>
                <w:rFonts w:cs="Arial"/>
                <w:b/>
                <w:szCs w:val="18"/>
              </w:rPr>
              <w:t>Počet splátek pojistného</w:t>
            </w:r>
          </w:p>
        </w:tc>
        <w:tc>
          <w:tcPr>
            <w:tcW w:w="1843" w:type="dxa"/>
            <w:shd w:val="clear" w:color="auto" w:fill="F2F2F2" w:themeFill="background1" w:themeFillShade="F2"/>
            <w:vAlign w:val="center"/>
          </w:tcPr>
          <w:p w:rsidR="00AB03C4" w:rsidRPr="00AB03C4" w:rsidRDefault="00D4091C" w:rsidP="0070643B">
            <w:pPr>
              <w:rPr>
                <w:b/>
              </w:rPr>
            </w:pPr>
            <w:r>
              <w:rPr>
                <w:rFonts w:cs="Arial"/>
                <w:b/>
                <w:color w:val="C21B17"/>
                <w:szCs w:val="18"/>
              </w:rPr>
              <w:t>1</w:t>
            </w:r>
          </w:p>
        </w:tc>
      </w:tr>
      <w:tr w:rsidR="00AB03C4" w:rsidRPr="00BF430C" w:rsidTr="00AB03C4">
        <w:trPr>
          <w:trHeight w:val="397"/>
        </w:trPr>
        <w:tc>
          <w:tcPr>
            <w:tcW w:w="7938" w:type="dxa"/>
            <w:tcBorders>
              <w:bottom w:val="single" w:sz="12" w:space="0" w:color="C21B17"/>
            </w:tcBorders>
            <w:shd w:val="clear" w:color="auto" w:fill="auto"/>
            <w:vAlign w:val="center"/>
          </w:tcPr>
          <w:p w:rsidR="00AB03C4" w:rsidRPr="00BF430C" w:rsidRDefault="00AB03C4" w:rsidP="0070643B">
            <w:pPr>
              <w:rPr>
                <w:rFonts w:cs="Arial"/>
                <w:b/>
                <w:szCs w:val="18"/>
              </w:rPr>
            </w:pPr>
            <w:r w:rsidRPr="00BF430C">
              <w:rPr>
                <w:rFonts w:cs="Arial"/>
                <w:b/>
                <w:szCs w:val="18"/>
              </w:rPr>
              <w:t>Výše splátky pojistného</w:t>
            </w:r>
          </w:p>
        </w:tc>
        <w:tc>
          <w:tcPr>
            <w:tcW w:w="1843" w:type="dxa"/>
            <w:tcBorders>
              <w:bottom w:val="single" w:sz="12" w:space="0" w:color="C21B17"/>
            </w:tcBorders>
            <w:shd w:val="clear" w:color="auto" w:fill="F2F2F2" w:themeFill="background1" w:themeFillShade="F2"/>
            <w:vAlign w:val="center"/>
          </w:tcPr>
          <w:p w:rsidR="00AB03C4" w:rsidRPr="00AB03C4" w:rsidRDefault="009E495B" w:rsidP="0070643B">
            <w:pPr>
              <w:rPr>
                <w:b/>
              </w:rPr>
            </w:pPr>
            <w:r>
              <w:rPr>
                <w:rFonts w:cs="Arial"/>
                <w:b/>
                <w:color w:val="C21B17"/>
                <w:szCs w:val="18"/>
              </w:rPr>
              <w:t>118 542</w:t>
            </w:r>
            <w:r w:rsidR="00D4091C" w:rsidRPr="00D4091C">
              <w:rPr>
                <w:rFonts w:cs="Arial"/>
                <w:b/>
                <w:color w:val="C21B17"/>
                <w:szCs w:val="18"/>
              </w:rPr>
              <w:t xml:space="preserve"> Kč</w:t>
            </w:r>
          </w:p>
        </w:tc>
      </w:tr>
    </w:tbl>
    <w:p w:rsidR="00DF18B6" w:rsidRDefault="00AB03C4" w:rsidP="00D52665">
      <w:pPr>
        <w:spacing w:after="0" w:line="240" w:lineRule="auto"/>
        <w:ind w:left="993"/>
        <w:rPr>
          <w:rFonts w:cs="Arial"/>
          <w:sz w:val="20"/>
          <w:szCs w:val="20"/>
        </w:rPr>
      </w:pPr>
      <w:r w:rsidRPr="00341B35">
        <w:rPr>
          <w:rFonts w:cs="Arial"/>
          <w:color w:val="auto"/>
          <w:sz w:val="20"/>
          <w:szCs w:val="20"/>
          <w:lang w:val="cs-CZ" w:eastAsia="cs-CZ"/>
        </w:rPr>
        <w:t xml:space="preserve">Pojistné je stanoveno na základě </w:t>
      </w:r>
      <w:r>
        <w:rPr>
          <w:rFonts w:cs="Arial"/>
          <w:color w:val="auto"/>
          <w:sz w:val="20"/>
          <w:szCs w:val="20"/>
          <w:lang w:val="cs-CZ" w:eastAsia="cs-CZ"/>
        </w:rPr>
        <w:t xml:space="preserve">údajů </w:t>
      </w:r>
      <w:r w:rsidRPr="00341B35">
        <w:rPr>
          <w:rFonts w:cs="Arial"/>
          <w:color w:val="auto"/>
          <w:sz w:val="20"/>
          <w:szCs w:val="20"/>
          <w:lang w:val="cs-CZ" w:eastAsia="cs-CZ"/>
        </w:rPr>
        <w:t xml:space="preserve">sdělených </w:t>
      </w:r>
      <w:r>
        <w:rPr>
          <w:rFonts w:cs="Arial"/>
          <w:color w:val="auto"/>
          <w:sz w:val="20"/>
          <w:szCs w:val="20"/>
          <w:lang w:val="cs-CZ" w:eastAsia="cs-CZ"/>
        </w:rPr>
        <w:t xml:space="preserve">v poptávce. </w:t>
      </w:r>
      <w:r w:rsidRPr="00341B35">
        <w:rPr>
          <w:rFonts w:cs="Arial"/>
          <w:color w:val="auto"/>
          <w:sz w:val="20"/>
          <w:szCs w:val="20"/>
          <w:lang w:val="cs-CZ" w:eastAsia="cs-CZ"/>
        </w:rPr>
        <w:t>V případě jejich změny, má pojistník a pojištěný povinnost oznámit tuto skutečnost pojistiteli v soula</w:t>
      </w:r>
      <w:r>
        <w:rPr>
          <w:rFonts w:cs="Arial"/>
          <w:color w:val="auto"/>
          <w:sz w:val="20"/>
          <w:szCs w:val="20"/>
          <w:lang w:val="cs-CZ" w:eastAsia="cs-CZ"/>
        </w:rPr>
        <w:t xml:space="preserve">du s čl. 11, odst. 2, písm. b) </w:t>
      </w:r>
      <w:r w:rsidRPr="00341B35">
        <w:rPr>
          <w:rFonts w:cs="Arial"/>
          <w:color w:val="auto"/>
          <w:sz w:val="20"/>
          <w:szCs w:val="20"/>
          <w:lang w:val="cs-CZ" w:eastAsia="cs-CZ"/>
        </w:rPr>
        <w:t xml:space="preserve">VPP </w:t>
      </w:r>
      <w:r>
        <w:rPr>
          <w:rFonts w:cs="Arial"/>
          <w:color w:val="auto"/>
          <w:sz w:val="20"/>
          <w:szCs w:val="20"/>
          <w:lang w:val="cs-CZ" w:eastAsia="cs-CZ"/>
        </w:rPr>
        <w:t>M</w:t>
      </w:r>
      <w:r w:rsidRPr="00341B35">
        <w:rPr>
          <w:rFonts w:cs="Arial"/>
          <w:color w:val="auto"/>
          <w:sz w:val="20"/>
          <w:szCs w:val="20"/>
          <w:lang w:val="cs-CZ" w:eastAsia="cs-CZ"/>
        </w:rPr>
        <w:t xml:space="preserve"> 2014/01</w:t>
      </w:r>
      <w:r>
        <w:rPr>
          <w:rFonts w:cs="Arial"/>
          <w:color w:val="auto"/>
          <w:sz w:val="20"/>
          <w:szCs w:val="20"/>
          <w:lang w:val="cs-CZ" w:eastAsia="cs-CZ"/>
        </w:rPr>
        <w:t>.</w:t>
      </w:r>
    </w:p>
    <w:p w:rsidR="00051B69" w:rsidRDefault="00051B69" w:rsidP="00DF18B6">
      <w:pPr>
        <w:spacing w:after="0" w:line="240" w:lineRule="auto"/>
        <w:rPr>
          <w:rFonts w:cs="Arial"/>
          <w:sz w:val="20"/>
          <w:szCs w:val="20"/>
        </w:rPr>
      </w:pPr>
    </w:p>
    <w:p w:rsidR="00241F27" w:rsidRPr="00B7013E" w:rsidRDefault="00241F27" w:rsidP="00241F27">
      <w:pPr>
        <w:widowControl/>
        <w:autoSpaceDE w:val="0"/>
        <w:autoSpaceDN w:val="0"/>
        <w:adjustRightInd w:val="0"/>
        <w:spacing w:before="0" w:after="0" w:line="240" w:lineRule="auto"/>
        <w:ind w:left="992"/>
        <w:contextualSpacing w:val="0"/>
        <w:rPr>
          <w:rFonts w:cs="Arial"/>
          <w:sz w:val="20"/>
        </w:rPr>
      </w:pPr>
      <w:r w:rsidRPr="00D4091C">
        <w:rPr>
          <w:rFonts w:cs="Arial"/>
          <w:sz w:val="20"/>
        </w:rPr>
        <w:t>Pojistitel se zavazuje poskytnout pojistníkovi za sjednanou dobu pojištění, tedy minimální dobu trvání</w:t>
      </w:r>
      <w:r w:rsidRPr="00D4091C">
        <w:rPr>
          <w:rFonts w:cs="Arial"/>
          <w:sz w:val="20"/>
          <w:szCs w:val="20"/>
        </w:rPr>
        <w:t xml:space="preserve"> sjednaného pojištění v délce 3 let od počátku pojištění, slevu ve výši 5 % z  ročního pojistného pro dané pojistné období (dále jen „Sleva za minimální dobu trvání pojištění“). V souladu s čl. 9, odst. 10) VPP M 2014/01 je pojistník povinen vrátit pojistiteli částku odpovídající poskytnuté slevě za celou dobu pojištění (tj. rozdílu mezi celkovou částkou pojistného za dobu trvání pojištění, které by byl pojistník povinen uhradit, pokud by mu nebyla poskytnuta sleva, a částky pojistného, které uhradil podle pojistné smlouvy). Vyúčtování tohoto doplatku pojistného provede pojistitel a doplatek je splatný na </w:t>
      </w:r>
      <w:r w:rsidRPr="00D4091C">
        <w:rPr>
          <w:rFonts w:cs="Arial"/>
          <w:sz w:val="20"/>
        </w:rPr>
        <w:t>základě faktury zaslané pojistitelem.</w:t>
      </w:r>
    </w:p>
    <w:p w:rsidR="00DF18B6" w:rsidRDefault="00DF18B6" w:rsidP="00DF18B6">
      <w:pPr>
        <w:tabs>
          <w:tab w:val="left" w:pos="2694"/>
          <w:tab w:val="left" w:pos="3119"/>
          <w:tab w:val="right" w:pos="6237"/>
        </w:tabs>
        <w:spacing w:after="0" w:line="240" w:lineRule="auto"/>
        <w:rPr>
          <w:rFonts w:cs="Arial"/>
          <w:sz w:val="20"/>
          <w:szCs w:val="20"/>
        </w:rPr>
      </w:pPr>
    </w:p>
    <w:p w:rsidR="00051B69" w:rsidRPr="00F724F3" w:rsidRDefault="00BE7EDE" w:rsidP="00DF18B6">
      <w:pPr>
        <w:tabs>
          <w:tab w:val="left" w:pos="2694"/>
          <w:tab w:val="left" w:pos="3119"/>
          <w:tab w:val="right" w:pos="6237"/>
        </w:tabs>
        <w:spacing w:after="0" w:line="240" w:lineRule="auto"/>
        <w:rPr>
          <w:rFonts w:cs="Arial"/>
          <w:sz w:val="20"/>
          <w:szCs w:val="20"/>
        </w:rPr>
      </w:pPr>
      <w:r>
        <w:rPr>
          <w:rFonts w:cs="Arial"/>
          <w:sz w:val="20"/>
          <w:szCs w:val="20"/>
        </w:rPr>
        <w:t>Nové znění čl. 9</w:t>
      </w:r>
    </w:p>
    <w:p w:rsidR="00DF18B6" w:rsidRPr="00BE7EDE" w:rsidRDefault="00BE7EDE" w:rsidP="00BE7EDE">
      <w:pPr>
        <w:pStyle w:val="Odstavecseseznamem"/>
        <w:widowControl/>
        <w:numPr>
          <w:ilvl w:val="0"/>
          <w:numId w:val="44"/>
        </w:numPr>
        <w:spacing w:before="0" w:after="120" w:line="240" w:lineRule="auto"/>
        <w:contextualSpacing w:val="0"/>
        <w:rPr>
          <w:rFonts w:cs="Arial"/>
          <w:b/>
          <w:sz w:val="20"/>
          <w:szCs w:val="20"/>
        </w:rPr>
      </w:pPr>
      <w:r>
        <w:rPr>
          <w:rFonts w:cs="Arial"/>
          <w:b/>
          <w:sz w:val="20"/>
          <w:szCs w:val="20"/>
        </w:rPr>
        <w:t xml:space="preserve">   </w:t>
      </w:r>
      <w:r w:rsidRPr="00BE7EDE">
        <w:rPr>
          <w:rFonts w:cs="Arial"/>
          <w:b/>
          <w:sz w:val="20"/>
          <w:szCs w:val="20"/>
        </w:rPr>
        <w:t xml:space="preserve"> </w:t>
      </w:r>
      <w:r w:rsidR="00FB5983" w:rsidRPr="00BE7EDE">
        <w:rPr>
          <w:rFonts w:cs="Arial"/>
          <w:b/>
          <w:sz w:val="20"/>
          <w:szCs w:val="20"/>
        </w:rPr>
        <w:t>Splatnost pojistného a způsob placení</w:t>
      </w:r>
      <w:r w:rsidR="00DF18B6" w:rsidRPr="00BE7EDE">
        <w:rPr>
          <w:rFonts w:cs="Arial"/>
          <w:b/>
          <w:sz w:val="20"/>
          <w:szCs w:val="20"/>
        </w:rPr>
        <w:t xml:space="preserve"> </w:t>
      </w:r>
    </w:p>
    <w:p w:rsidR="00DF18B6" w:rsidRDefault="00DF18B6" w:rsidP="000323CA">
      <w:pPr>
        <w:pStyle w:val="Zkladntext"/>
        <w:ind w:left="993"/>
        <w:rPr>
          <w:rFonts w:ascii="Arial" w:hAnsi="Arial" w:cs="Arial"/>
          <w:color w:val="000000" w:themeColor="text1"/>
          <w:sz w:val="20"/>
          <w:lang w:val="it-IT" w:eastAsia="it-IT"/>
        </w:rPr>
      </w:pPr>
      <w:r w:rsidRPr="00FB5983">
        <w:rPr>
          <w:rFonts w:ascii="Arial" w:hAnsi="Arial" w:cs="Arial"/>
          <w:color w:val="000000" w:themeColor="text1"/>
          <w:sz w:val="20"/>
          <w:lang w:val="it-IT" w:eastAsia="it-IT"/>
        </w:rPr>
        <w:t>Pojistné je stanoveno jako běžné pojistné.</w:t>
      </w:r>
    </w:p>
    <w:p w:rsidR="000C79B9" w:rsidRDefault="000C79B9" w:rsidP="00FB5983">
      <w:pPr>
        <w:pStyle w:val="Zkladntext"/>
        <w:rPr>
          <w:rFonts w:ascii="Arial" w:hAnsi="Arial" w:cs="Arial"/>
          <w:color w:val="000000" w:themeColor="text1"/>
          <w:sz w:val="20"/>
          <w:lang w:val="it-IT" w:eastAsia="it-IT"/>
        </w:rPr>
      </w:pPr>
    </w:p>
    <w:p w:rsidR="000C79B9" w:rsidRDefault="000C79B9" w:rsidP="000323CA">
      <w:pPr>
        <w:pStyle w:val="Zkladntext"/>
        <w:spacing w:after="120"/>
        <w:ind w:left="993"/>
        <w:jc w:val="both"/>
        <w:rPr>
          <w:rFonts w:ascii="Arial" w:hAnsi="Arial" w:cs="Arial"/>
          <w:b/>
          <w:color w:val="000000" w:themeColor="text1"/>
          <w:sz w:val="20"/>
          <w:lang w:val="it-IT" w:eastAsia="it-IT"/>
        </w:rPr>
      </w:pPr>
      <w:r w:rsidRPr="00FB5983">
        <w:rPr>
          <w:rFonts w:ascii="Arial" w:hAnsi="Arial" w:cs="Arial"/>
          <w:b/>
          <w:color w:val="000000" w:themeColor="text1"/>
          <w:sz w:val="20"/>
          <w:lang w:val="it-IT" w:eastAsia="it-IT"/>
        </w:rPr>
        <w:t>Kontaktní bankovní spojení</w:t>
      </w:r>
    </w:p>
    <w:tbl>
      <w:tblPr>
        <w:tblStyle w:val="Mkatabulky"/>
        <w:tblW w:w="9922"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4961"/>
        <w:gridCol w:w="4961"/>
      </w:tblGrid>
      <w:tr w:rsidR="00F74839" w:rsidRPr="00AF27E7" w:rsidTr="00F74839">
        <w:trPr>
          <w:trHeight w:val="397"/>
        </w:trPr>
        <w:tc>
          <w:tcPr>
            <w:tcW w:w="4961" w:type="dxa"/>
            <w:tcBorders>
              <w:top w:val="single" w:sz="12" w:space="0" w:color="C21B17"/>
              <w:bottom w:val="single" w:sz="4" w:space="0" w:color="000000" w:themeColor="text1"/>
            </w:tcBorders>
            <w:shd w:val="clear" w:color="auto" w:fill="auto"/>
            <w:vAlign w:val="center"/>
          </w:tcPr>
          <w:p w:rsidR="00F74839" w:rsidRPr="00545B87" w:rsidRDefault="00F74839" w:rsidP="0070643B">
            <w:pPr>
              <w:spacing w:before="0" w:after="0" w:line="240" w:lineRule="auto"/>
              <w:rPr>
                <w:rFonts w:cs="Arial"/>
                <w:b/>
                <w:szCs w:val="18"/>
              </w:rPr>
            </w:pPr>
            <w:r>
              <w:rPr>
                <w:rFonts w:cs="Arial"/>
                <w:b/>
                <w:szCs w:val="18"/>
              </w:rPr>
              <w:t xml:space="preserve">Číslo účtu </w:t>
            </w:r>
          </w:p>
        </w:tc>
        <w:tc>
          <w:tcPr>
            <w:tcW w:w="4961" w:type="dxa"/>
            <w:tcBorders>
              <w:top w:val="single" w:sz="12" w:space="0" w:color="C21B17"/>
              <w:bottom w:val="single" w:sz="4" w:space="0" w:color="000000" w:themeColor="text1"/>
            </w:tcBorders>
            <w:shd w:val="clear" w:color="auto" w:fill="auto"/>
            <w:vAlign w:val="center"/>
          </w:tcPr>
          <w:p w:rsidR="00F74839" w:rsidRPr="00AF27E7" w:rsidRDefault="00F74839" w:rsidP="0070643B">
            <w:pPr>
              <w:rPr>
                <w:rFonts w:cs="Arial"/>
                <w:b/>
                <w:szCs w:val="18"/>
              </w:rPr>
            </w:pPr>
            <w:r>
              <w:rPr>
                <w:rFonts w:cs="Arial"/>
                <w:b/>
                <w:color w:val="C21B17"/>
                <w:szCs w:val="18"/>
              </w:rPr>
              <w:t>Variabilní symbol</w:t>
            </w:r>
          </w:p>
        </w:tc>
      </w:tr>
      <w:tr w:rsidR="00F74839" w:rsidRPr="00BF430C" w:rsidTr="00F74839">
        <w:tblPrEx>
          <w:tblBorders>
            <w:top w:val="single" w:sz="4" w:space="0" w:color="C00000"/>
            <w:bottom w:val="single" w:sz="4" w:space="0" w:color="C00000"/>
            <w:insideH w:val="none" w:sz="0" w:space="0" w:color="auto"/>
          </w:tblBorders>
          <w:shd w:val="clear" w:color="auto" w:fill="FFFFFF" w:themeFill="background1"/>
        </w:tblPrEx>
        <w:trPr>
          <w:trHeight w:val="397"/>
        </w:trPr>
        <w:tc>
          <w:tcPr>
            <w:tcW w:w="4961" w:type="dxa"/>
            <w:shd w:val="clear" w:color="auto" w:fill="FFFFFF" w:themeFill="background1"/>
            <w:vAlign w:val="center"/>
          </w:tcPr>
          <w:p w:rsidR="00F74839" w:rsidRPr="00BF430C" w:rsidRDefault="00D4091C" w:rsidP="0070643B">
            <w:pPr>
              <w:rPr>
                <w:rFonts w:cs="Arial"/>
                <w:color w:val="auto"/>
                <w:szCs w:val="18"/>
              </w:rPr>
            </w:pPr>
            <w:r>
              <w:rPr>
                <w:rFonts w:cs="Arial"/>
                <w:szCs w:val="20"/>
              </w:rPr>
              <w:t>Inkasní účet makléře</w:t>
            </w:r>
          </w:p>
        </w:tc>
        <w:tc>
          <w:tcPr>
            <w:tcW w:w="4961" w:type="dxa"/>
            <w:shd w:val="clear" w:color="auto" w:fill="F2F2F2" w:themeFill="background1" w:themeFillShade="F2"/>
            <w:vAlign w:val="center"/>
          </w:tcPr>
          <w:p w:rsidR="00F74839" w:rsidRPr="00352E67" w:rsidRDefault="00F74839" w:rsidP="00D4091C">
            <w:pPr>
              <w:rPr>
                <w:rFonts w:cs="Arial"/>
                <w:color w:val="C21B17"/>
                <w:szCs w:val="18"/>
              </w:rPr>
            </w:pPr>
            <w:r w:rsidRPr="00D760B4">
              <w:rPr>
                <w:rFonts w:cs="Arial"/>
                <w:color w:val="C21B17"/>
                <w:szCs w:val="18"/>
              </w:rPr>
              <w:t xml:space="preserve">číslo pojistné smlouvy: </w:t>
            </w:r>
            <w:r w:rsidR="00D4091C">
              <w:rPr>
                <w:rFonts w:cs="Arial"/>
                <w:color w:val="C21B17"/>
                <w:szCs w:val="18"/>
              </w:rPr>
              <w:t>1014160035</w:t>
            </w:r>
          </w:p>
        </w:tc>
      </w:tr>
    </w:tbl>
    <w:p w:rsidR="000C79B9" w:rsidRPr="00FB5983" w:rsidRDefault="000C79B9" w:rsidP="00FB5983">
      <w:pPr>
        <w:pStyle w:val="Zkladntext"/>
        <w:rPr>
          <w:rFonts w:ascii="Arial" w:hAnsi="Arial" w:cs="Arial"/>
          <w:color w:val="000000" w:themeColor="text1"/>
          <w:sz w:val="20"/>
          <w:lang w:val="it-IT" w:eastAsia="it-IT"/>
        </w:rPr>
      </w:pPr>
    </w:p>
    <w:p w:rsidR="00DF18B6" w:rsidRDefault="00DF18B6" w:rsidP="000323CA">
      <w:pPr>
        <w:spacing w:before="0" w:after="0" w:line="240" w:lineRule="auto"/>
        <w:ind w:left="993"/>
        <w:rPr>
          <w:rFonts w:cs="Arial"/>
          <w:sz w:val="20"/>
          <w:szCs w:val="20"/>
        </w:rPr>
      </w:pPr>
      <w:r w:rsidRPr="00687E32">
        <w:rPr>
          <w:rFonts w:cs="Arial"/>
          <w:sz w:val="20"/>
          <w:szCs w:val="20"/>
        </w:rPr>
        <w:t xml:space="preserve">Pojistné je splatné </w:t>
      </w:r>
      <w:r>
        <w:rPr>
          <w:rFonts w:cs="Arial"/>
          <w:sz w:val="20"/>
          <w:szCs w:val="20"/>
        </w:rPr>
        <w:t>takto:</w:t>
      </w:r>
    </w:p>
    <w:p w:rsidR="00DF18B6" w:rsidRPr="00D4091C" w:rsidRDefault="00DF18B6" w:rsidP="000323CA">
      <w:pPr>
        <w:tabs>
          <w:tab w:val="left" w:pos="3119"/>
          <w:tab w:val="right" w:pos="6237"/>
        </w:tabs>
        <w:spacing w:after="0" w:line="240" w:lineRule="auto"/>
        <w:ind w:left="993"/>
        <w:rPr>
          <w:rFonts w:cs="Arial"/>
          <w:sz w:val="20"/>
          <w:szCs w:val="20"/>
        </w:rPr>
      </w:pPr>
      <w:r w:rsidRPr="00F724F3">
        <w:rPr>
          <w:rFonts w:cs="Arial"/>
          <w:sz w:val="20"/>
          <w:szCs w:val="20"/>
        </w:rPr>
        <w:t xml:space="preserve">Pojistné za pojistný rok činí </w:t>
      </w:r>
      <w:r w:rsidR="009E495B">
        <w:rPr>
          <w:rFonts w:cs="Arial"/>
          <w:b/>
          <w:sz w:val="20"/>
          <w:szCs w:val="20"/>
        </w:rPr>
        <w:t>118 542</w:t>
      </w:r>
      <w:r w:rsidR="00D4091C">
        <w:rPr>
          <w:rFonts w:cs="Arial"/>
          <w:b/>
          <w:sz w:val="20"/>
          <w:szCs w:val="20"/>
        </w:rPr>
        <w:t xml:space="preserve"> </w:t>
      </w:r>
      <w:r w:rsidR="00D4091C" w:rsidRPr="00D4091C">
        <w:rPr>
          <w:rFonts w:cs="Arial"/>
          <w:b/>
          <w:sz w:val="20"/>
          <w:szCs w:val="20"/>
        </w:rPr>
        <w:t>Kč</w:t>
      </w:r>
      <w:r w:rsidRPr="00D4091C">
        <w:rPr>
          <w:rFonts w:cs="Arial"/>
          <w:b/>
          <w:sz w:val="20"/>
          <w:szCs w:val="20"/>
        </w:rPr>
        <w:t xml:space="preserve"> </w:t>
      </w:r>
      <w:r w:rsidRPr="00D4091C">
        <w:rPr>
          <w:rFonts w:cs="Arial"/>
          <w:sz w:val="20"/>
          <w:szCs w:val="20"/>
        </w:rPr>
        <w:t xml:space="preserve">a bude placeno vždy k </w:t>
      </w:r>
      <w:r w:rsidR="00D4091C" w:rsidRPr="00D4091C">
        <w:rPr>
          <w:rFonts w:cs="Arial"/>
          <w:sz w:val="20"/>
          <w:szCs w:val="20"/>
        </w:rPr>
        <w:t>11.02.</w:t>
      </w:r>
      <w:r w:rsidRPr="00D4091C">
        <w:rPr>
          <w:rFonts w:cs="Arial"/>
          <w:sz w:val="20"/>
          <w:szCs w:val="20"/>
        </w:rPr>
        <w:t xml:space="preserve"> každého roku. </w:t>
      </w:r>
    </w:p>
    <w:p w:rsidR="00BE7EDE" w:rsidRDefault="00DF18B6" w:rsidP="00B84D34">
      <w:pPr>
        <w:tabs>
          <w:tab w:val="left" w:pos="3119"/>
          <w:tab w:val="right" w:pos="6237"/>
        </w:tabs>
        <w:spacing w:after="120" w:line="240" w:lineRule="auto"/>
        <w:ind w:left="993"/>
        <w:rPr>
          <w:rFonts w:cs="Arial"/>
          <w:sz w:val="20"/>
          <w:szCs w:val="20"/>
        </w:rPr>
      </w:pPr>
      <w:r w:rsidRPr="00D4091C">
        <w:rPr>
          <w:rFonts w:cs="Arial"/>
          <w:sz w:val="20"/>
          <w:szCs w:val="20"/>
        </w:rPr>
        <w:t>Platba bude prováděna na účet zplnomocněného makléře.</w:t>
      </w:r>
    </w:p>
    <w:p w:rsidR="00BE7EDE" w:rsidRDefault="00BE7EDE" w:rsidP="00B84D34">
      <w:pPr>
        <w:tabs>
          <w:tab w:val="left" w:pos="3119"/>
          <w:tab w:val="right" w:pos="6237"/>
        </w:tabs>
        <w:spacing w:after="120" w:line="240" w:lineRule="auto"/>
        <w:ind w:left="993"/>
        <w:rPr>
          <w:rFonts w:cs="Arial"/>
          <w:sz w:val="20"/>
          <w:szCs w:val="20"/>
        </w:rPr>
      </w:pPr>
    </w:p>
    <w:p w:rsidR="00D4091C" w:rsidRDefault="00B84D34" w:rsidP="00B84D34">
      <w:pPr>
        <w:tabs>
          <w:tab w:val="left" w:pos="3119"/>
          <w:tab w:val="right" w:pos="6237"/>
        </w:tabs>
        <w:spacing w:after="120" w:line="240" w:lineRule="auto"/>
        <w:ind w:left="993"/>
        <w:rPr>
          <w:rFonts w:cs="Arial"/>
          <w:sz w:val="20"/>
        </w:rPr>
      </w:pPr>
      <w:r>
        <w:rPr>
          <w:rFonts w:cs="Arial"/>
          <w:sz w:val="20"/>
          <w:szCs w:val="20"/>
        </w:rPr>
        <w:lastRenderedPageBreak/>
        <w:br/>
      </w:r>
      <w:r w:rsidR="00DF18B6" w:rsidRPr="00FB5983">
        <w:rPr>
          <w:rFonts w:cs="Arial"/>
          <w:sz w:val="20"/>
        </w:rPr>
        <w:t>Splatnost pojistného se odkládá na</w:t>
      </w:r>
      <w:r w:rsidR="00DF18B6">
        <w:rPr>
          <w:rFonts w:cs="Arial"/>
          <w:bCs/>
          <w:sz w:val="20"/>
        </w:rPr>
        <w:t xml:space="preserve"> </w:t>
      </w:r>
      <w:r w:rsidR="009E495B">
        <w:rPr>
          <w:rFonts w:cs="Arial"/>
          <w:sz w:val="20"/>
        </w:rPr>
        <w:t xml:space="preserve">20.03.2019. </w:t>
      </w:r>
    </w:p>
    <w:p w:rsidR="005065F6" w:rsidRPr="009020FE" w:rsidRDefault="005065F6" w:rsidP="00015409">
      <w:pPr>
        <w:widowControl/>
        <w:tabs>
          <w:tab w:val="left" w:pos="3119"/>
          <w:tab w:val="right" w:pos="6237"/>
        </w:tabs>
        <w:spacing w:before="0" w:after="0" w:line="240" w:lineRule="auto"/>
        <w:contextualSpacing w:val="0"/>
        <w:rPr>
          <w:color w:val="auto"/>
          <w:sz w:val="20"/>
          <w:szCs w:val="20"/>
          <w:lang w:val="cs-CZ" w:eastAsia="cs-CZ"/>
        </w:rPr>
      </w:pPr>
    </w:p>
    <w:p w:rsidR="00015409" w:rsidRPr="00341B35" w:rsidRDefault="00015409" w:rsidP="00BE7EDE">
      <w:pPr>
        <w:widowControl/>
        <w:spacing w:before="0" w:after="120" w:line="240" w:lineRule="auto"/>
        <w:ind w:left="993"/>
        <w:contextualSpacing w:val="0"/>
        <w:rPr>
          <w:rFonts w:cs="Arial"/>
          <w:b/>
          <w:sz w:val="20"/>
          <w:szCs w:val="20"/>
        </w:rPr>
      </w:pPr>
      <w:r w:rsidRPr="00341B35">
        <w:rPr>
          <w:rFonts w:cs="Arial"/>
          <w:b/>
          <w:sz w:val="20"/>
          <w:szCs w:val="20"/>
        </w:rPr>
        <w:t>Z</w:t>
      </w:r>
      <w:r w:rsidR="00C146AF">
        <w:rPr>
          <w:rFonts w:cs="Arial"/>
          <w:b/>
          <w:sz w:val="20"/>
          <w:szCs w:val="20"/>
        </w:rPr>
        <w:t>ávěrečná ustanovení</w:t>
      </w:r>
    </w:p>
    <w:p w:rsidR="0020245A" w:rsidRPr="0020245A" w:rsidRDefault="00BE7EDE" w:rsidP="0020245A">
      <w:pPr>
        <w:widowControl/>
        <w:spacing w:before="0" w:after="0" w:line="240" w:lineRule="auto"/>
        <w:ind w:left="993"/>
        <w:contextualSpacing w:val="0"/>
        <w:rPr>
          <w:rFonts w:cs="Arial"/>
          <w:color w:val="auto"/>
          <w:sz w:val="20"/>
          <w:szCs w:val="20"/>
          <w:lang w:val="cs-CZ" w:eastAsia="cs-CZ"/>
        </w:rPr>
      </w:pPr>
      <w:r>
        <w:rPr>
          <w:rFonts w:cs="Arial"/>
          <w:color w:val="auto"/>
          <w:sz w:val="20"/>
          <w:szCs w:val="20"/>
          <w:lang w:val="cs-CZ" w:eastAsia="cs-CZ"/>
        </w:rPr>
        <w:t xml:space="preserve">Ostatní články pojistné smlouvy se nemění a zůstávají v platnosti. </w:t>
      </w:r>
    </w:p>
    <w:p w:rsidR="0020245A" w:rsidRPr="0020245A" w:rsidRDefault="00BE7EDE" w:rsidP="0020245A">
      <w:pPr>
        <w:widowControl/>
        <w:spacing w:before="0" w:after="0" w:line="240" w:lineRule="auto"/>
        <w:ind w:left="993"/>
        <w:contextualSpacing w:val="0"/>
        <w:rPr>
          <w:rFonts w:cs="Arial"/>
          <w:color w:val="auto"/>
          <w:sz w:val="20"/>
          <w:szCs w:val="20"/>
          <w:lang w:val="cs-CZ" w:eastAsia="cs-CZ"/>
        </w:rPr>
      </w:pPr>
      <w:r>
        <w:rPr>
          <w:rFonts w:cs="Arial"/>
          <w:color w:val="auto"/>
          <w:sz w:val="20"/>
          <w:szCs w:val="20"/>
          <w:lang w:val="cs-CZ" w:eastAsia="cs-CZ"/>
        </w:rPr>
        <w:t>Tento dodatek je vyhotoven</w:t>
      </w:r>
      <w:r w:rsidR="0020245A" w:rsidRPr="0020245A">
        <w:rPr>
          <w:rFonts w:cs="Arial"/>
          <w:color w:val="auto"/>
          <w:sz w:val="20"/>
          <w:szCs w:val="20"/>
          <w:lang w:val="cs-CZ" w:eastAsia="cs-CZ"/>
        </w:rPr>
        <w:t xml:space="preserve"> ve dvou vyhotoveních, z nichž jedno obdrží pojistitel a jedno pojistník.</w:t>
      </w:r>
    </w:p>
    <w:p w:rsidR="0020245A" w:rsidRPr="0020245A" w:rsidRDefault="0020245A" w:rsidP="0020245A">
      <w:pPr>
        <w:widowControl/>
        <w:spacing w:before="0" w:after="0" w:line="240" w:lineRule="auto"/>
        <w:ind w:left="993"/>
        <w:contextualSpacing w:val="0"/>
        <w:rPr>
          <w:rFonts w:cs="Arial"/>
          <w:color w:val="auto"/>
          <w:sz w:val="20"/>
          <w:szCs w:val="20"/>
          <w:lang w:val="cs-CZ" w:eastAsia="cs-CZ"/>
        </w:rPr>
      </w:pPr>
    </w:p>
    <w:p w:rsidR="0020245A" w:rsidRPr="0020245A" w:rsidRDefault="0020245A" w:rsidP="0020245A">
      <w:pPr>
        <w:widowControl/>
        <w:spacing w:before="0" w:after="0" w:line="240" w:lineRule="auto"/>
        <w:ind w:left="993"/>
        <w:contextualSpacing w:val="0"/>
        <w:rPr>
          <w:rFonts w:cs="Arial"/>
          <w:color w:val="auto"/>
          <w:sz w:val="20"/>
          <w:szCs w:val="20"/>
          <w:lang w:val="cs-CZ" w:eastAsia="cs-CZ"/>
        </w:rPr>
      </w:pPr>
    </w:p>
    <w:p w:rsidR="0020245A" w:rsidRPr="0020245A" w:rsidRDefault="0020245A" w:rsidP="0020245A">
      <w:pPr>
        <w:widowControl/>
        <w:spacing w:before="0" w:after="0" w:line="240" w:lineRule="auto"/>
        <w:ind w:left="993"/>
        <w:contextualSpacing w:val="0"/>
        <w:rPr>
          <w:rFonts w:cs="Arial"/>
          <w:color w:val="auto"/>
          <w:sz w:val="20"/>
          <w:szCs w:val="20"/>
          <w:lang w:val="cs-CZ" w:eastAsia="cs-CZ"/>
        </w:rPr>
      </w:pPr>
      <w:r w:rsidRPr="0020245A">
        <w:rPr>
          <w:rFonts w:cs="Arial"/>
          <w:color w:val="auto"/>
          <w:sz w:val="20"/>
          <w:szCs w:val="20"/>
          <w:lang w:val="cs-CZ" w:eastAsia="cs-CZ"/>
        </w:rPr>
        <w:t>Součástí pojistné smlouvy jsou také následující přílohy:</w:t>
      </w:r>
    </w:p>
    <w:p w:rsidR="0020245A" w:rsidRPr="0020245A" w:rsidRDefault="0020245A" w:rsidP="0020245A">
      <w:pPr>
        <w:widowControl/>
        <w:spacing w:before="0" w:after="0" w:line="240" w:lineRule="auto"/>
        <w:ind w:left="993"/>
        <w:contextualSpacing w:val="0"/>
        <w:rPr>
          <w:rFonts w:cs="Arial"/>
          <w:color w:val="auto"/>
          <w:sz w:val="20"/>
          <w:szCs w:val="20"/>
          <w:lang w:val="cs-CZ" w:eastAsia="cs-CZ"/>
        </w:rPr>
      </w:pPr>
      <w:r w:rsidRPr="0020245A">
        <w:rPr>
          <w:rFonts w:cs="Arial"/>
          <w:color w:val="auto"/>
          <w:sz w:val="20"/>
          <w:szCs w:val="20"/>
          <w:lang w:val="cs-CZ" w:eastAsia="cs-CZ"/>
        </w:rPr>
        <w:t>VPP a ZPP dle bodu 1 pojistné smlouvy</w:t>
      </w:r>
    </w:p>
    <w:p w:rsidR="00015409" w:rsidRDefault="00015409" w:rsidP="00015409">
      <w:pPr>
        <w:widowControl/>
        <w:tabs>
          <w:tab w:val="right" w:pos="6237"/>
        </w:tabs>
        <w:spacing w:before="0" w:after="0" w:line="240" w:lineRule="auto"/>
        <w:contextualSpacing w:val="0"/>
        <w:rPr>
          <w:color w:val="auto"/>
          <w:sz w:val="20"/>
          <w:szCs w:val="20"/>
          <w:lang w:val="cs-CZ" w:eastAsia="cs-CZ"/>
        </w:rPr>
      </w:pPr>
    </w:p>
    <w:p w:rsidR="009020FE" w:rsidRDefault="009020FE" w:rsidP="00015409">
      <w:pPr>
        <w:widowControl/>
        <w:tabs>
          <w:tab w:val="right" w:pos="6237"/>
        </w:tabs>
        <w:spacing w:before="0" w:after="0" w:line="240" w:lineRule="auto"/>
        <w:contextualSpacing w:val="0"/>
        <w:rPr>
          <w:color w:val="auto"/>
          <w:sz w:val="20"/>
          <w:szCs w:val="20"/>
          <w:lang w:val="cs-CZ" w:eastAsia="cs-CZ"/>
        </w:rPr>
      </w:pPr>
    </w:p>
    <w:tbl>
      <w:tblPr>
        <w:tblW w:w="10325" w:type="dxa"/>
        <w:tblInd w:w="70" w:type="dxa"/>
        <w:tblLayout w:type="fixed"/>
        <w:tblCellMar>
          <w:left w:w="70" w:type="dxa"/>
          <w:right w:w="70" w:type="dxa"/>
        </w:tblCellMar>
        <w:tblLook w:val="0000" w:firstRow="0" w:lastRow="0" w:firstColumn="0" w:lastColumn="0" w:noHBand="0" w:noVBand="0"/>
      </w:tblPr>
      <w:tblGrid>
        <w:gridCol w:w="2386"/>
        <w:gridCol w:w="2386"/>
        <w:gridCol w:w="3025"/>
        <w:gridCol w:w="2528"/>
      </w:tblGrid>
      <w:tr w:rsidR="00446CB7" w:rsidRPr="00D4091C" w:rsidTr="00E0745A">
        <w:tc>
          <w:tcPr>
            <w:tcW w:w="4772" w:type="dxa"/>
            <w:gridSpan w:val="2"/>
          </w:tcPr>
          <w:p w:rsidR="00446CB7" w:rsidRPr="00D4091C" w:rsidRDefault="00446CB7" w:rsidP="00446CB7">
            <w:pPr>
              <w:widowControl/>
              <w:spacing w:before="0" w:after="0" w:line="240" w:lineRule="auto"/>
              <w:contextualSpacing w:val="0"/>
              <w:rPr>
                <w:rFonts w:cs="Arial"/>
                <w:color w:val="auto"/>
                <w:sz w:val="20"/>
                <w:szCs w:val="20"/>
                <w:lang w:val="cs-CZ" w:eastAsia="cs-CZ"/>
              </w:rPr>
            </w:pPr>
            <w:r w:rsidRPr="00D4091C">
              <w:rPr>
                <w:rFonts w:cs="Arial"/>
                <w:color w:val="auto"/>
                <w:sz w:val="20"/>
                <w:szCs w:val="20"/>
                <w:lang w:val="cs-CZ" w:eastAsia="cs-CZ"/>
              </w:rPr>
              <w:t xml:space="preserve">V Praze dne </w:t>
            </w:r>
            <w:proofErr w:type="gramStart"/>
            <w:r w:rsidR="00BE7EDE">
              <w:rPr>
                <w:rFonts w:cs="Arial"/>
                <w:color w:val="auto"/>
                <w:sz w:val="20"/>
                <w:szCs w:val="20"/>
                <w:lang w:val="cs-CZ" w:eastAsia="cs-CZ"/>
              </w:rPr>
              <w:t>10.02.2019</w:t>
            </w:r>
            <w:proofErr w:type="gramEnd"/>
          </w:p>
          <w:p w:rsidR="00446CB7" w:rsidRPr="00D4091C" w:rsidRDefault="00446CB7" w:rsidP="00446CB7">
            <w:pPr>
              <w:widowControl/>
              <w:spacing w:before="0" w:after="0" w:line="240" w:lineRule="auto"/>
              <w:contextualSpacing w:val="0"/>
              <w:rPr>
                <w:rFonts w:cs="Arial"/>
                <w:color w:val="auto"/>
                <w:sz w:val="20"/>
                <w:szCs w:val="20"/>
                <w:lang w:val="cs-CZ" w:eastAsia="cs-CZ"/>
              </w:rPr>
            </w:pPr>
            <w:r w:rsidRPr="00D4091C">
              <w:rPr>
                <w:rFonts w:cs="Arial"/>
                <w:color w:val="auto"/>
                <w:sz w:val="20"/>
                <w:szCs w:val="20"/>
                <w:lang w:val="cs-CZ" w:eastAsia="cs-CZ"/>
              </w:rPr>
              <w:t xml:space="preserve">za pojistitele </w:t>
            </w:r>
          </w:p>
          <w:p w:rsidR="00446CB7" w:rsidRPr="00D4091C" w:rsidRDefault="00BA61F0" w:rsidP="00BA61F0">
            <w:pPr>
              <w:widowControl/>
              <w:spacing w:before="0" w:after="0" w:line="240" w:lineRule="auto"/>
              <w:contextualSpacing w:val="0"/>
              <w:rPr>
                <w:rFonts w:cs="Arial"/>
                <w:color w:val="auto"/>
                <w:sz w:val="20"/>
                <w:szCs w:val="20"/>
                <w:lang w:val="cs-CZ" w:eastAsia="cs-CZ"/>
              </w:rPr>
            </w:pPr>
            <w:proofErr w:type="spellStart"/>
            <w:r w:rsidRPr="00D4091C">
              <w:rPr>
                <w:rFonts w:cs="Arial"/>
                <w:color w:val="auto"/>
                <w:sz w:val="20"/>
                <w:szCs w:val="20"/>
                <w:lang w:val="cs-CZ" w:eastAsia="cs-CZ"/>
              </w:rPr>
              <w:t>Generali</w:t>
            </w:r>
            <w:proofErr w:type="spellEnd"/>
            <w:r w:rsidRPr="00D4091C">
              <w:rPr>
                <w:rFonts w:cs="Arial"/>
                <w:color w:val="auto"/>
                <w:sz w:val="20"/>
                <w:szCs w:val="20"/>
                <w:lang w:val="cs-CZ" w:eastAsia="cs-CZ"/>
              </w:rPr>
              <w:t xml:space="preserve"> Pojišťovna a.s. </w:t>
            </w:r>
          </w:p>
        </w:tc>
        <w:tc>
          <w:tcPr>
            <w:tcW w:w="5553" w:type="dxa"/>
            <w:gridSpan w:val="2"/>
          </w:tcPr>
          <w:p w:rsidR="001614E4" w:rsidRPr="00D4091C" w:rsidRDefault="001614E4" w:rsidP="00446CB7">
            <w:pPr>
              <w:widowControl/>
              <w:spacing w:before="0" w:after="0" w:line="240" w:lineRule="auto"/>
              <w:contextualSpacing w:val="0"/>
              <w:rPr>
                <w:color w:val="auto"/>
                <w:sz w:val="20"/>
                <w:szCs w:val="20"/>
                <w:lang w:val="cs-CZ" w:eastAsia="cs-CZ"/>
              </w:rPr>
            </w:pPr>
          </w:p>
          <w:p w:rsidR="00446CB7" w:rsidRPr="00D4091C" w:rsidRDefault="00446CB7" w:rsidP="00446CB7">
            <w:pPr>
              <w:widowControl/>
              <w:spacing w:before="0" w:after="0" w:line="240" w:lineRule="auto"/>
              <w:contextualSpacing w:val="0"/>
              <w:rPr>
                <w:color w:val="auto"/>
                <w:sz w:val="20"/>
                <w:szCs w:val="20"/>
                <w:lang w:val="cs-CZ" w:eastAsia="cs-CZ"/>
              </w:rPr>
            </w:pPr>
            <w:r w:rsidRPr="00D4091C">
              <w:rPr>
                <w:color w:val="auto"/>
                <w:sz w:val="20"/>
                <w:szCs w:val="20"/>
                <w:lang w:val="cs-CZ" w:eastAsia="cs-CZ"/>
              </w:rPr>
              <w:t xml:space="preserve">za pojistníka </w:t>
            </w:r>
          </w:p>
          <w:p w:rsidR="00446CB7" w:rsidRPr="00D4091C" w:rsidRDefault="00D4091C" w:rsidP="00D4091C">
            <w:pPr>
              <w:widowControl/>
              <w:spacing w:before="0" w:after="0" w:line="240" w:lineRule="auto"/>
              <w:contextualSpacing w:val="0"/>
              <w:rPr>
                <w:color w:val="auto"/>
                <w:sz w:val="20"/>
                <w:szCs w:val="20"/>
                <w:lang w:val="cs-CZ" w:eastAsia="cs-CZ"/>
              </w:rPr>
            </w:pPr>
            <w:r w:rsidRPr="00D4091C">
              <w:rPr>
                <w:color w:val="auto"/>
                <w:sz w:val="20"/>
                <w:szCs w:val="20"/>
                <w:lang w:val="cs-CZ" w:eastAsia="cs-CZ"/>
              </w:rPr>
              <w:t xml:space="preserve">Mikrobiologický ústav AV ČR, </w:t>
            </w:r>
            <w:proofErr w:type="spellStart"/>
            <w:proofErr w:type="gramStart"/>
            <w:r w:rsidRPr="00D4091C">
              <w:rPr>
                <w:color w:val="auto"/>
                <w:sz w:val="20"/>
                <w:szCs w:val="20"/>
                <w:lang w:val="cs-CZ" w:eastAsia="cs-CZ"/>
              </w:rPr>
              <w:t>v.v.</w:t>
            </w:r>
            <w:proofErr w:type="gramEnd"/>
            <w:r w:rsidRPr="00D4091C">
              <w:rPr>
                <w:color w:val="auto"/>
                <w:sz w:val="20"/>
                <w:szCs w:val="20"/>
                <w:lang w:val="cs-CZ" w:eastAsia="cs-CZ"/>
              </w:rPr>
              <w:t>i</w:t>
            </w:r>
            <w:proofErr w:type="spellEnd"/>
            <w:r w:rsidRPr="00D4091C">
              <w:rPr>
                <w:color w:val="auto"/>
                <w:sz w:val="20"/>
                <w:szCs w:val="20"/>
                <w:lang w:val="cs-CZ" w:eastAsia="cs-CZ"/>
              </w:rPr>
              <w:t>.</w:t>
            </w:r>
          </w:p>
        </w:tc>
      </w:tr>
      <w:tr w:rsidR="00015409" w:rsidRPr="00D4091C" w:rsidTr="00E0745A">
        <w:trPr>
          <w:cantSplit/>
          <w:trHeight w:val="1251"/>
        </w:trPr>
        <w:tc>
          <w:tcPr>
            <w:tcW w:w="4772" w:type="dxa"/>
            <w:gridSpan w:val="2"/>
          </w:tcPr>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9020FE" w:rsidP="009020FE">
            <w:pPr>
              <w:widowControl/>
              <w:spacing w:before="0" w:after="0" w:line="240" w:lineRule="auto"/>
              <w:contextualSpacing w:val="0"/>
              <w:rPr>
                <w:color w:val="auto"/>
                <w:sz w:val="20"/>
                <w:szCs w:val="20"/>
                <w:lang w:val="cs-CZ" w:eastAsia="cs-CZ"/>
              </w:rPr>
            </w:pPr>
            <w:r w:rsidRPr="00D4091C">
              <w:rPr>
                <w:color w:val="auto"/>
                <w:sz w:val="20"/>
                <w:szCs w:val="20"/>
                <w:lang w:val="cs-CZ" w:eastAsia="cs-CZ"/>
              </w:rPr>
              <w:t>. . . . . . . . . . . . . . . . . . . . . . . . . . . . . . . . . . . . . . . . .</w:t>
            </w:r>
          </w:p>
        </w:tc>
        <w:tc>
          <w:tcPr>
            <w:tcW w:w="5553" w:type="dxa"/>
            <w:gridSpan w:val="2"/>
          </w:tcPr>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r w:rsidRPr="00D4091C">
              <w:rPr>
                <w:color w:val="auto"/>
                <w:sz w:val="20"/>
                <w:szCs w:val="20"/>
                <w:lang w:val="cs-CZ" w:eastAsia="cs-CZ"/>
              </w:rPr>
              <w:t>. . . . . . . . . . . . . . . . . . . . . . . . . . . . . . . . . . . . . . . . .</w:t>
            </w:r>
          </w:p>
        </w:tc>
      </w:tr>
      <w:tr w:rsidR="00015409" w:rsidRPr="00D4091C" w:rsidTr="00E0745A">
        <w:trPr>
          <w:cantSplit/>
        </w:trPr>
        <w:tc>
          <w:tcPr>
            <w:tcW w:w="2386" w:type="dxa"/>
          </w:tcPr>
          <w:p w:rsidR="00015409" w:rsidRPr="00D4091C" w:rsidRDefault="008520E2" w:rsidP="009020FE">
            <w:pPr>
              <w:widowControl/>
              <w:spacing w:before="0" w:after="0" w:line="240" w:lineRule="auto"/>
              <w:contextualSpacing w:val="0"/>
              <w:rPr>
                <w:color w:val="auto"/>
                <w:szCs w:val="20"/>
                <w:lang w:val="cs-CZ" w:eastAsia="cs-CZ"/>
              </w:rPr>
            </w:pPr>
            <w:r>
              <w:rPr>
                <w:color w:val="auto"/>
                <w:szCs w:val="20"/>
                <w:lang w:val="cs-CZ" w:eastAsia="cs-CZ"/>
              </w:rPr>
              <w:t>Martina Trávníčková</w:t>
            </w:r>
          </w:p>
          <w:p w:rsidR="00D4091C" w:rsidRPr="00D4091C" w:rsidRDefault="00D4091C" w:rsidP="009020FE">
            <w:pPr>
              <w:widowControl/>
              <w:spacing w:before="0" w:after="0" w:line="240" w:lineRule="auto"/>
              <w:contextualSpacing w:val="0"/>
              <w:rPr>
                <w:color w:val="auto"/>
                <w:szCs w:val="20"/>
                <w:lang w:val="cs-CZ" w:eastAsia="cs-CZ"/>
              </w:rPr>
            </w:pPr>
            <w:r w:rsidRPr="00D4091C">
              <w:rPr>
                <w:color w:val="auto"/>
                <w:szCs w:val="20"/>
                <w:lang w:val="cs-CZ" w:eastAsia="cs-CZ"/>
              </w:rPr>
              <w:t>upisovatel</w:t>
            </w:r>
          </w:p>
        </w:tc>
        <w:tc>
          <w:tcPr>
            <w:tcW w:w="2386" w:type="dxa"/>
          </w:tcPr>
          <w:p w:rsidR="00015409" w:rsidRPr="00D4091C" w:rsidRDefault="008520E2" w:rsidP="009020FE">
            <w:pPr>
              <w:widowControl/>
              <w:spacing w:before="0" w:after="0" w:line="240" w:lineRule="auto"/>
              <w:contextualSpacing w:val="0"/>
              <w:rPr>
                <w:color w:val="auto"/>
                <w:szCs w:val="20"/>
                <w:lang w:val="cs-CZ" w:eastAsia="cs-CZ"/>
              </w:rPr>
            </w:pPr>
            <w:r>
              <w:rPr>
                <w:color w:val="auto"/>
                <w:szCs w:val="20"/>
                <w:lang w:val="cs-CZ" w:eastAsia="cs-CZ"/>
              </w:rPr>
              <w:t xml:space="preserve">Matěj </w:t>
            </w:r>
            <w:proofErr w:type="spellStart"/>
            <w:r>
              <w:rPr>
                <w:color w:val="auto"/>
                <w:szCs w:val="20"/>
                <w:lang w:val="cs-CZ" w:eastAsia="cs-CZ"/>
              </w:rPr>
              <w:t>Marič</w:t>
            </w:r>
            <w:proofErr w:type="spellEnd"/>
          </w:p>
          <w:p w:rsidR="00D4091C" w:rsidRPr="00D4091C" w:rsidRDefault="00D4091C" w:rsidP="009020FE">
            <w:pPr>
              <w:widowControl/>
              <w:spacing w:before="0" w:after="0" w:line="240" w:lineRule="auto"/>
              <w:contextualSpacing w:val="0"/>
              <w:rPr>
                <w:color w:val="auto"/>
                <w:szCs w:val="20"/>
                <w:lang w:val="cs-CZ" w:eastAsia="cs-CZ"/>
              </w:rPr>
            </w:pPr>
            <w:r w:rsidRPr="00D4091C">
              <w:rPr>
                <w:color w:val="auto"/>
                <w:szCs w:val="20"/>
                <w:lang w:val="cs-CZ" w:eastAsia="cs-CZ"/>
              </w:rPr>
              <w:t>upisovatel</w:t>
            </w:r>
          </w:p>
        </w:tc>
        <w:tc>
          <w:tcPr>
            <w:tcW w:w="3025" w:type="dxa"/>
          </w:tcPr>
          <w:p w:rsidR="00917FAA" w:rsidRDefault="00917FAA" w:rsidP="00ED214F">
            <w:pPr>
              <w:widowControl/>
              <w:spacing w:before="0" w:after="0" w:line="240" w:lineRule="auto"/>
              <w:contextualSpacing w:val="0"/>
              <w:rPr>
                <w:color w:val="auto"/>
                <w:szCs w:val="20"/>
                <w:lang w:val="cs-CZ" w:eastAsia="cs-CZ"/>
              </w:rPr>
            </w:pPr>
            <w:r>
              <w:rPr>
                <w:szCs w:val="18"/>
              </w:rPr>
              <w:t>Ing. Jiří Hašek</w:t>
            </w:r>
            <w:r>
              <w:rPr>
                <w:rFonts w:cs="Arial"/>
                <w:szCs w:val="18"/>
              </w:rPr>
              <w:t>, CSc.</w:t>
            </w:r>
          </w:p>
          <w:p w:rsidR="00E0745A" w:rsidRPr="00D4091C" w:rsidRDefault="00D37B15" w:rsidP="00ED214F">
            <w:pPr>
              <w:widowControl/>
              <w:spacing w:before="0" w:after="0" w:line="240" w:lineRule="auto"/>
              <w:contextualSpacing w:val="0"/>
              <w:rPr>
                <w:color w:val="auto"/>
                <w:szCs w:val="20"/>
                <w:highlight w:val="yellow"/>
                <w:lang w:val="cs-CZ" w:eastAsia="cs-CZ"/>
              </w:rPr>
            </w:pPr>
            <w:r>
              <w:rPr>
                <w:szCs w:val="18"/>
              </w:rPr>
              <w:t xml:space="preserve">ředitel </w:t>
            </w:r>
          </w:p>
        </w:tc>
        <w:tc>
          <w:tcPr>
            <w:tcW w:w="2528" w:type="dxa"/>
          </w:tcPr>
          <w:p w:rsidR="00015409" w:rsidRPr="00D4091C" w:rsidRDefault="00015409" w:rsidP="009020FE">
            <w:pPr>
              <w:widowControl/>
              <w:spacing w:before="0" w:after="0" w:line="240" w:lineRule="auto"/>
              <w:contextualSpacing w:val="0"/>
              <w:rPr>
                <w:color w:val="auto"/>
                <w:szCs w:val="20"/>
                <w:lang w:val="cs-CZ" w:eastAsia="cs-CZ"/>
              </w:rPr>
            </w:pPr>
          </w:p>
        </w:tc>
      </w:tr>
    </w:tbl>
    <w:p w:rsidR="009020FE" w:rsidRPr="00D4091C" w:rsidRDefault="009020FE" w:rsidP="00B033B3">
      <w:pPr>
        <w:widowControl/>
        <w:spacing w:before="0" w:after="0" w:line="240" w:lineRule="auto"/>
        <w:contextualSpacing w:val="0"/>
        <w:jc w:val="both"/>
        <w:rPr>
          <w:rFonts w:cs="Arial"/>
          <w:color w:val="auto"/>
          <w:szCs w:val="16"/>
          <w:lang w:val="cs-CZ" w:eastAsia="cs-CZ"/>
        </w:rPr>
      </w:pPr>
    </w:p>
    <w:p w:rsidR="00015409" w:rsidRPr="00D4091C" w:rsidRDefault="00015409" w:rsidP="000D21CB">
      <w:pPr>
        <w:widowControl/>
        <w:spacing w:before="0" w:after="0" w:line="240" w:lineRule="exact"/>
        <w:contextualSpacing w:val="0"/>
        <w:jc w:val="both"/>
        <w:rPr>
          <w:rFonts w:ascii="Times New Roman" w:hAnsi="Times New Roman"/>
          <w:color w:val="auto"/>
          <w:sz w:val="28"/>
          <w:szCs w:val="20"/>
          <w:lang w:val="cs-CZ" w:eastAsia="cs-CZ"/>
        </w:rPr>
      </w:pPr>
      <w:r w:rsidRPr="00D4091C">
        <w:rPr>
          <w:rFonts w:cs="Arial"/>
          <w:color w:val="auto"/>
          <w:szCs w:val="16"/>
          <w:lang w:val="cs-CZ" w:eastAsia="cs-CZ"/>
        </w:rPr>
        <w:t>vystavil</w:t>
      </w:r>
      <w:r w:rsidR="00D4091C" w:rsidRPr="00D4091C">
        <w:rPr>
          <w:rFonts w:cs="Arial"/>
          <w:color w:val="auto"/>
          <w:szCs w:val="16"/>
          <w:lang w:val="cs-CZ" w:eastAsia="cs-CZ"/>
        </w:rPr>
        <w:t xml:space="preserve">: </w:t>
      </w:r>
      <w:proofErr w:type="spellStart"/>
      <w:r w:rsidR="008520E2" w:rsidRPr="008520E2">
        <w:rPr>
          <w:rFonts w:cs="Arial"/>
          <w:color w:val="auto"/>
          <w:szCs w:val="16"/>
          <w:highlight w:val="black"/>
          <w:lang w:val="cs-CZ" w:eastAsia="cs-CZ"/>
        </w:rPr>
        <w:t>xxxxxxxx</w:t>
      </w:r>
      <w:proofErr w:type="spellEnd"/>
      <w:r w:rsidR="00D4091C" w:rsidRPr="00D4091C">
        <w:rPr>
          <w:rFonts w:cs="Arial"/>
          <w:color w:val="auto"/>
          <w:szCs w:val="16"/>
          <w:lang w:val="cs-CZ" w:eastAsia="cs-CZ"/>
        </w:rPr>
        <w:t>, upisovatel, Korporátní a průmyslové pojištění</w:t>
      </w:r>
    </w:p>
    <w:p w:rsidR="00B542A9" w:rsidRPr="00D4091C" w:rsidRDefault="00B542A9" w:rsidP="00015409"/>
    <w:p w:rsidR="009B46B2" w:rsidRPr="00D4091C" w:rsidRDefault="009B46B2" w:rsidP="009B46B2">
      <w:pPr>
        <w:spacing w:after="0" w:line="240" w:lineRule="auto"/>
        <w:rPr>
          <w:rFonts w:cs="Arial"/>
          <w:b/>
          <w:bCs/>
          <w:iCs/>
          <w:color w:val="000000"/>
          <w:sz w:val="16"/>
          <w:szCs w:val="16"/>
        </w:rPr>
      </w:pPr>
      <w:r w:rsidRPr="00D4091C">
        <w:rPr>
          <w:rFonts w:cs="Arial"/>
          <w:b/>
          <w:bCs/>
          <w:iCs/>
          <w:color w:val="000000"/>
          <w:sz w:val="16"/>
          <w:szCs w:val="16"/>
        </w:rPr>
        <w:t xml:space="preserve">POZNÁMKY POUZE PRO POJISTITELE: </w:t>
      </w:r>
    </w:p>
    <w:p w:rsidR="009B46B2" w:rsidRPr="00D4091C" w:rsidRDefault="00D4091C" w:rsidP="009B46B2">
      <w:pPr>
        <w:spacing w:after="0" w:line="240" w:lineRule="auto"/>
        <w:rPr>
          <w:rFonts w:cs="Arial"/>
          <w:iCs/>
          <w:color w:val="000000"/>
          <w:sz w:val="16"/>
          <w:szCs w:val="16"/>
        </w:rPr>
      </w:pPr>
      <w:r w:rsidRPr="00D4091C">
        <w:rPr>
          <w:rFonts w:cs="Arial"/>
          <w:iCs/>
          <w:color w:val="000000"/>
          <w:sz w:val="16"/>
          <w:szCs w:val="16"/>
        </w:rPr>
        <w:t xml:space="preserve">PML </w:t>
      </w:r>
      <w:r w:rsidR="009B46B2" w:rsidRPr="00D4091C">
        <w:rPr>
          <w:rFonts w:cs="Arial"/>
          <w:iCs/>
          <w:color w:val="000000"/>
          <w:sz w:val="16"/>
          <w:szCs w:val="16"/>
        </w:rPr>
        <w:t xml:space="preserve">= </w:t>
      </w:r>
      <w:r w:rsidRPr="00D4091C">
        <w:rPr>
          <w:rFonts w:cs="Arial"/>
          <w:iCs/>
          <w:color w:val="000000"/>
          <w:sz w:val="16"/>
          <w:szCs w:val="16"/>
        </w:rPr>
        <w:t xml:space="preserve">20 000 000 Kč </w:t>
      </w:r>
    </w:p>
    <w:p w:rsidR="00F77588" w:rsidRPr="00D4091C" w:rsidRDefault="00F77588" w:rsidP="009B46B2">
      <w:pPr>
        <w:tabs>
          <w:tab w:val="left" w:pos="1276"/>
          <w:tab w:val="left" w:pos="1418"/>
          <w:tab w:val="left" w:pos="1843"/>
          <w:tab w:val="left" w:pos="3402"/>
        </w:tabs>
        <w:spacing w:after="0" w:line="240" w:lineRule="auto"/>
        <w:rPr>
          <w:rFonts w:cs="Arial"/>
          <w:iCs/>
          <w:color w:val="000000"/>
          <w:sz w:val="16"/>
          <w:szCs w:val="16"/>
        </w:rPr>
      </w:pPr>
      <w:r w:rsidRPr="00D4091C">
        <w:rPr>
          <w:rFonts w:cs="Arial"/>
          <w:iCs/>
          <w:color w:val="000000"/>
          <w:sz w:val="16"/>
          <w:szCs w:val="16"/>
        </w:rPr>
        <w:t xml:space="preserve">PNG = </w:t>
      </w:r>
      <w:r w:rsidR="00D4091C" w:rsidRPr="00D4091C">
        <w:rPr>
          <w:rFonts w:cs="Arial"/>
          <w:iCs/>
          <w:color w:val="000000"/>
          <w:sz w:val="16"/>
          <w:szCs w:val="16"/>
        </w:rPr>
        <w:t>0</w:t>
      </w:r>
      <w:r w:rsidRPr="00D4091C">
        <w:rPr>
          <w:rFonts w:cs="Arial"/>
          <w:iCs/>
          <w:color w:val="000000"/>
          <w:sz w:val="16"/>
          <w:szCs w:val="16"/>
        </w:rPr>
        <w:t xml:space="preserve"> Kč</w:t>
      </w:r>
    </w:p>
    <w:p w:rsidR="00F77588" w:rsidRPr="00D4091C" w:rsidRDefault="009B46B2" w:rsidP="00D4091C">
      <w:pPr>
        <w:tabs>
          <w:tab w:val="left" w:pos="1276"/>
          <w:tab w:val="left" w:pos="1418"/>
          <w:tab w:val="left" w:pos="1843"/>
          <w:tab w:val="left" w:pos="3402"/>
        </w:tabs>
        <w:spacing w:after="0" w:line="240" w:lineRule="auto"/>
        <w:rPr>
          <w:rFonts w:cs="Arial"/>
          <w:iCs/>
          <w:color w:val="000000"/>
          <w:sz w:val="16"/>
          <w:szCs w:val="16"/>
        </w:rPr>
      </w:pPr>
      <w:r w:rsidRPr="00D4091C">
        <w:rPr>
          <w:rFonts w:cs="Arial"/>
          <w:iCs/>
          <w:color w:val="000000"/>
          <w:sz w:val="16"/>
          <w:szCs w:val="16"/>
        </w:rPr>
        <w:t xml:space="preserve">Kód pojišťovny: </w:t>
      </w:r>
      <w:r w:rsidR="00F77588" w:rsidRPr="00D4091C">
        <w:rPr>
          <w:rFonts w:cs="Arial"/>
          <w:iCs/>
          <w:color w:val="000000"/>
          <w:sz w:val="16"/>
          <w:szCs w:val="16"/>
        </w:rPr>
        <w:tab/>
        <w:t>6 Lékařská, laboratorní zařízení</w:t>
      </w:r>
    </w:p>
    <w:p w:rsidR="009B46B2" w:rsidRDefault="009B46B2" w:rsidP="00015409"/>
    <w:p w:rsidR="00465B7C" w:rsidRDefault="00465B7C" w:rsidP="00015409"/>
    <w:p w:rsidR="00465B7C" w:rsidRDefault="00465B7C" w:rsidP="00015409"/>
    <w:p w:rsidR="00465B7C" w:rsidRDefault="00465B7C" w:rsidP="00015409">
      <w:pPr>
        <w:sectPr w:rsidR="00465B7C" w:rsidSect="00FF6C6C">
          <w:headerReference w:type="default" r:id="rId8"/>
          <w:footerReference w:type="default" r:id="rId9"/>
          <w:headerReference w:type="first" r:id="rId10"/>
          <w:footerReference w:type="first" r:id="rId11"/>
          <w:pgSz w:w="11900" w:h="16840" w:code="9"/>
          <w:pgMar w:top="2552" w:right="851" w:bottom="1418" w:left="1134" w:header="0" w:footer="249" w:gutter="0"/>
          <w:cols w:space="708"/>
          <w:titlePg/>
          <w:docGrid w:linePitch="360"/>
        </w:sectPr>
      </w:pPr>
    </w:p>
    <w:p w:rsidR="00465B7C" w:rsidRDefault="00465B7C" w:rsidP="00015409"/>
    <w:p w:rsidR="00806D24" w:rsidRPr="00015409" w:rsidRDefault="00806D24" w:rsidP="00BE7EDE">
      <w:pPr>
        <w:widowControl/>
        <w:spacing w:before="0" w:after="200" w:line="276" w:lineRule="auto"/>
        <w:contextualSpacing w:val="0"/>
      </w:pPr>
    </w:p>
    <w:sectPr w:rsidR="00806D24" w:rsidRPr="00015409" w:rsidSect="00465B7C">
      <w:footerReference w:type="default" r:id="rId12"/>
      <w:type w:val="continuous"/>
      <w:pgSz w:w="11900" w:h="16840" w:code="9"/>
      <w:pgMar w:top="2552" w:right="851" w:bottom="1418" w:left="1134" w:header="0"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8F2" w:rsidRDefault="005D38F2" w:rsidP="000F4E95">
      <w:pPr>
        <w:spacing w:before="0" w:after="0" w:line="240" w:lineRule="auto"/>
      </w:pPr>
      <w:r>
        <w:separator/>
      </w:r>
    </w:p>
  </w:endnote>
  <w:endnote w:type="continuationSeparator" w:id="0">
    <w:p w:rsidR="005D38F2" w:rsidRDefault="005D38F2" w:rsidP="000F4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Generali">
    <w:altName w:val="Generali"/>
    <w:panose1 w:val="00000000000000000000"/>
    <w:charset w:val="00"/>
    <w:family w:val="roman"/>
    <w:notTrueType/>
    <w:pitch w:val="default"/>
    <w:sig w:usb0="00000005" w:usb1="00000000" w:usb2="00000000" w:usb3="00000000" w:csb0="00000002" w:csb1="00000000"/>
  </w:font>
  <w:font w:name="NLMLHV+Generali-Bold">
    <w:altName w:val="General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329387"/>
      <w:docPartObj>
        <w:docPartGallery w:val="Page Numbers (Bottom of Page)"/>
        <w:docPartUnique/>
      </w:docPartObj>
    </w:sdtPr>
    <w:sdtEndPr/>
    <w:sdtContent>
      <w:p w:rsidR="00051B69" w:rsidRDefault="00051B69" w:rsidP="00465B7C">
        <w:pPr>
          <w:pStyle w:val="Zpat"/>
          <w:jc w:val="right"/>
        </w:pPr>
        <w:r>
          <w:fldChar w:fldCharType="begin"/>
        </w:r>
        <w:r>
          <w:instrText>PAGE   \* MERGEFORMAT</w:instrText>
        </w:r>
        <w:r>
          <w:fldChar w:fldCharType="separate"/>
        </w:r>
        <w:r w:rsidR="00742C67" w:rsidRPr="00742C67">
          <w:rPr>
            <w:noProof/>
            <w:lang w:val="cs-CZ"/>
          </w:rPr>
          <w:t>3</w:t>
        </w:r>
        <w:r>
          <w:fldChar w:fldCharType="end"/>
        </w:r>
        <w:r>
          <w:t xml:space="preserve"> </w:t>
        </w:r>
        <w:r>
          <w:t xml:space="preserve">/ </w:t>
        </w:r>
        <w:r w:rsidR="00465B7C">
          <w:fldChar w:fldCharType="begin"/>
        </w:r>
        <w:r w:rsidR="00465B7C">
          <w:instrText xml:space="preserve"> SECTIONPAGES  </w:instrText>
        </w:r>
        <w:r w:rsidR="00465B7C">
          <w:fldChar w:fldCharType="separate"/>
        </w:r>
        <w:r w:rsidR="00742C67">
          <w:rPr>
            <w:noProof/>
          </w:rPr>
          <w:t>3</w:t>
        </w:r>
        <w:r w:rsidR="00465B7C">
          <w:fldChar w:fldCharType="end"/>
        </w:r>
        <w:r>
          <w:t xml:space="preserve"> </w:t>
        </w:r>
      </w:p>
    </w:sdtContent>
  </w:sdt>
  <w:p w:rsidR="00051B69" w:rsidRDefault="00051B69" w:rsidP="00B542A9">
    <w:pPr>
      <w:pBdr>
        <w:top w:val="single" w:sz="4" w:space="1" w:color="auto"/>
      </w:pBdr>
      <w:spacing w:line="240" w:lineRule="auto"/>
      <w:rPr>
        <w:rFonts w:cs="Arial"/>
        <w:color w:val="595959" w:themeColor="text1" w:themeTint="A6"/>
        <w:sz w:val="12"/>
        <w:szCs w:val="12"/>
      </w:rPr>
    </w:pPr>
    <w:r>
      <w:rPr>
        <w:rFonts w:cs="Arial"/>
        <w:color w:val="595959" w:themeColor="text1" w:themeTint="A6"/>
        <w:sz w:val="12"/>
        <w:szCs w:val="12"/>
      </w:rPr>
      <w:t>G</w:t>
    </w:r>
    <w:r w:rsidRPr="000F4E95">
      <w:rPr>
        <w:rFonts w:cs="Arial"/>
        <w:color w:val="595959" w:themeColor="text1" w:themeTint="A6"/>
        <w:sz w:val="12"/>
        <w:szCs w:val="12"/>
      </w:rPr>
      <w:t>enerali Pojišťovna a.s. se sídlem Bělehradská 132, Praha 2, 12</w:t>
    </w:r>
    <w:r>
      <w:rPr>
        <w:rFonts w:cs="Arial"/>
        <w:color w:val="595959" w:themeColor="text1" w:themeTint="A6"/>
        <w:sz w:val="12"/>
        <w:szCs w:val="12"/>
      </w:rPr>
      <w:t>0</w:t>
    </w:r>
    <w:r w:rsidRPr="000F4E95">
      <w:rPr>
        <w:rFonts w:cs="Arial"/>
        <w:color w:val="595959" w:themeColor="text1" w:themeTint="A6"/>
        <w:sz w:val="12"/>
        <w:szCs w:val="12"/>
      </w:rPr>
      <w:t xml:space="preserve"> 8</w:t>
    </w:r>
    <w:r>
      <w:rPr>
        <w:rFonts w:cs="Arial"/>
        <w:color w:val="595959" w:themeColor="text1" w:themeTint="A6"/>
        <w:sz w:val="12"/>
        <w:szCs w:val="12"/>
      </w:rPr>
      <w:t>4</w:t>
    </w:r>
    <w:r w:rsidRPr="000F4E95">
      <w:rPr>
        <w:rFonts w:cs="Arial"/>
        <w:color w:val="595959" w:themeColor="text1" w:themeTint="A6"/>
        <w:sz w:val="12"/>
        <w:szCs w:val="12"/>
      </w:rPr>
      <w:t>, IČO: 61859869, DIČ: CZ699001273, je zapsaná v obchodním rejstříku v</w:t>
    </w:r>
    <w:r>
      <w:rPr>
        <w:rFonts w:cs="Arial"/>
        <w:color w:val="595959" w:themeColor="text1" w:themeTint="A6"/>
        <w:sz w:val="12"/>
        <w:szCs w:val="12"/>
      </w:rPr>
      <w:t>edeném Městským soudem v Praze,</w:t>
    </w:r>
  </w:p>
  <w:p w:rsidR="00051B69" w:rsidRPr="00F632FC" w:rsidRDefault="00051B69" w:rsidP="00B542A9">
    <w:pPr>
      <w:pBdr>
        <w:top w:val="single" w:sz="4" w:space="1" w:color="auto"/>
      </w:pBdr>
      <w:spacing w:line="240" w:lineRule="auto"/>
    </w:pPr>
    <w:r w:rsidRPr="000F4E95">
      <w:rPr>
        <w:rFonts w:cs="Arial"/>
        <w:color w:val="595959" w:themeColor="text1" w:themeTint="A6"/>
        <w:sz w:val="12"/>
        <w:szCs w:val="12"/>
      </w:rPr>
      <w:t>spisová značka B 2866 a je členem Skupiny Generali, zapsané v italském registru pojišťovacích skupin, vedeném IVASS.</w:t>
    </w:r>
    <w:r>
      <w:rPr>
        <w:rFonts w:cs="Arial"/>
        <w:color w:val="595959" w:themeColor="text1" w:themeTint="A6"/>
        <w:sz w:val="12"/>
        <w:szCs w:val="12"/>
      </w:rPr>
      <w:t xml:space="preserve"> </w:t>
    </w:r>
    <w:r w:rsidRPr="000F4E95">
      <w:rPr>
        <w:rFonts w:cs="Arial"/>
        <w:color w:val="595959" w:themeColor="text1" w:themeTint="A6"/>
        <w:sz w:val="12"/>
        <w:szCs w:val="12"/>
      </w:rPr>
      <w:t xml:space="preserve">Klientský servis: 844 188 188, </w:t>
    </w:r>
    <w:hyperlink r:id="rId1" w:history="1">
      <w:r w:rsidRPr="000F4E95">
        <w:rPr>
          <w:rStyle w:val="Hypertextovodkaz"/>
          <w:rFonts w:cs="Arial"/>
          <w:color w:val="595959" w:themeColor="text1" w:themeTint="A6"/>
          <w:sz w:val="12"/>
          <w:szCs w:val="12"/>
          <w:u w:val="none"/>
        </w:rPr>
        <w:t>generali.cz</w:t>
      </w:r>
    </w:hyperlink>
    <w:r w:rsidRPr="000F4E95">
      <w:rPr>
        <w:rFonts w:cs="Arial"/>
        <w:color w:val="595959" w:themeColor="text1" w:themeTint="A6"/>
        <w:sz w:val="12"/>
        <w:szCs w:val="12"/>
      </w:rPr>
      <w:t xml:space="preserve">, e-mail: </w:t>
    </w:r>
    <w:hyperlink r:id="rId2" w:history="1">
      <w:r w:rsidRPr="000F4E95">
        <w:rPr>
          <w:rStyle w:val="Hypertextovodkaz"/>
          <w:rFonts w:cs="Arial"/>
          <w:color w:val="595959" w:themeColor="text1" w:themeTint="A6"/>
          <w:sz w:val="12"/>
          <w:szCs w:val="12"/>
          <w:u w:val="none"/>
        </w:rPr>
        <w:t>servis@generali.cz</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69" w:rsidRDefault="00051B69" w:rsidP="00E024BA">
    <w:pPr>
      <w:pBdr>
        <w:top w:val="single" w:sz="4" w:space="1" w:color="auto"/>
      </w:pBdr>
      <w:spacing w:line="240" w:lineRule="auto"/>
      <w:rPr>
        <w:rFonts w:cs="Arial"/>
        <w:color w:val="595959" w:themeColor="text1" w:themeTint="A6"/>
        <w:sz w:val="12"/>
        <w:szCs w:val="12"/>
      </w:rPr>
    </w:pPr>
    <w:r>
      <w:rPr>
        <w:rFonts w:cs="Arial"/>
        <w:color w:val="595959" w:themeColor="text1" w:themeTint="A6"/>
        <w:sz w:val="12"/>
        <w:szCs w:val="12"/>
      </w:rPr>
      <w:t>G</w:t>
    </w:r>
    <w:r w:rsidRPr="000F4E95">
      <w:rPr>
        <w:rFonts w:cs="Arial"/>
        <w:color w:val="595959" w:themeColor="text1" w:themeTint="A6"/>
        <w:sz w:val="12"/>
        <w:szCs w:val="12"/>
      </w:rPr>
      <w:t>enerali Pojišťovna a.s. se sídlem Bělehradská 132, Praha 2, 12</w:t>
    </w:r>
    <w:r>
      <w:rPr>
        <w:rFonts w:cs="Arial"/>
        <w:color w:val="595959" w:themeColor="text1" w:themeTint="A6"/>
        <w:sz w:val="12"/>
        <w:szCs w:val="12"/>
      </w:rPr>
      <w:t>0</w:t>
    </w:r>
    <w:r w:rsidRPr="000F4E95">
      <w:rPr>
        <w:rFonts w:cs="Arial"/>
        <w:color w:val="595959" w:themeColor="text1" w:themeTint="A6"/>
        <w:sz w:val="12"/>
        <w:szCs w:val="12"/>
      </w:rPr>
      <w:t xml:space="preserve"> 8</w:t>
    </w:r>
    <w:r>
      <w:rPr>
        <w:rFonts w:cs="Arial"/>
        <w:color w:val="595959" w:themeColor="text1" w:themeTint="A6"/>
        <w:sz w:val="12"/>
        <w:szCs w:val="12"/>
      </w:rPr>
      <w:t>4</w:t>
    </w:r>
    <w:r w:rsidRPr="000F4E95">
      <w:rPr>
        <w:rFonts w:cs="Arial"/>
        <w:color w:val="595959" w:themeColor="text1" w:themeTint="A6"/>
        <w:sz w:val="12"/>
        <w:szCs w:val="12"/>
      </w:rPr>
      <w:t>, IČO: 61859869, DIČ: CZ699001273, je zapsaná v obchodním rejstříku v</w:t>
    </w:r>
    <w:r>
      <w:rPr>
        <w:rFonts w:cs="Arial"/>
        <w:color w:val="595959" w:themeColor="text1" w:themeTint="A6"/>
        <w:sz w:val="12"/>
        <w:szCs w:val="12"/>
      </w:rPr>
      <w:t>edeném Městským soudem v Praze,</w:t>
    </w:r>
  </w:p>
  <w:p w:rsidR="00051B69" w:rsidRPr="00F632FC" w:rsidRDefault="00051B69" w:rsidP="00E024BA">
    <w:pPr>
      <w:pBdr>
        <w:top w:val="single" w:sz="4" w:space="1" w:color="auto"/>
      </w:pBdr>
      <w:spacing w:line="240" w:lineRule="auto"/>
    </w:pPr>
    <w:r w:rsidRPr="000F4E95">
      <w:rPr>
        <w:rFonts w:cs="Arial"/>
        <w:color w:val="595959" w:themeColor="text1" w:themeTint="A6"/>
        <w:sz w:val="12"/>
        <w:szCs w:val="12"/>
      </w:rPr>
      <w:t>spisová značka B 2866 a je členem Skupiny Generali, zapsané v italském registru pojišťovacích skupin, vedeném IVASS.</w:t>
    </w:r>
    <w:r>
      <w:rPr>
        <w:rFonts w:cs="Arial"/>
        <w:color w:val="595959" w:themeColor="text1" w:themeTint="A6"/>
        <w:sz w:val="12"/>
        <w:szCs w:val="12"/>
      </w:rPr>
      <w:t xml:space="preserve"> </w:t>
    </w:r>
    <w:r w:rsidRPr="000F4E95">
      <w:rPr>
        <w:rFonts w:cs="Arial"/>
        <w:color w:val="595959" w:themeColor="text1" w:themeTint="A6"/>
        <w:sz w:val="12"/>
        <w:szCs w:val="12"/>
      </w:rPr>
      <w:t xml:space="preserve">Klientský servis: 844 188 188, </w:t>
    </w:r>
    <w:hyperlink r:id="rId1" w:history="1">
      <w:r w:rsidRPr="000F4E95">
        <w:rPr>
          <w:rStyle w:val="Hypertextovodkaz"/>
          <w:rFonts w:cs="Arial"/>
          <w:color w:val="595959" w:themeColor="text1" w:themeTint="A6"/>
          <w:sz w:val="12"/>
          <w:szCs w:val="12"/>
          <w:u w:val="none"/>
        </w:rPr>
        <w:t>generali.cz</w:t>
      </w:r>
    </w:hyperlink>
    <w:r w:rsidRPr="000F4E95">
      <w:rPr>
        <w:rFonts w:cs="Arial"/>
        <w:color w:val="595959" w:themeColor="text1" w:themeTint="A6"/>
        <w:sz w:val="12"/>
        <w:szCs w:val="12"/>
      </w:rPr>
      <w:t xml:space="preserve">, e-mail: </w:t>
    </w:r>
    <w:hyperlink r:id="rId2" w:history="1">
      <w:r w:rsidRPr="000F4E95">
        <w:rPr>
          <w:rStyle w:val="Hypertextovodkaz"/>
          <w:rFonts w:cs="Arial"/>
          <w:color w:val="595959" w:themeColor="text1" w:themeTint="A6"/>
          <w:sz w:val="12"/>
          <w:szCs w:val="12"/>
          <w:u w:val="none"/>
        </w:rPr>
        <w:t>servis@generali.cz</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7C" w:rsidRDefault="00465B7C" w:rsidP="00C12811">
    <w:pPr>
      <w:pStyle w:val="Zpat"/>
    </w:pPr>
  </w:p>
  <w:p w:rsidR="00465B7C" w:rsidRDefault="00465B7C" w:rsidP="00B542A9">
    <w:pPr>
      <w:pBdr>
        <w:top w:val="single" w:sz="4" w:space="1" w:color="auto"/>
      </w:pBdr>
      <w:spacing w:line="240" w:lineRule="auto"/>
      <w:rPr>
        <w:rFonts w:cs="Arial"/>
        <w:color w:val="595959" w:themeColor="text1" w:themeTint="A6"/>
        <w:sz w:val="12"/>
        <w:szCs w:val="12"/>
      </w:rPr>
    </w:pPr>
    <w:r>
      <w:rPr>
        <w:rFonts w:cs="Arial"/>
        <w:color w:val="595959" w:themeColor="text1" w:themeTint="A6"/>
        <w:sz w:val="12"/>
        <w:szCs w:val="12"/>
      </w:rPr>
      <w:t>G</w:t>
    </w:r>
    <w:r w:rsidRPr="000F4E95">
      <w:rPr>
        <w:rFonts w:cs="Arial"/>
        <w:color w:val="595959" w:themeColor="text1" w:themeTint="A6"/>
        <w:sz w:val="12"/>
        <w:szCs w:val="12"/>
      </w:rPr>
      <w:t>enerali Pojišťovna a.s. se sídlem Bělehradská 132, Praha 2, 12</w:t>
    </w:r>
    <w:r>
      <w:rPr>
        <w:rFonts w:cs="Arial"/>
        <w:color w:val="595959" w:themeColor="text1" w:themeTint="A6"/>
        <w:sz w:val="12"/>
        <w:szCs w:val="12"/>
      </w:rPr>
      <w:t>0</w:t>
    </w:r>
    <w:r w:rsidRPr="000F4E95">
      <w:rPr>
        <w:rFonts w:cs="Arial"/>
        <w:color w:val="595959" w:themeColor="text1" w:themeTint="A6"/>
        <w:sz w:val="12"/>
        <w:szCs w:val="12"/>
      </w:rPr>
      <w:t xml:space="preserve"> 8</w:t>
    </w:r>
    <w:r>
      <w:rPr>
        <w:rFonts w:cs="Arial"/>
        <w:color w:val="595959" w:themeColor="text1" w:themeTint="A6"/>
        <w:sz w:val="12"/>
        <w:szCs w:val="12"/>
      </w:rPr>
      <w:t>4</w:t>
    </w:r>
    <w:r w:rsidRPr="000F4E95">
      <w:rPr>
        <w:rFonts w:cs="Arial"/>
        <w:color w:val="595959" w:themeColor="text1" w:themeTint="A6"/>
        <w:sz w:val="12"/>
        <w:szCs w:val="12"/>
      </w:rPr>
      <w:t>, IČO: 61859869, DIČ: CZ699001273, je zapsaná v obchodním rejstříku v</w:t>
    </w:r>
    <w:r>
      <w:rPr>
        <w:rFonts w:cs="Arial"/>
        <w:color w:val="595959" w:themeColor="text1" w:themeTint="A6"/>
        <w:sz w:val="12"/>
        <w:szCs w:val="12"/>
      </w:rPr>
      <w:t>edeném Městským soudem v Praze,</w:t>
    </w:r>
  </w:p>
  <w:p w:rsidR="00465B7C" w:rsidRPr="00F632FC" w:rsidRDefault="00465B7C" w:rsidP="00B542A9">
    <w:pPr>
      <w:pBdr>
        <w:top w:val="single" w:sz="4" w:space="1" w:color="auto"/>
      </w:pBdr>
      <w:spacing w:line="240" w:lineRule="auto"/>
    </w:pPr>
    <w:r w:rsidRPr="000F4E95">
      <w:rPr>
        <w:rFonts w:cs="Arial"/>
        <w:color w:val="595959" w:themeColor="text1" w:themeTint="A6"/>
        <w:sz w:val="12"/>
        <w:szCs w:val="12"/>
      </w:rPr>
      <w:t>spisová značka B 2866 a je členem Skupiny Generali, zapsané v italském registru pojišťovacích skupin, vedeném IVASS.</w:t>
    </w:r>
    <w:r>
      <w:rPr>
        <w:rFonts w:cs="Arial"/>
        <w:color w:val="595959" w:themeColor="text1" w:themeTint="A6"/>
        <w:sz w:val="12"/>
        <w:szCs w:val="12"/>
      </w:rPr>
      <w:t xml:space="preserve"> </w:t>
    </w:r>
    <w:r w:rsidRPr="000F4E95">
      <w:rPr>
        <w:rFonts w:cs="Arial"/>
        <w:color w:val="595959" w:themeColor="text1" w:themeTint="A6"/>
        <w:sz w:val="12"/>
        <w:szCs w:val="12"/>
      </w:rPr>
      <w:t xml:space="preserve">Klientský servis: 844 188 188, </w:t>
    </w:r>
    <w:hyperlink r:id="rId1" w:history="1">
      <w:r w:rsidRPr="000F4E95">
        <w:rPr>
          <w:rStyle w:val="Hypertextovodkaz"/>
          <w:rFonts w:cs="Arial"/>
          <w:color w:val="595959" w:themeColor="text1" w:themeTint="A6"/>
          <w:sz w:val="12"/>
          <w:szCs w:val="12"/>
          <w:u w:val="none"/>
        </w:rPr>
        <w:t>generali.cz</w:t>
      </w:r>
    </w:hyperlink>
    <w:r w:rsidRPr="000F4E95">
      <w:rPr>
        <w:rFonts w:cs="Arial"/>
        <w:color w:val="595959" w:themeColor="text1" w:themeTint="A6"/>
        <w:sz w:val="12"/>
        <w:szCs w:val="12"/>
      </w:rPr>
      <w:t xml:space="preserve">, e-mail: </w:t>
    </w:r>
    <w:hyperlink r:id="rId2" w:history="1">
      <w:r w:rsidRPr="000F4E95">
        <w:rPr>
          <w:rStyle w:val="Hypertextovodkaz"/>
          <w:rFonts w:cs="Arial"/>
          <w:color w:val="595959" w:themeColor="text1" w:themeTint="A6"/>
          <w:sz w:val="12"/>
          <w:szCs w:val="12"/>
          <w:u w:val="none"/>
        </w:rPr>
        <w:t>servis@generali.cz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8F2" w:rsidRDefault="005D38F2" w:rsidP="000F4E95">
      <w:pPr>
        <w:spacing w:before="0" w:after="0" w:line="240" w:lineRule="auto"/>
      </w:pPr>
      <w:r>
        <w:separator/>
      </w:r>
    </w:p>
  </w:footnote>
  <w:footnote w:type="continuationSeparator" w:id="0">
    <w:p w:rsidR="005D38F2" w:rsidRDefault="005D38F2" w:rsidP="000F4E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69" w:rsidRPr="0044203B" w:rsidRDefault="00051B69" w:rsidP="00BF3C05">
    <w:pPr>
      <w:pStyle w:val="Zhlav"/>
      <w:framePr w:hSpace="0" w:vSpace="0" w:wrap="auto" w:vAnchor="margin" w:yAlign="inli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69" w:rsidRPr="008D16C8" w:rsidRDefault="00BE7EDE" w:rsidP="009208BA">
    <w:pPr>
      <w:pStyle w:val="Zhlav"/>
      <w:framePr w:hSpace="0" w:vSpace="0" w:wrap="auto" w:vAnchor="margin" w:yAlign="inline"/>
      <w:tabs>
        <w:tab w:val="left" w:pos="284"/>
      </w:tabs>
    </w:pPr>
    <w:r>
      <w:rPr>
        <w:noProof/>
        <w:lang w:val="cs-CZ" w:eastAsia="cs-CZ"/>
      </w:rPr>
      <w:drawing>
        <wp:anchor distT="0" distB="0" distL="114300" distR="114300" simplePos="0" relativeHeight="251679744" behindDoc="1" locked="0" layoutInCell="1" allowOverlap="1" wp14:anchorId="3ACB5EAD" wp14:editId="26FBE605">
          <wp:simplePos x="0" y="0"/>
          <wp:positionH relativeFrom="column">
            <wp:posOffset>6985</wp:posOffset>
          </wp:positionH>
          <wp:positionV relativeFrom="paragraph">
            <wp:posOffset>278130</wp:posOffset>
          </wp:positionV>
          <wp:extent cx="932329" cy="755186"/>
          <wp:effectExtent l="0" t="0" r="1270"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nerali_2014_RGB_linky.png"/>
                  <pic:cNvPicPr/>
                </pic:nvPicPr>
                <pic:blipFill>
                  <a:blip r:embed="rId1">
                    <a:extLst>
                      <a:ext uri="{28A0092B-C50C-407E-A947-70E740481C1C}">
                        <a14:useLocalDpi xmlns:a14="http://schemas.microsoft.com/office/drawing/2010/main" val="0"/>
                      </a:ext>
                    </a:extLst>
                  </a:blip>
                  <a:stretch>
                    <a:fillRect/>
                  </a:stretch>
                </pic:blipFill>
                <pic:spPr>
                  <a:xfrm>
                    <a:off x="0" y="0"/>
                    <a:ext cx="932329" cy="755186"/>
                  </a:xfrm>
                  <a:prstGeom prst="rect">
                    <a:avLst/>
                  </a:prstGeom>
                </pic:spPr>
              </pic:pic>
            </a:graphicData>
          </a:graphic>
          <wp14:sizeRelH relativeFrom="page">
            <wp14:pctWidth>0</wp14:pctWidth>
          </wp14:sizeRelH>
          <wp14:sizeRelV relativeFrom="page">
            <wp14:pctHeight>0</wp14:pctHeight>
          </wp14:sizeRelV>
        </wp:anchor>
      </w:drawing>
    </w:r>
    <w:r w:rsidR="00051B69" w:rsidRPr="0065180F">
      <w:rPr>
        <w:rFonts w:cs="Arial"/>
        <w:noProof/>
        <w:sz w:val="20"/>
        <w:szCs w:val="20"/>
        <w:lang w:val="cs-CZ" w:eastAsia="cs-CZ"/>
      </w:rPr>
      <mc:AlternateContent>
        <mc:Choice Requires="wps">
          <w:drawing>
            <wp:anchor distT="0" distB="0" distL="114300" distR="114300" simplePos="0" relativeHeight="251682816" behindDoc="1" locked="1" layoutInCell="0" allowOverlap="0" wp14:anchorId="3FC17357" wp14:editId="7B72A353">
              <wp:simplePos x="0" y="0"/>
              <wp:positionH relativeFrom="column">
                <wp:posOffset>483235</wp:posOffset>
              </wp:positionH>
              <wp:positionV relativeFrom="page">
                <wp:posOffset>830580</wp:posOffset>
              </wp:positionV>
              <wp:extent cx="5158740" cy="791210"/>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5158740" cy="791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B69" w:rsidRPr="00BE7EDE" w:rsidRDefault="00BE7EDE" w:rsidP="00BF35F6">
                          <w:pPr>
                            <w:spacing w:before="100" w:beforeAutospacing="1" w:after="80" w:line="240" w:lineRule="auto"/>
                            <w:rPr>
                              <w:color w:val="C00000"/>
                              <w:sz w:val="36"/>
                              <w:szCs w:val="36"/>
                              <w:lang w:val="cs-CZ"/>
                            </w:rPr>
                          </w:pPr>
                          <w:r w:rsidRPr="00BE7EDE">
                            <w:rPr>
                              <w:color w:val="C00000"/>
                              <w:sz w:val="36"/>
                              <w:szCs w:val="36"/>
                              <w:lang w:val="cs-CZ"/>
                            </w:rPr>
                            <w:t xml:space="preserve">Dodatek č. 1 k pojistné smlouvě </w:t>
                          </w:r>
                          <w:r w:rsidR="00051B69" w:rsidRPr="00BE7EDE">
                            <w:rPr>
                              <w:color w:val="C00000"/>
                              <w:sz w:val="36"/>
                              <w:szCs w:val="36"/>
                              <w:lang w:val="cs-CZ"/>
                            </w:rPr>
                            <w:t xml:space="preserve">č. </w:t>
                          </w:r>
                          <w:r w:rsidR="00623256" w:rsidRPr="00BE7EDE">
                            <w:rPr>
                              <w:color w:val="C00000"/>
                              <w:sz w:val="36"/>
                              <w:szCs w:val="36"/>
                              <w:lang w:val="cs-CZ"/>
                            </w:rPr>
                            <w:t>1014160035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17357" id="_x0000_t202" coordsize="21600,21600" o:spt="202" path="m,l,21600r21600,l21600,xe">
              <v:stroke joinstyle="miter"/>
              <v:path gradientshapeok="t" o:connecttype="rect"/>
            </v:shapetype>
            <v:shape id="Textové pole 7" o:spid="_x0000_s1026" type="#_x0000_t202" style="position:absolute;margin-left:38.05pt;margin-top:65.4pt;width:406.2pt;height:62.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" o:allowincell="f" o:allowoverlap="f" filled="f" stroked="f" strokeweight=".5pt">
              <v:textbox>
                <w:txbxContent>
                  <w:p w:rsidR="00051B69" w:rsidRPr="00BE7EDE" w:rsidRDefault="00BE7EDE" w:rsidP="00BF35F6">
                    <w:pPr>
                      <w:spacing w:before="100" w:beforeAutospacing="1" w:after="80" w:line="240" w:lineRule="auto"/>
                      <w:rPr>
                        <w:color w:val="C00000"/>
                        <w:sz w:val="36"/>
                        <w:szCs w:val="36"/>
                        <w:lang w:val="cs-CZ"/>
                      </w:rPr>
                    </w:pPr>
                    <w:r w:rsidRPr="00BE7EDE">
                      <w:rPr>
                        <w:color w:val="C00000"/>
                        <w:sz w:val="36"/>
                        <w:szCs w:val="36"/>
                        <w:lang w:val="cs-CZ"/>
                      </w:rPr>
                      <w:t xml:space="preserve">Dodatek č. 1 k pojistné smlouvě </w:t>
                    </w:r>
                    <w:r w:rsidR="00051B69" w:rsidRPr="00BE7EDE">
                      <w:rPr>
                        <w:color w:val="C00000"/>
                        <w:sz w:val="36"/>
                        <w:szCs w:val="36"/>
                        <w:lang w:val="cs-CZ"/>
                      </w:rPr>
                      <w:t xml:space="preserve">č. </w:t>
                    </w:r>
                    <w:r w:rsidR="00623256" w:rsidRPr="00BE7EDE">
                      <w:rPr>
                        <w:color w:val="C00000"/>
                        <w:sz w:val="36"/>
                        <w:szCs w:val="36"/>
                        <w:lang w:val="cs-CZ"/>
                      </w:rPr>
                      <w:t>1014160035</w:t>
                    </w:r>
                  </w:p>
                </w:txbxContent>
              </v:textbox>
              <w10:wrap anchory="page"/>
              <w10:anchorlock/>
            </v:shape>
          </w:pict>
        </mc:Fallback>
      </mc:AlternateContent>
    </w:r>
    <w:r w:rsidR="00051B69">
      <w:rPr>
        <w:noProof/>
        <w:lang w:val="cs-CZ" w:eastAsia="cs-CZ"/>
      </w:rPr>
      <w:drawing>
        <wp:anchor distT="0" distB="0" distL="114300" distR="114300" simplePos="0" relativeHeight="251659264" behindDoc="1" locked="1" layoutInCell="1" allowOverlap="1" wp14:anchorId="25FED2D1" wp14:editId="3BEA56BF">
          <wp:simplePos x="0" y="0"/>
          <wp:positionH relativeFrom="column">
            <wp:posOffset>-2520315</wp:posOffset>
          </wp:positionH>
          <wp:positionV relativeFrom="page">
            <wp:posOffset>0</wp:posOffset>
          </wp:positionV>
          <wp:extent cx="1800860" cy="1440180"/>
          <wp:effectExtent l="0" t="0" r="2540" b="762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1440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0D6"/>
    <w:multiLevelType w:val="hybridMultilevel"/>
    <w:tmpl w:val="677C5F62"/>
    <w:lvl w:ilvl="0" w:tplc="7FB48ADA">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01626A"/>
    <w:multiLevelType w:val="hybridMultilevel"/>
    <w:tmpl w:val="9D960B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5022D"/>
    <w:multiLevelType w:val="hybridMultilevel"/>
    <w:tmpl w:val="0F9C35A8"/>
    <w:lvl w:ilvl="0" w:tplc="31CCAE1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B51CC8"/>
    <w:multiLevelType w:val="hybridMultilevel"/>
    <w:tmpl w:val="EE98E458"/>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0B9922F0"/>
    <w:multiLevelType w:val="hybridMultilevel"/>
    <w:tmpl w:val="353A4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B00E0F"/>
    <w:multiLevelType w:val="hybridMultilevel"/>
    <w:tmpl w:val="D5162C4A"/>
    <w:lvl w:ilvl="0" w:tplc="85A8F902">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D24DCE"/>
    <w:multiLevelType w:val="hybridMultilevel"/>
    <w:tmpl w:val="C73608F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426884"/>
    <w:multiLevelType w:val="hybridMultilevel"/>
    <w:tmpl w:val="4A760934"/>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58E0C01"/>
    <w:multiLevelType w:val="hybridMultilevel"/>
    <w:tmpl w:val="532E8D3A"/>
    <w:lvl w:ilvl="0" w:tplc="98FEBFC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F2BCB"/>
    <w:multiLevelType w:val="hybridMultilevel"/>
    <w:tmpl w:val="0D12C696"/>
    <w:lvl w:ilvl="0" w:tplc="1C847A78">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9D74D1"/>
    <w:multiLevelType w:val="hybridMultilevel"/>
    <w:tmpl w:val="A0BA7AB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3E1555"/>
    <w:multiLevelType w:val="hybridMultilevel"/>
    <w:tmpl w:val="76725EA0"/>
    <w:lvl w:ilvl="0" w:tplc="7FB48ADA">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A695E70"/>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DF86359"/>
    <w:multiLevelType w:val="hybridMultilevel"/>
    <w:tmpl w:val="1F9263EA"/>
    <w:lvl w:ilvl="0" w:tplc="CFD0D3CE">
      <w:start w:val="1"/>
      <w:numFmt w:val="decimal"/>
      <w:lvlText w:val="%1."/>
      <w:lvlJc w:val="left"/>
      <w:pPr>
        <w:tabs>
          <w:tab w:val="num" w:pos="360"/>
        </w:tabs>
        <w:ind w:left="340" w:hanging="340"/>
      </w:pPr>
      <w:rPr>
        <w:rFonts w:hint="default"/>
      </w:rPr>
    </w:lvl>
    <w:lvl w:ilvl="1" w:tplc="FFFFFFFF">
      <w:start w:val="1"/>
      <w:numFmt w:val="bullet"/>
      <w:lvlText w:val=""/>
      <w:lvlJc w:val="left"/>
      <w:pPr>
        <w:tabs>
          <w:tab w:val="num" w:pos="1534"/>
        </w:tabs>
        <w:ind w:left="1534" w:hanging="454"/>
      </w:pPr>
      <w:rPr>
        <w:rFonts w:ascii="Symbol" w:hAnsi="Symbol" w:hint="default"/>
      </w:rPr>
    </w:lvl>
    <w:lvl w:ilvl="2" w:tplc="BE741B7A">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1B005F"/>
    <w:multiLevelType w:val="hybridMultilevel"/>
    <w:tmpl w:val="B6BA82C0"/>
    <w:lvl w:ilvl="0" w:tplc="98FEBFC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B61973"/>
    <w:multiLevelType w:val="hybridMultilevel"/>
    <w:tmpl w:val="0296A2F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7" w15:restartNumberingAfterBreak="0">
    <w:nsid w:val="26CE627C"/>
    <w:multiLevelType w:val="hybridMultilevel"/>
    <w:tmpl w:val="D1286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4E05AE"/>
    <w:multiLevelType w:val="hybridMultilevel"/>
    <w:tmpl w:val="3774B158"/>
    <w:lvl w:ilvl="0" w:tplc="A0E4BFAE">
      <w:start w:val="7"/>
      <w:numFmt w:val="bullet"/>
      <w:lvlText w:val=""/>
      <w:lvlJc w:val="left"/>
      <w:pPr>
        <w:ind w:left="720" w:hanging="360"/>
      </w:pPr>
      <w:rPr>
        <w:rFonts w:ascii="Symbol" w:eastAsiaTheme="minorHAnsi"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8D7756"/>
    <w:multiLevelType w:val="multilevel"/>
    <w:tmpl w:val="75E0B0BA"/>
    <w:lvl w:ilvl="0">
      <w:start w:val="2"/>
      <w:numFmt w:val="decimal"/>
      <w:lvlText w:val="%1."/>
      <w:lvlJc w:val="left"/>
      <w:pPr>
        <w:tabs>
          <w:tab w:val="num" w:pos="1080"/>
        </w:tabs>
        <w:ind w:left="1080" w:hanging="720"/>
      </w:pPr>
      <w:rPr>
        <w:rFonts w:hint="default"/>
      </w:rPr>
    </w:lvl>
    <w:lvl w:ilvl="1">
      <w:start w:val="6"/>
      <w:numFmt w:val="decimal"/>
      <w:isLgl/>
      <w:lvlText w:val="%1.%2."/>
      <w:lvlJc w:val="left"/>
      <w:pPr>
        <w:ind w:left="720" w:hanging="360"/>
      </w:pPr>
      <w:rPr>
        <w:rFonts w:ascii="Arial" w:hAnsi="Arial"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1B5473"/>
    <w:multiLevelType w:val="hybridMultilevel"/>
    <w:tmpl w:val="1B782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C35905"/>
    <w:multiLevelType w:val="hybridMultilevel"/>
    <w:tmpl w:val="D5162C4A"/>
    <w:lvl w:ilvl="0" w:tplc="85A8F902">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8E7879"/>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7DE110D"/>
    <w:multiLevelType w:val="hybridMultilevel"/>
    <w:tmpl w:val="2B3E68B6"/>
    <w:lvl w:ilvl="0" w:tplc="BF2C8E7E">
      <w:start w:val="1"/>
      <w:numFmt w:val="bullet"/>
      <w:lvlText w:val=""/>
      <w:lvlJc w:val="left"/>
      <w:pPr>
        <w:ind w:left="720" w:hanging="360"/>
      </w:pPr>
      <w:rPr>
        <w:rFonts w:ascii="Symbol" w:hAnsi="Symbo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A62B3B"/>
    <w:multiLevelType w:val="hybridMultilevel"/>
    <w:tmpl w:val="54C6C27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3AC4EBA"/>
    <w:multiLevelType w:val="hybridMultilevel"/>
    <w:tmpl w:val="FE743F0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6" w15:restartNumberingAfterBreak="0">
    <w:nsid w:val="442173F7"/>
    <w:multiLevelType w:val="hybridMultilevel"/>
    <w:tmpl w:val="29785F8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45547387"/>
    <w:multiLevelType w:val="hybridMultilevel"/>
    <w:tmpl w:val="3C9A69E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681BF7"/>
    <w:multiLevelType w:val="hybridMultilevel"/>
    <w:tmpl w:val="667E476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545755"/>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4BF70B4E"/>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0313B29"/>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5A2785D"/>
    <w:multiLevelType w:val="hybridMultilevel"/>
    <w:tmpl w:val="A59006E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85639E"/>
    <w:multiLevelType w:val="hybridMultilevel"/>
    <w:tmpl w:val="D6308D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0F613F4"/>
    <w:multiLevelType w:val="hybridMultilevel"/>
    <w:tmpl w:val="92566920"/>
    <w:lvl w:ilvl="0" w:tplc="4E2443CE">
      <w:start w:val="1"/>
      <w:numFmt w:val="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6079AE"/>
    <w:multiLevelType w:val="hybridMultilevel"/>
    <w:tmpl w:val="CB00625C"/>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6" w15:restartNumberingAfterBreak="0">
    <w:nsid w:val="66D0135E"/>
    <w:multiLevelType w:val="hybridMultilevel"/>
    <w:tmpl w:val="4D74D20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7" w15:restartNumberingAfterBreak="0">
    <w:nsid w:val="67405EE5"/>
    <w:multiLevelType w:val="hybridMultilevel"/>
    <w:tmpl w:val="8D9E5496"/>
    <w:lvl w:ilvl="0" w:tplc="04050001">
      <w:start w:val="1"/>
      <w:numFmt w:val="bullet"/>
      <w:lvlText w:val=""/>
      <w:lvlJc w:val="left"/>
      <w:pPr>
        <w:ind w:left="1572" w:hanging="360"/>
      </w:pPr>
      <w:rPr>
        <w:rFonts w:ascii="Symbol" w:hAnsi="Symbol"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8" w15:restartNumberingAfterBreak="0">
    <w:nsid w:val="69484E7C"/>
    <w:multiLevelType w:val="hybridMultilevel"/>
    <w:tmpl w:val="A14A3A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D63A06"/>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5E242CB"/>
    <w:multiLevelType w:val="hybridMultilevel"/>
    <w:tmpl w:val="5B5C63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013359"/>
    <w:multiLevelType w:val="hybridMultilevel"/>
    <w:tmpl w:val="0A5CD7C4"/>
    <w:lvl w:ilvl="0" w:tplc="B07620E8">
      <w:start w:val="1"/>
      <w:numFmt w:val="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27558D"/>
    <w:multiLevelType w:val="multilevel"/>
    <w:tmpl w:val="B70E34E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3" w15:restartNumberingAfterBreak="0">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41"/>
  </w:num>
  <w:num w:numId="4">
    <w:abstractNumId w:val="43"/>
  </w:num>
  <w:num w:numId="5">
    <w:abstractNumId w:val="22"/>
  </w:num>
  <w:num w:numId="6">
    <w:abstractNumId w:val="29"/>
  </w:num>
  <w:num w:numId="7">
    <w:abstractNumId w:val="39"/>
  </w:num>
  <w:num w:numId="8">
    <w:abstractNumId w:val="42"/>
  </w:num>
  <w:num w:numId="9">
    <w:abstractNumId w:val="37"/>
  </w:num>
  <w:num w:numId="10">
    <w:abstractNumId w:val="36"/>
  </w:num>
  <w:num w:numId="11">
    <w:abstractNumId w:val="25"/>
  </w:num>
  <w:num w:numId="12">
    <w:abstractNumId w:val="35"/>
  </w:num>
  <w:num w:numId="13">
    <w:abstractNumId w:val="16"/>
  </w:num>
  <w:num w:numId="14">
    <w:abstractNumId w:val="9"/>
  </w:num>
  <w:num w:numId="15">
    <w:abstractNumId w:val="40"/>
  </w:num>
  <w:num w:numId="16">
    <w:abstractNumId w:val="2"/>
  </w:num>
  <w:num w:numId="17">
    <w:abstractNumId w:val="30"/>
  </w:num>
  <w:num w:numId="18">
    <w:abstractNumId w:val="19"/>
  </w:num>
  <w:num w:numId="19">
    <w:abstractNumId w:val="20"/>
  </w:num>
  <w:num w:numId="20">
    <w:abstractNumId w:val="15"/>
  </w:num>
  <w:num w:numId="21">
    <w:abstractNumId w:val="8"/>
  </w:num>
  <w:num w:numId="22">
    <w:abstractNumId w:val="14"/>
  </w:num>
  <w:num w:numId="23">
    <w:abstractNumId w:val="17"/>
  </w:num>
  <w:num w:numId="24">
    <w:abstractNumId w:val="38"/>
  </w:num>
  <w:num w:numId="25">
    <w:abstractNumId w:val="21"/>
  </w:num>
  <w:num w:numId="26">
    <w:abstractNumId w:val="5"/>
  </w:num>
  <w:num w:numId="27">
    <w:abstractNumId w:val="4"/>
  </w:num>
  <w:num w:numId="28">
    <w:abstractNumId w:val="11"/>
  </w:num>
  <w:num w:numId="29">
    <w:abstractNumId w:val="1"/>
  </w:num>
  <w:num w:numId="30">
    <w:abstractNumId w:val="3"/>
  </w:num>
  <w:num w:numId="31">
    <w:abstractNumId w:val="31"/>
  </w:num>
  <w:num w:numId="32">
    <w:abstractNumId w:val="7"/>
  </w:num>
  <w:num w:numId="33">
    <w:abstractNumId w:val="12"/>
  </w:num>
  <w:num w:numId="34">
    <w:abstractNumId w:val="18"/>
  </w:num>
  <w:num w:numId="35">
    <w:abstractNumId w:val="13"/>
  </w:num>
  <w:num w:numId="36">
    <w:abstractNumId w:val="24"/>
  </w:num>
  <w:num w:numId="37">
    <w:abstractNumId w:val="33"/>
  </w:num>
  <w:num w:numId="38">
    <w:abstractNumId w:val="32"/>
  </w:num>
  <w:num w:numId="39">
    <w:abstractNumId w:val="0"/>
  </w:num>
  <w:num w:numId="40">
    <w:abstractNumId w:val="10"/>
  </w:num>
  <w:num w:numId="41">
    <w:abstractNumId w:val="26"/>
  </w:num>
  <w:num w:numId="42">
    <w:abstractNumId w:val="28"/>
  </w:num>
  <w:num w:numId="43">
    <w:abstractNumId w:val="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39"/>
    <w:rsid w:val="00001C8F"/>
    <w:rsid w:val="00010116"/>
    <w:rsid w:val="00013797"/>
    <w:rsid w:val="00015409"/>
    <w:rsid w:val="000323CA"/>
    <w:rsid w:val="000463A2"/>
    <w:rsid w:val="00051B69"/>
    <w:rsid w:val="00074C52"/>
    <w:rsid w:val="00077EBC"/>
    <w:rsid w:val="00095790"/>
    <w:rsid w:val="000A5CC9"/>
    <w:rsid w:val="000B502C"/>
    <w:rsid w:val="000C2E94"/>
    <w:rsid w:val="000C79B9"/>
    <w:rsid w:val="000D1E73"/>
    <w:rsid w:val="000D21CB"/>
    <w:rsid w:val="000D3132"/>
    <w:rsid w:val="000E08D7"/>
    <w:rsid w:val="000F4A00"/>
    <w:rsid w:val="000F4E95"/>
    <w:rsid w:val="0014466B"/>
    <w:rsid w:val="001508C1"/>
    <w:rsid w:val="00151F85"/>
    <w:rsid w:val="00154F51"/>
    <w:rsid w:val="001614E4"/>
    <w:rsid w:val="001816B8"/>
    <w:rsid w:val="00192A6C"/>
    <w:rsid w:val="001A0246"/>
    <w:rsid w:val="001E3DA5"/>
    <w:rsid w:val="001E4BB3"/>
    <w:rsid w:val="001F2D80"/>
    <w:rsid w:val="0020245A"/>
    <w:rsid w:val="00204613"/>
    <w:rsid w:val="0022185F"/>
    <w:rsid w:val="002345F4"/>
    <w:rsid w:val="00241F27"/>
    <w:rsid w:val="0026125F"/>
    <w:rsid w:val="0027784A"/>
    <w:rsid w:val="002A57BF"/>
    <w:rsid w:val="002D1FD3"/>
    <w:rsid w:val="00303332"/>
    <w:rsid w:val="00340EEB"/>
    <w:rsid w:val="00341B35"/>
    <w:rsid w:val="00370919"/>
    <w:rsid w:val="0039586C"/>
    <w:rsid w:val="003C2E02"/>
    <w:rsid w:val="00404387"/>
    <w:rsid w:val="004051BB"/>
    <w:rsid w:val="00421B4A"/>
    <w:rsid w:val="00446CB7"/>
    <w:rsid w:val="00465B7C"/>
    <w:rsid w:val="004A2072"/>
    <w:rsid w:val="004B6808"/>
    <w:rsid w:val="004D1D55"/>
    <w:rsid w:val="005065F6"/>
    <w:rsid w:val="00524F9F"/>
    <w:rsid w:val="00530BC9"/>
    <w:rsid w:val="0054357C"/>
    <w:rsid w:val="005631F6"/>
    <w:rsid w:val="00575F6A"/>
    <w:rsid w:val="005B108E"/>
    <w:rsid w:val="005B2B04"/>
    <w:rsid w:val="005B4DED"/>
    <w:rsid w:val="005D38F2"/>
    <w:rsid w:val="005E591D"/>
    <w:rsid w:val="005F00B3"/>
    <w:rsid w:val="005F6A26"/>
    <w:rsid w:val="006015BA"/>
    <w:rsid w:val="0060349D"/>
    <w:rsid w:val="006149DE"/>
    <w:rsid w:val="00623256"/>
    <w:rsid w:val="0064188E"/>
    <w:rsid w:val="0065180F"/>
    <w:rsid w:val="00666B1D"/>
    <w:rsid w:val="00670CF1"/>
    <w:rsid w:val="006750A4"/>
    <w:rsid w:val="00685E43"/>
    <w:rsid w:val="006932BE"/>
    <w:rsid w:val="006B18A0"/>
    <w:rsid w:val="006B1AFC"/>
    <w:rsid w:val="006B54C8"/>
    <w:rsid w:val="006D304B"/>
    <w:rsid w:val="006E4226"/>
    <w:rsid w:val="006E650D"/>
    <w:rsid w:val="006F2258"/>
    <w:rsid w:val="006F47D0"/>
    <w:rsid w:val="006F7411"/>
    <w:rsid w:val="006F775D"/>
    <w:rsid w:val="007048F1"/>
    <w:rsid w:val="00713304"/>
    <w:rsid w:val="00714B16"/>
    <w:rsid w:val="007252E1"/>
    <w:rsid w:val="007414C7"/>
    <w:rsid w:val="00742609"/>
    <w:rsid w:val="00742C67"/>
    <w:rsid w:val="007446CA"/>
    <w:rsid w:val="00764B80"/>
    <w:rsid w:val="00766A2F"/>
    <w:rsid w:val="007808AB"/>
    <w:rsid w:val="00781C91"/>
    <w:rsid w:val="007A3CA2"/>
    <w:rsid w:val="007B11C9"/>
    <w:rsid w:val="007D1FBA"/>
    <w:rsid w:val="007E6C68"/>
    <w:rsid w:val="007F3251"/>
    <w:rsid w:val="00806D24"/>
    <w:rsid w:val="0084446F"/>
    <w:rsid w:val="0085143A"/>
    <w:rsid w:val="008520E2"/>
    <w:rsid w:val="00862804"/>
    <w:rsid w:val="008666AA"/>
    <w:rsid w:val="00875357"/>
    <w:rsid w:val="008852B1"/>
    <w:rsid w:val="008979CC"/>
    <w:rsid w:val="008A31D0"/>
    <w:rsid w:val="008A5328"/>
    <w:rsid w:val="008C2691"/>
    <w:rsid w:val="008F42D5"/>
    <w:rsid w:val="009020FE"/>
    <w:rsid w:val="00917FAA"/>
    <w:rsid w:val="009208BA"/>
    <w:rsid w:val="00940FF4"/>
    <w:rsid w:val="00943257"/>
    <w:rsid w:val="009A1A40"/>
    <w:rsid w:val="009A2FDE"/>
    <w:rsid w:val="009B46B2"/>
    <w:rsid w:val="009C36CB"/>
    <w:rsid w:val="009C64A5"/>
    <w:rsid w:val="009D16CC"/>
    <w:rsid w:val="009E0001"/>
    <w:rsid w:val="009E495B"/>
    <w:rsid w:val="009E69A5"/>
    <w:rsid w:val="00A27968"/>
    <w:rsid w:val="00A5685D"/>
    <w:rsid w:val="00A65770"/>
    <w:rsid w:val="00A8254F"/>
    <w:rsid w:val="00A8427B"/>
    <w:rsid w:val="00AB03C4"/>
    <w:rsid w:val="00AB4131"/>
    <w:rsid w:val="00AC242E"/>
    <w:rsid w:val="00AC7648"/>
    <w:rsid w:val="00AC7A36"/>
    <w:rsid w:val="00AF27E7"/>
    <w:rsid w:val="00B033B3"/>
    <w:rsid w:val="00B05F5A"/>
    <w:rsid w:val="00B34CAA"/>
    <w:rsid w:val="00B4557B"/>
    <w:rsid w:val="00B542A9"/>
    <w:rsid w:val="00B5503C"/>
    <w:rsid w:val="00B62FCD"/>
    <w:rsid w:val="00B84D34"/>
    <w:rsid w:val="00B86466"/>
    <w:rsid w:val="00BA3428"/>
    <w:rsid w:val="00BA3CAD"/>
    <w:rsid w:val="00BA61F0"/>
    <w:rsid w:val="00BE009A"/>
    <w:rsid w:val="00BE1081"/>
    <w:rsid w:val="00BE1D27"/>
    <w:rsid w:val="00BE3781"/>
    <w:rsid w:val="00BE7EDE"/>
    <w:rsid w:val="00BF35F6"/>
    <w:rsid w:val="00BF3C05"/>
    <w:rsid w:val="00C018C2"/>
    <w:rsid w:val="00C12811"/>
    <w:rsid w:val="00C13127"/>
    <w:rsid w:val="00C146AF"/>
    <w:rsid w:val="00C35DA6"/>
    <w:rsid w:val="00C54DFA"/>
    <w:rsid w:val="00C70540"/>
    <w:rsid w:val="00C824AB"/>
    <w:rsid w:val="00C85BBA"/>
    <w:rsid w:val="00C92F4B"/>
    <w:rsid w:val="00CA0C01"/>
    <w:rsid w:val="00CA2BBA"/>
    <w:rsid w:val="00CB5939"/>
    <w:rsid w:val="00CC293D"/>
    <w:rsid w:val="00CD21E6"/>
    <w:rsid w:val="00CD45D2"/>
    <w:rsid w:val="00CD5814"/>
    <w:rsid w:val="00CF108E"/>
    <w:rsid w:val="00D14DA5"/>
    <w:rsid w:val="00D253DB"/>
    <w:rsid w:val="00D25873"/>
    <w:rsid w:val="00D37B15"/>
    <w:rsid w:val="00D4091C"/>
    <w:rsid w:val="00D52665"/>
    <w:rsid w:val="00D803BB"/>
    <w:rsid w:val="00D94EC5"/>
    <w:rsid w:val="00DA7464"/>
    <w:rsid w:val="00DC7564"/>
    <w:rsid w:val="00DD38D4"/>
    <w:rsid w:val="00DD54C3"/>
    <w:rsid w:val="00DD6421"/>
    <w:rsid w:val="00DF18B6"/>
    <w:rsid w:val="00DF2234"/>
    <w:rsid w:val="00DF3429"/>
    <w:rsid w:val="00DF3739"/>
    <w:rsid w:val="00E024BA"/>
    <w:rsid w:val="00E0745A"/>
    <w:rsid w:val="00E1669B"/>
    <w:rsid w:val="00E213A5"/>
    <w:rsid w:val="00E34C2E"/>
    <w:rsid w:val="00E816B4"/>
    <w:rsid w:val="00E8205A"/>
    <w:rsid w:val="00E914DE"/>
    <w:rsid w:val="00E92058"/>
    <w:rsid w:val="00EB2D95"/>
    <w:rsid w:val="00EC05E7"/>
    <w:rsid w:val="00EC17D9"/>
    <w:rsid w:val="00ED214F"/>
    <w:rsid w:val="00ED3EDB"/>
    <w:rsid w:val="00EE5BEF"/>
    <w:rsid w:val="00F17EEB"/>
    <w:rsid w:val="00F344B6"/>
    <w:rsid w:val="00F463F4"/>
    <w:rsid w:val="00F632FC"/>
    <w:rsid w:val="00F64C08"/>
    <w:rsid w:val="00F74839"/>
    <w:rsid w:val="00F77588"/>
    <w:rsid w:val="00F96049"/>
    <w:rsid w:val="00FB4925"/>
    <w:rsid w:val="00FB5983"/>
    <w:rsid w:val="00FC3371"/>
    <w:rsid w:val="00FE21CD"/>
    <w:rsid w:val="00FF67E3"/>
    <w:rsid w:val="00FF6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8955"/>
  <w15:docId w15:val="{27A78838-11C9-474D-81AE-4AAFD19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35"/>
    <w:pPr>
      <w:widowControl w:val="0"/>
      <w:spacing w:before="220" w:after="220" w:line="220" w:lineRule="exact"/>
      <w:contextualSpacing/>
    </w:pPr>
    <w:rPr>
      <w:rFonts w:ascii="Arial" w:eastAsia="Times New Roman" w:hAnsi="Arial" w:cs="Times New Roman"/>
      <w:color w:val="000000" w:themeColor="text1"/>
      <w:sz w:val="18"/>
      <w:szCs w:val="24"/>
      <w:lang w:val="it-IT" w:eastAsia="it-IT"/>
    </w:rPr>
  </w:style>
  <w:style w:type="paragraph" w:styleId="Nadpis1">
    <w:name w:val="heading 1"/>
    <w:basedOn w:val="Normln"/>
    <w:next w:val="Normln"/>
    <w:link w:val="Nadpis1Char"/>
    <w:uiPriority w:val="9"/>
    <w:qFormat/>
    <w:rsid w:val="00E914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9E0001"/>
    <w:pPr>
      <w:keepNext/>
      <w:widowControl/>
      <w:spacing w:before="0" w:after="0" w:line="240" w:lineRule="auto"/>
      <w:contextualSpacing w:val="0"/>
      <w:outlineLvl w:val="1"/>
    </w:pPr>
    <w:rPr>
      <w:rFonts w:cs="Arial"/>
      <w:b/>
      <w:color w:val="auto"/>
      <w:sz w:val="24"/>
      <w:lang w:val="cs-CZ" w:eastAsia="cs-CZ"/>
    </w:rPr>
  </w:style>
  <w:style w:type="paragraph" w:styleId="Nadpis3">
    <w:name w:val="heading 3"/>
    <w:basedOn w:val="Normln"/>
    <w:next w:val="Normln"/>
    <w:link w:val="Nadpis3Char"/>
    <w:uiPriority w:val="9"/>
    <w:semiHidden/>
    <w:unhideWhenUsed/>
    <w:qFormat/>
    <w:rsid w:val="00E914D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914DE"/>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semiHidden/>
    <w:unhideWhenUsed/>
    <w:qFormat/>
    <w:rsid w:val="00E914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92F4B"/>
    <w:pPr>
      <w:framePr w:hSpace="181" w:vSpace="181" w:wrap="around" w:vAnchor="page" w:hAnchor="text" w:y="1"/>
      <w:tabs>
        <w:tab w:val="center" w:pos="4320"/>
        <w:tab w:val="right" w:pos="8640"/>
      </w:tabs>
    </w:pPr>
  </w:style>
  <w:style w:type="character" w:customStyle="1" w:styleId="ZhlavChar">
    <w:name w:val="Záhlaví Char"/>
    <w:basedOn w:val="Standardnpsmoodstavce"/>
    <w:link w:val="Zhlav"/>
    <w:uiPriority w:val="99"/>
    <w:rsid w:val="00C92F4B"/>
    <w:rPr>
      <w:rFonts w:ascii="Arial" w:eastAsia="Times New Roman" w:hAnsi="Arial" w:cs="Times New Roman"/>
      <w:color w:val="000000" w:themeColor="text1"/>
      <w:sz w:val="18"/>
      <w:szCs w:val="24"/>
      <w:lang w:val="it-IT" w:eastAsia="it-IT"/>
    </w:rPr>
  </w:style>
  <w:style w:type="paragraph" w:styleId="Zpat">
    <w:name w:val="footer"/>
    <w:basedOn w:val="Normln"/>
    <w:link w:val="ZpatChar"/>
    <w:autoRedefine/>
    <w:unhideWhenUsed/>
    <w:qFormat/>
    <w:rsid w:val="00C12811"/>
    <w:pPr>
      <w:tabs>
        <w:tab w:val="center" w:pos="4320"/>
        <w:tab w:val="right" w:pos="8640"/>
      </w:tabs>
      <w:spacing w:before="0" w:after="0" w:line="240" w:lineRule="auto"/>
      <w:ind w:left="50"/>
      <w:jc w:val="center"/>
    </w:pPr>
    <w:rPr>
      <w:color w:val="8064A2" w:themeColor="accent4"/>
      <w:sz w:val="12"/>
      <w:szCs w:val="12"/>
    </w:rPr>
  </w:style>
  <w:style w:type="character" w:customStyle="1" w:styleId="ZpatChar">
    <w:name w:val="Zápatí Char"/>
    <w:basedOn w:val="Standardnpsmoodstavce"/>
    <w:link w:val="Zpat"/>
    <w:uiPriority w:val="99"/>
    <w:rsid w:val="00C12811"/>
    <w:rPr>
      <w:rFonts w:ascii="Arial" w:eastAsia="Times New Roman" w:hAnsi="Arial" w:cs="Times New Roman"/>
      <w:color w:val="8064A2" w:themeColor="accent4"/>
      <w:sz w:val="12"/>
      <w:szCs w:val="12"/>
      <w:lang w:val="it-IT" w:eastAsia="it-IT"/>
    </w:rPr>
  </w:style>
  <w:style w:type="table" w:styleId="Mkatabulky">
    <w:name w:val="Table Grid"/>
    <w:basedOn w:val="Normlntabulka"/>
    <w:uiPriority w:val="59"/>
    <w:rsid w:val="00C92F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B34CAA"/>
    <w:pPr>
      <w:spacing w:line="276" w:lineRule="auto"/>
      <w:ind w:left="-6180"/>
    </w:pPr>
  </w:style>
  <w:style w:type="character" w:customStyle="1" w:styleId="Bold">
    <w:name w:val="Bold"/>
    <w:basedOn w:val="Standardnpsmoodstavce"/>
    <w:uiPriority w:val="1"/>
    <w:qFormat/>
    <w:rsid w:val="00C92F4B"/>
    <w:rPr>
      <w:b/>
    </w:rPr>
  </w:style>
  <w:style w:type="paragraph" w:customStyle="1" w:styleId="IndirizzoGenerali">
    <w:name w:val="Indirizzo_Generali"/>
    <w:qFormat/>
    <w:rsid w:val="00C92F4B"/>
    <w:pPr>
      <w:spacing w:after="0" w:line="160" w:lineRule="exact"/>
    </w:pPr>
    <w:rPr>
      <w:rFonts w:ascii="Arial" w:eastAsia="Times New Roman" w:hAnsi="Arial" w:cs="Times New Roman"/>
      <w:color w:val="000000" w:themeColor="text1"/>
      <w:sz w:val="12"/>
      <w:szCs w:val="12"/>
      <w:lang w:val="it-IT" w:eastAsia="it-IT"/>
    </w:rPr>
  </w:style>
  <w:style w:type="paragraph" w:customStyle="1" w:styleId="testobullet">
    <w:name w:val="testo_bullet"/>
    <w:basedOn w:val="Odstavecseseznamem"/>
    <w:autoRedefine/>
    <w:qFormat/>
    <w:rsid w:val="00C92F4B"/>
    <w:pPr>
      <w:numPr>
        <w:numId w:val="4"/>
      </w:numPr>
      <w:contextualSpacing w:val="0"/>
    </w:pPr>
    <w:rPr>
      <w:szCs w:val="18"/>
    </w:rPr>
  </w:style>
  <w:style w:type="paragraph" w:customStyle="1" w:styleId="Gspacing23pt">
    <w:name w:val="G_spacing_23pt"/>
    <w:autoRedefine/>
    <w:qFormat/>
    <w:rsid w:val="00C92F4B"/>
    <w:pPr>
      <w:spacing w:after="0" w:line="460" w:lineRule="exact"/>
    </w:pPr>
    <w:rPr>
      <w:rFonts w:ascii="Arial" w:eastAsia="Times New Roman" w:hAnsi="Arial" w:cs="Times New Roman"/>
      <w:color w:val="000000" w:themeColor="text1"/>
      <w:sz w:val="18"/>
      <w:szCs w:val="24"/>
      <w:lang w:val="it-IT" w:eastAsia="it-IT"/>
    </w:rPr>
  </w:style>
  <w:style w:type="paragraph" w:customStyle="1" w:styleId="Gcitydate">
    <w:name w:val="G_city/date"/>
    <w:autoRedefine/>
    <w:qFormat/>
    <w:rsid w:val="00D94EC5"/>
    <w:pPr>
      <w:spacing w:after="0" w:line="220" w:lineRule="exact"/>
      <w:ind w:left="142"/>
    </w:pPr>
    <w:rPr>
      <w:rFonts w:ascii="Arial" w:eastAsia="Times New Roman" w:hAnsi="Arial" w:cs="Times New Roman"/>
      <w:color w:val="000000" w:themeColor="text1"/>
      <w:sz w:val="18"/>
      <w:szCs w:val="18"/>
      <w:lang w:val="it-IT" w:eastAsia="it-IT"/>
    </w:rPr>
  </w:style>
  <w:style w:type="paragraph" w:styleId="Odstavecseseznamem">
    <w:name w:val="List Paragraph"/>
    <w:basedOn w:val="Normln"/>
    <w:uiPriority w:val="34"/>
    <w:qFormat/>
    <w:rsid w:val="00C92F4B"/>
    <w:pPr>
      <w:ind w:left="720"/>
    </w:pPr>
  </w:style>
  <w:style w:type="paragraph" w:styleId="Textbubliny">
    <w:name w:val="Balloon Text"/>
    <w:basedOn w:val="Normln"/>
    <w:link w:val="TextbublinyChar"/>
    <w:uiPriority w:val="99"/>
    <w:semiHidden/>
    <w:unhideWhenUsed/>
    <w:rsid w:val="00C92F4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2F4B"/>
    <w:rPr>
      <w:rFonts w:ascii="Tahoma" w:eastAsia="Times New Roman" w:hAnsi="Tahoma" w:cs="Tahoma"/>
      <w:color w:val="000000" w:themeColor="text1"/>
      <w:sz w:val="16"/>
      <w:szCs w:val="16"/>
      <w:lang w:val="it-IT" w:eastAsia="it-IT"/>
    </w:rPr>
  </w:style>
  <w:style w:type="paragraph" w:customStyle="1" w:styleId="Zkladnodstavec">
    <w:name w:val="[Základní odstavec]"/>
    <w:basedOn w:val="Normln"/>
    <w:uiPriority w:val="99"/>
    <w:rsid w:val="00742609"/>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character" w:styleId="Hypertextovodkaz">
    <w:name w:val="Hyperlink"/>
    <w:basedOn w:val="Standardnpsmoodstavce"/>
    <w:uiPriority w:val="99"/>
    <w:semiHidden/>
    <w:unhideWhenUsed/>
    <w:rsid w:val="000F4E95"/>
    <w:rPr>
      <w:color w:val="0000FF"/>
      <w:u w:val="single"/>
    </w:rPr>
  </w:style>
  <w:style w:type="table" w:customStyle="1" w:styleId="Kalend2">
    <w:name w:val="Kalendář 2"/>
    <w:basedOn w:val="Normlntabulka"/>
    <w:uiPriority w:val="99"/>
    <w:qFormat/>
    <w:rsid w:val="008C2691"/>
    <w:pPr>
      <w:spacing w:after="0" w:line="240" w:lineRule="auto"/>
      <w:jc w:val="center"/>
    </w:pPr>
    <w:rPr>
      <w:rFonts w:eastAsiaTheme="minorEastAsia"/>
      <w:sz w:val="28"/>
      <w:lang w:eastAsia="cs-CZ"/>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65180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Normln"/>
    <w:next w:val="Normln"/>
    <w:uiPriority w:val="99"/>
    <w:rsid w:val="0065180F"/>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65180F"/>
    <w:rPr>
      <w:color w:val="000000"/>
    </w:rPr>
  </w:style>
  <w:style w:type="character" w:customStyle="1" w:styleId="Nadpis2Char">
    <w:name w:val="Nadpis 2 Char"/>
    <w:basedOn w:val="Standardnpsmoodstavce"/>
    <w:link w:val="Nadpis2"/>
    <w:rsid w:val="009E0001"/>
    <w:rPr>
      <w:rFonts w:ascii="Arial" w:eastAsia="Times New Roman" w:hAnsi="Arial" w:cs="Arial"/>
      <w:b/>
      <w:sz w:val="24"/>
      <w:szCs w:val="24"/>
      <w:lang w:eastAsia="cs-CZ"/>
    </w:rPr>
  </w:style>
  <w:style w:type="table" w:styleId="Svtlstnovn">
    <w:name w:val="Light Shading"/>
    <w:basedOn w:val="Normlntabulka"/>
    <w:uiPriority w:val="60"/>
    <w:rsid w:val="00C018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6F775D"/>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6F775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A65770"/>
    <w:pPr>
      <w:spacing w:after="120"/>
      <w:ind w:left="283"/>
    </w:pPr>
  </w:style>
  <w:style w:type="character" w:customStyle="1" w:styleId="ZkladntextodsazenChar">
    <w:name w:val="Základní text odsazený Char"/>
    <w:basedOn w:val="Standardnpsmoodstavce"/>
    <w:link w:val="Zkladntextodsazen"/>
    <w:uiPriority w:val="99"/>
    <w:semiHidden/>
    <w:rsid w:val="00A65770"/>
    <w:rPr>
      <w:rFonts w:ascii="Arial" w:eastAsia="Times New Roman" w:hAnsi="Arial" w:cs="Times New Roman"/>
      <w:color w:val="000000" w:themeColor="text1"/>
      <w:sz w:val="18"/>
      <w:szCs w:val="24"/>
      <w:lang w:val="it-IT" w:eastAsia="it-IT"/>
    </w:rPr>
  </w:style>
  <w:style w:type="paragraph" w:customStyle="1" w:styleId="Pa3">
    <w:name w:val="Pa3"/>
    <w:basedOn w:val="Normln"/>
    <w:next w:val="Normln"/>
    <w:uiPriority w:val="99"/>
    <w:rsid w:val="00A65770"/>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customStyle="1" w:styleId="Nadpis1Char">
    <w:name w:val="Nadpis 1 Char"/>
    <w:basedOn w:val="Standardnpsmoodstavce"/>
    <w:link w:val="Nadpis1"/>
    <w:uiPriority w:val="9"/>
    <w:rsid w:val="00E914DE"/>
    <w:rPr>
      <w:rFonts w:asciiTheme="majorHAnsi" w:eastAsiaTheme="majorEastAsia" w:hAnsiTheme="majorHAnsi" w:cstheme="majorBidi"/>
      <w:b/>
      <w:bCs/>
      <w:color w:val="365F91" w:themeColor="accent1" w:themeShade="BF"/>
      <w:sz w:val="28"/>
      <w:szCs w:val="28"/>
      <w:lang w:val="it-IT" w:eastAsia="it-IT"/>
    </w:rPr>
  </w:style>
  <w:style w:type="character" w:customStyle="1" w:styleId="Nadpis3Char">
    <w:name w:val="Nadpis 3 Char"/>
    <w:basedOn w:val="Standardnpsmoodstavce"/>
    <w:link w:val="Nadpis3"/>
    <w:uiPriority w:val="9"/>
    <w:semiHidden/>
    <w:rsid w:val="00E914DE"/>
    <w:rPr>
      <w:rFonts w:asciiTheme="majorHAnsi" w:eastAsiaTheme="majorEastAsia" w:hAnsiTheme="majorHAnsi" w:cstheme="majorBidi"/>
      <w:b/>
      <w:bCs/>
      <w:color w:val="4F81BD" w:themeColor="accent1"/>
      <w:sz w:val="18"/>
      <w:szCs w:val="24"/>
      <w:lang w:val="it-IT" w:eastAsia="it-IT"/>
    </w:rPr>
  </w:style>
  <w:style w:type="character" w:customStyle="1" w:styleId="Nadpis4Char">
    <w:name w:val="Nadpis 4 Char"/>
    <w:basedOn w:val="Standardnpsmoodstavce"/>
    <w:link w:val="Nadpis4"/>
    <w:uiPriority w:val="9"/>
    <w:semiHidden/>
    <w:rsid w:val="00E914DE"/>
    <w:rPr>
      <w:rFonts w:asciiTheme="majorHAnsi" w:eastAsiaTheme="majorEastAsia" w:hAnsiTheme="majorHAnsi" w:cstheme="majorBidi"/>
      <w:b/>
      <w:bCs/>
      <w:i/>
      <w:iCs/>
      <w:color w:val="4F81BD" w:themeColor="accent1"/>
      <w:sz w:val="18"/>
      <w:szCs w:val="24"/>
      <w:lang w:val="it-IT" w:eastAsia="it-IT"/>
    </w:rPr>
  </w:style>
  <w:style w:type="character" w:customStyle="1" w:styleId="Nadpis6Char">
    <w:name w:val="Nadpis 6 Char"/>
    <w:basedOn w:val="Standardnpsmoodstavce"/>
    <w:link w:val="Nadpis6"/>
    <w:uiPriority w:val="9"/>
    <w:semiHidden/>
    <w:rsid w:val="00E914DE"/>
    <w:rPr>
      <w:rFonts w:asciiTheme="majorHAnsi" w:eastAsiaTheme="majorEastAsia" w:hAnsiTheme="majorHAnsi" w:cstheme="majorBidi"/>
      <w:i/>
      <w:iCs/>
      <w:color w:val="243F60" w:themeColor="accent1" w:themeShade="7F"/>
      <w:sz w:val="18"/>
      <w:szCs w:val="24"/>
      <w:lang w:val="it-IT" w:eastAsia="it-IT"/>
    </w:rPr>
  </w:style>
  <w:style w:type="paragraph" w:customStyle="1" w:styleId="Zkladntext21">
    <w:name w:val="Základní text 21"/>
    <w:basedOn w:val="Normln"/>
    <w:rsid w:val="00DF18B6"/>
    <w:pPr>
      <w:widowControl/>
      <w:overflowPunct w:val="0"/>
      <w:autoSpaceDE w:val="0"/>
      <w:autoSpaceDN w:val="0"/>
      <w:adjustRightInd w:val="0"/>
      <w:spacing w:before="0" w:after="120" w:line="240" w:lineRule="auto"/>
      <w:contextualSpacing w:val="0"/>
      <w:textAlignment w:val="baseline"/>
    </w:pPr>
    <w:rPr>
      <w:color w:val="auto"/>
      <w:sz w:val="22"/>
      <w:szCs w:val="20"/>
      <w:lang w:val="cs-CZ" w:eastAsia="cs-CZ"/>
    </w:rPr>
  </w:style>
  <w:style w:type="character" w:customStyle="1" w:styleId="A6">
    <w:name w:val="A6"/>
    <w:uiPriority w:val="99"/>
    <w:rsid w:val="00DF18B6"/>
    <w:rPr>
      <w:rFonts w:cs="Generali"/>
      <w:color w:val="000000"/>
      <w:sz w:val="18"/>
      <w:szCs w:val="18"/>
    </w:rPr>
  </w:style>
  <w:style w:type="paragraph" w:customStyle="1" w:styleId="Pa2">
    <w:name w:val="Pa2"/>
    <w:basedOn w:val="Default"/>
    <w:next w:val="Default"/>
    <w:uiPriority w:val="99"/>
    <w:rsid w:val="00530BC9"/>
    <w:pPr>
      <w:spacing w:line="141" w:lineRule="atLeast"/>
    </w:pPr>
    <w:rPr>
      <w:rFonts w:ascii="Generali" w:hAnsi="Generali" w:cstheme="minorBidi"/>
      <w:color w:val="auto"/>
    </w:rPr>
  </w:style>
  <w:style w:type="paragraph" w:customStyle="1" w:styleId="Pa8">
    <w:name w:val="Pa8"/>
    <w:basedOn w:val="Default"/>
    <w:next w:val="Default"/>
    <w:uiPriority w:val="99"/>
    <w:rsid w:val="00530BC9"/>
    <w:pPr>
      <w:spacing w:line="141" w:lineRule="atLeast"/>
    </w:pPr>
    <w:rPr>
      <w:rFonts w:ascii="Generali" w:hAnsi="Generali" w:cstheme="minorBidi"/>
      <w:color w:val="auto"/>
    </w:rPr>
  </w:style>
  <w:style w:type="paragraph" w:customStyle="1" w:styleId="Pa1">
    <w:name w:val="Pa1"/>
    <w:basedOn w:val="Normln"/>
    <w:next w:val="Normln"/>
    <w:rsid w:val="00465B7C"/>
    <w:pPr>
      <w:widowControl/>
      <w:autoSpaceDE w:val="0"/>
      <w:autoSpaceDN w:val="0"/>
      <w:adjustRightInd w:val="0"/>
      <w:spacing w:before="0" w:after="0" w:line="171" w:lineRule="atLeast"/>
      <w:contextualSpacing w:val="0"/>
    </w:pPr>
    <w:rPr>
      <w:rFonts w:ascii="NLMLHV+Generali-Bold" w:hAnsi="NLMLHV+Generali-Bold"/>
      <w:color w:val="auto"/>
      <w:sz w:val="24"/>
      <w:lang w:val="cs-CZ" w:eastAsia="cs-CZ"/>
    </w:rPr>
  </w:style>
  <w:style w:type="character" w:customStyle="1" w:styleId="A1">
    <w:name w:val="A1"/>
    <w:rsid w:val="00465B7C"/>
    <w:rPr>
      <w:rFonts w:cs="NLMLHV+Generali-Bold"/>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7816">
      <w:bodyDiv w:val="1"/>
      <w:marLeft w:val="0"/>
      <w:marRight w:val="0"/>
      <w:marTop w:val="0"/>
      <w:marBottom w:val="0"/>
      <w:divBdr>
        <w:top w:val="none" w:sz="0" w:space="0" w:color="auto"/>
        <w:left w:val="none" w:sz="0" w:space="0" w:color="auto"/>
        <w:bottom w:val="none" w:sz="0" w:space="0" w:color="auto"/>
        <w:right w:val="none" w:sz="0" w:space="0" w:color="auto"/>
      </w:divBdr>
    </w:div>
    <w:div w:id="452480298">
      <w:bodyDiv w:val="1"/>
      <w:marLeft w:val="0"/>
      <w:marRight w:val="0"/>
      <w:marTop w:val="0"/>
      <w:marBottom w:val="0"/>
      <w:divBdr>
        <w:top w:val="none" w:sz="0" w:space="0" w:color="auto"/>
        <w:left w:val="none" w:sz="0" w:space="0" w:color="auto"/>
        <w:bottom w:val="none" w:sz="0" w:space="0" w:color="auto"/>
        <w:right w:val="none" w:sz="0" w:space="0" w:color="auto"/>
      </w:divBdr>
    </w:div>
    <w:div w:id="648217844">
      <w:bodyDiv w:val="1"/>
      <w:marLeft w:val="0"/>
      <w:marRight w:val="0"/>
      <w:marTop w:val="0"/>
      <w:marBottom w:val="0"/>
      <w:divBdr>
        <w:top w:val="none" w:sz="0" w:space="0" w:color="auto"/>
        <w:left w:val="none" w:sz="0" w:space="0" w:color="auto"/>
        <w:bottom w:val="none" w:sz="0" w:space="0" w:color="auto"/>
        <w:right w:val="none" w:sz="0" w:space="0" w:color="auto"/>
      </w:divBdr>
    </w:div>
    <w:div w:id="704863661">
      <w:bodyDiv w:val="1"/>
      <w:marLeft w:val="0"/>
      <w:marRight w:val="0"/>
      <w:marTop w:val="0"/>
      <w:marBottom w:val="0"/>
      <w:divBdr>
        <w:top w:val="none" w:sz="0" w:space="0" w:color="auto"/>
        <w:left w:val="none" w:sz="0" w:space="0" w:color="auto"/>
        <w:bottom w:val="none" w:sz="0" w:space="0" w:color="auto"/>
        <w:right w:val="none" w:sz="0" w:space="0" w:color="auto"/>
      </w:divBdr>
    </w:div>
    <w:div w:id="896433282">
      <w:bodyDiv w:val="1"/>
      <w:marLeft w:val="0"/>
      <w:marRight w:val="0"/>
      <w:marTop w:val="0"/>
      <w:marBottom w:val="0"/>
      <w:divBdr>
        <w:top w:val="none" w:sz="0" w:space="0" w:color="auto"/>
        <w:left w:val="none" w:sz="0" w:space="0" w:color="auto"/>
        <w:bottom w:val="none" w:sz="0" w:space="0" w:color="auto"/>
        <w:right w:val="none" w:sz="0" w:space="0" w:color="auto"/>
      </w:divBdr>
    </w:div>
    <w:div w:id="965696728">
      <w:bodyDiv w:val="1"/>
      <w:marLeft w:val="0"/>
      <w:marRight w:val="0"/>
      <w:marTop w:val="0"/>
      <w:marBottom w:val="0"/>
      <w:divBdr>
        <w:top w:val="none" w:sz="0" w:space="0" w:color="auto"/>
        <w:left w:val="none" w:sz="0" w:space="0" w:color="auto"/>
        <w:bottom w:val="none" w:sz="0" w:space="0" w:color="auto"/>
        <w:right w:val="none" w:sz="0" w:space="0" w:color="auto"/>
      </w:divBdr>
    </w:div>
    <w:div w:id="1137455919">
      <w:bodyDiv w:val="1"/>
      <w:marLeft w:val="0"/>
      <w:marRight w:val="0"/>
      <w:marTop w:val="0"/>
      <w:marBottom w:val="0"/>
      <w:divBdr>
        <w:top w:val="none" w:sz="0" w:space="0" w:color="auto"/>
        <w:left w:val="none" w:sz="0" w:space="0" w:color="auto"/>
        <w:bottom w:val="none" w:sz="0" w:space="0" w:color="auto"/>
        <w:right w:val="none" w:sz="0" w:space="0" w:color="auto"/>
      </w:divBdr>
    </w:div>
    <w:div w:id="18440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rvis@generali.cz" TargetMode="External"/><Relationship Id="rId1" Type="http://schemas.openxmlformats.org/officeDocument/2006/relationships/hyperlink" Target="mailto:generali.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rvis@generali.cz" TargetMode="External"/><Relationship Id="rId1" Type="http://schemas.openxmlformats.org/officeDocument/2006/relationships/hyperlink" Target="mailto:generali.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ervis@generali.cz" TargetMode="External"/><Relationship Id="rId1" Type="http://schemas.openxmlformats.org/officeDocument/2006/relationships/hyperlink" Target="mailto:generali.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F126-A51B-4B8B-86A1-7CEFCD71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776</Words>
  <Characters>4585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Generali Pojišťovna a.s.</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Tichá Nela</dc:creator>
  <cp:lastModifiedBy>Čudová Lucie</cp:lastModifiedBy>
  <cp:revision>10</cp:revision>
  <cp:lastPrinted>2014-03-28T12:18:00Z</cp:lastPrinted>
  <dcterms:created xsi:type="dcterms:W3CDTF">2019-04-05T11:07:00Z</dcterms:created>
  <dcterms:modified xsi:type="dcterms:W3CDTF">2019-04-08T12:21:00Z</dcterms:modified>
</cp:coreProperties>
</file>