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89088" w14:textId="77777777" w:rsidR="006C19C0" w:rsidRDefault="006C19C0" w:rsidP="619C49D6">
      <w:pPr>
        <w:jc w:val="center"/>
        <w:rPr>
          <w:rFonts w:ascii="Tahoma" w:eastAsia="Tahoma" w:hAnsi="Tahoma" w:cs="Tahoma"/>
          <w:b/>
          <w:bCs/>
          <w:sz w:val="18"/>
          <w:szCs w:val="18"/>
        </w:rPr>
      </w:pPr>
    </w:p>
    <w:p w14:paraId="087AFE10" w14:textId="3B85422C" w:rsidR="000722A6" w:rsidRPr="003F3788" w:rsidRDefault="619C49D6" w:rsidP="619C49D6">
      <w:pPr>
        <w:jc w:val="center"/>
        <w:rPr>
          <w:rFonts w:ascii="Tahoma" w:eastAsia="Tahoma" w:hAnsi="Tahoma" w:cs="Tahoma"/>
          <w:b/>
          <w:bCs/>
          <w:sz w:val="18"/>
          <w:szCs w:val="18"/>
        </w:rPr>
      </w:pPr>
      <w:r w:rsidRPr="619C49D6">
        <w:rPr>
          <w:rFonts w:ascii="Tahoma" w:eastAsia="Tahoma" w:hAnsi="Tahoma" w:cs="Tahoma"/>
          <w:b/>
          <w:bCs/>
          <w:sz w:val="18"/>
          <w:szCs w:val="18"/>
        </w:rPr>
        <w:t>Smlouva o poskytnutí obratového bonusu</w:t>
      </w:r>
    </w:p>
    <w:p w14:paraId="71716F05" w14:textId="02487485" w:rsidR="000722A6" w:rsidRPr="003F3788" w:rsidRDefault="000722A6" w:rsidP="000722A6">
      <w:pPr>
        <w:jc w:val="center"/>
        <w:rPr>
          <w:rFonts w:ascii="Tahoma" w:hAnsi="Tahoma" w:cs="Tahoma"/>
          <w:b/>
          <w:sz w:val="16"/>
          <w:szCs w:val="16"/>
        </w:rPr>
      </w:pPr>
    </w:p>
    <w:p w14:paraId="496A8B9A" w14:textId="77777777" w:rsidR="000722A6" w:rsidRPr="003F3788" w:rsidRDefault="000722A6" w:rsidP="000722A6">
      <w:pPr>
        <w:rPr>
          <w:rFonts w:ascii="Tahoma" w:hAnsi="Tahoma" w:cs="Tahoma"/>
          <w:b/>
          <w:sz w:val="16"/>
          <w:szCs w:val="16"/>
        </w:rPr>
      </w:pPr>
    </w:p>
    <w:p w14:paraId="5CA49F27" w14:textId="22E90619" w:rsidR="006D7C65" w:rsidRDefault="004E1324" w:rsidP="619C49D6">
      <w:pPr>
        <w:ind w:left="2124" w:hanging="2124"/>
        <w:jc w:val="both"/>
        <w:rPr>
          <w:rFonts w:ascii="Tahoma" w:eastAsia="Tahoma" w:hAnsi="Tahoma" w:cs="Tahoma"/>
          <w:b/>
          <w:bCs/>
          <w:color w:val="000000" w:themeColor="text1"/>
          <w:sz w:val="16"/>
          <w:szCs w:val="16"/>
        </w:rPr>
      </w:pPr>
      <w:r>
        <w:rPr>
          <w:rFonts w:ascii="Tahoma" w:eastAsia="Tahoma" w:hAnsi="Tahoma" w:cs="Tahoma"/>
          <w:b/>
          <w:bCs/>
          <w:color w:val="000000"/>
          <w:sz w:val="16"/>
          <w:szCs w:val="16"/>
          <w:shd w:val="clear" w:color="auto" w:fill="FFFFFF"/>
        </w:rPr>
        <w:t xml:space="preserve">EUROMEDICAL </w:t>
      </w:r>
      <w:r w:rsidR="009D3AF3">
        <w:rPr>
          <w:rFonts w:ascii="Tahoma" w:eastAsia="Tahoma" w:hAnsi="Tahoma" w:cs="Tahoma"/>
          <w:b/>
          <w:bCs/>
          <w:color w:val="000000"/>
          <w:sz w:val="16"/>
          <w:szCs w:val="16"/>
          <w:shd w:val="clear" w:color="auto" w:fill="FFFFFF"/>
        </w:rPr>
        <w:t>spol. s r.o.</w:t>
      </w:r>
    </w:p>
    <w:p w14:paraId="3E89A68B" w14:textId="609BBE9A" w:rsidR="005A6E5E" w:rsidRPr="003F3788" w:rsidRDefault="619C49D6" w:rsidP="619C49D6">
      <w:pPr>
        <w:jc w:val="both"/>
        <w:rPr>
          <w:rFonts w:ascii="Tahoma" w:eastAsia="Tahoma" w:hAnsi="Tahoma" w:cs="Tahoma"/>
          <w:sz w:val="16"/>
          <w:szCs w:val="16"/>
        </w:rPr>
      </w:pPr>
      <w:r w:rsidRPr="619C49D6">
        <w:rPr>
          <w:rFonts w:ascii="Tahoma" w:eastAsia="Tahoma" w:hAnsi="Tahoma" w:cs="Tahoma"/>
          <w:sz w:val="16"/>
          <w:szCs w:val="16"/>
        </w:rPr>
        <w:t xml:space="preserve">zapsaná v obchodním rejstříku vedeném </w:t>
      </w:r>
      <w:r w:rsidR="009D3AF3">
        <w:rPr>
          <w:rFonts w:ascii="Tahoma" w:eastAsia="Tahoma" w:hAnsi="Tahoma" w:cs="Tahoma"/>
          <w:sz w:val="16"/>
          <w:szCs w:val="16"/>
        </w:rPr>
        <w:t xml:space="preserve">Městským </w:t>
      </w:r>
      <w:r w:rsidR="009D3AF3" w:rsidRPr="009D3AF3">
        <w:rPr>
          <w:rFonts w:ascii="Tahoma" w:eastAsia="Tahoma" w:hAnsi="Tahoma" w:cs="Tahoma"/>
          <w:sz w:val="16"/>
          <w:szCs w:val="16"/>
        </w:rPr>
        <w:t>soud</w:t>
      </w:r>
      <w:r w:rsidR="009D3AF3">
        <w:rPr>
          <w:rFonts w:ascii="Tahoma" w:eastAsia="Tahoma" w:hAnsi="Tahoma" w:cs="Tahoma"/>
          <w:sz w:val="16"/>
          <w:szCs w:val="16"/>
        </w:rPr>
        <w:t>em</w:t>
      </w:r>
      <w:r w:rsidR="009D3AF3" w:rsidRPr="009D3AF3">
        <w:rPr>
          <w:rFonts w:ascii="Tahoma" w:eastAsia="Tahoma" w:hAnsi="Tahoma" w:cs="Tahoma"/>
          <w:sz w:val="16"/>
          <w:szCs w:val="16"/>
        </w:rPr>
        <w:t xml:space="preserve"> v</w:t>
      </w:r>
      <w:r w:rsidR="004E1324">
        <w:rPr>
          <w:rFonts w:ascii="Tahoma" w:eastAsia="Tahoma" w:hAnsi="Tahoma" w:cs="Tahoma"/>
          <w:sz w:val="16"/>
          <w:szCs w:val="16"/>
        </w:rPr>
        <w:t> </w:t>
      </w:r>
      <w:r w:rsidR="009D3AF3" w:rsidRPr="009D3AF3">
        <w:rPr>
          <w:rFonts w:ascii="Tahoma" w:eastAsia="Tahoma" w:hAnsi="Tahoma" w:cs="Tahoma"/>
          <w:sz w:val="16"/>
          <w:szCs w:val="16"/>
        </w:rPr>
        <w:t>Praze</w:t>
      </w:r>
      <w:r w:rsidR="004E1324">
        <w:rPr>
          <w:rFonts w:ascii="Tahoma" w:eastAsia="Tahoma" w:hAnsi="Tahoma" w:cs="Tahoma"/>
          <w:sz w:val="16"/>
          <w:szCs w:val="16"/>
        </w:rPr>
        <w:t xml:space="preserve">, </w:t>
      </w:r>
      <w:proofErr w:type="spellStart"/>
      <w:r w:rsidR="004E1324">
        <w:rPr>
          <w:rFonts w:ascii="Tahoma" w:eastAsia="Tahoma" w:hAnsi="Tahoma" w:cs="Tahoma"/>
          <w:sz w:val="16"/>
          <w:szCs w:val="16"/>
        </w:rPr>
        <w:t>sp</w:t>
      </w:r>
      <w:proofErr w:type="spellEnd"/>
      <w:r w:rsidR="004E1324">
        <w:rPr>
          <w:rFonts w:ascii="Tahoma" w:eastAsia="Tahoma" w:hAnsi="Tahoma" w:cs="Tahoma"/>
          <w:sz w:val="16"/>
          <w:szCs w:val="16"/>
        </w:rPr>
        <w:t>. zn. C 5055</w:t>
      </w:r>
      <w:r w:rsidRPr="619C49D6">
        <w:rPr>
          <w:rFonts w:ascii="Tahoma" w:eastAsia="Tahoma" w:hAnsi="Tahoma" w:cs="Tahoma"/>
          <w:sz w:val="16"/>
          <w:szCs w:val="16"/>
        </w:rPr>
        <w:t xml:space="preserve"> </w:t>
      </w:r>
    </w:p>
    <w:p w14:paraId="327A748F" w14:textId="38AEFD19" w:rsidR="006D7C65" w:rsidRPr="003F3788" w:rsidRDefault="005A6E5E" w:rsidP="619C49D6">
      <w:pPr>
        <w:jc w:val="both"/>
        <w:rPr>
          <w:rFonts w:ascii="Tahoma" w:eastAsia="Tahoma" w:hAnsi="Tahoma" w:cs="Tahoma"/>
          <w:sz w:val="16"/>
          <w:szCs w:val="16"/>
        </w:rPr>
      </w:pPr>
      <w:r w:rsidRPr="619C49D6">
        <w:rPr>
          <w:rFonts w:ascii="Tahoma" w:eastAsia="Tahoma" w:hAnsi="Tahoma" w:cs="Tahoma"/>
          <w:sz w:val="16"/>
          <w:szCs w:val="16"/>
        </w:rPr>
        <w:t>se sídlem</w:t>
      </w:r>
      <w:r w:rsidR="006D7C65" w:rsidRPr="619C49D6">
        <w:rPr>
          <w:rFonts w:ascii="Tahoma" w:eastAsia="Tahoma" w:hAnsi="Tahoma" w:cs="Tahoma"/>
          <w:sz w:val="16"/>
          <w:szCs w:val="16"/>
        </w:rPr>
        <w:t xml:space="preserve">: </w:t>
      </w:r>
      <w:r>
        <w:rPr>
          <w:rFonts w:ascii="Tahoma" w:hAnsi="Tahoma" w:cs="Tahoma"/>
          <w:sz w:val="16"/>
          <w:szCs w:val="16"/>
        </w:rPr>
        <w:tab/>
      </w:r>
      <w:r w:rsidR="009D3AF3">
        <w:rPr>
          <w:rFonts w:ascii="Tahoma" w:eastAsia="Tahoma" w:hAnsi="Tahoma" w:cs="Tahoma"/>
          <w:sz w:val="16"/>
          <w:szCs w:val="16"/>
        </w:rPr>
        <w:t>Rozýnova 2421/12</w:t>
      </w:r>
      <w:r w:rsidR="009D3AF3" w:rsidRPr="009D3AF3">
        <w:rPr>
          <w:rFonts w:ascii="Tahoma" w:eastAsia="Tahoma" w:hAnsi="Tahoma" w:cs="Tahoma"/>
          <w:sz w:val="16"/>
          <w:szCs w:val="16"/>
        </w:rPr>
        <w:t>, 169 00</w:t>
      </w:r>
      <w:r w:rsidR="0036154C" w:rsidRPr="009D3AF3">
        <w:rPr>
          <w:rFonts w:ascii="Tahoma" w:eastAsia="Tahoma" w:hAnsi="Tahoma" w:cs="Tahoma"/>
          <w:sz w:val="16"/>
          <w:szCs w:val="16"/>
        </w:rPr>
        <w:t xml:space="preserve"> Praha 6</w:t>
      </w:r>
    </w:p>
    <w:p w14:paraId="21346A1A" w14:textId="7DA2E289" w:rsidR="006D7C65" w:rsidRPr="003F3788" w:rsidRDefault="006D7C65" w:rsidP="619C49D6">
      <w:pPr>
        <w:jc w:val="both"/>
        <w:rPr>
          <w:rFonts w:ascii="Tahoma" w:eastAsia="Tahoma" w:hAnsi="Tahoma" w:cs="Tahoma"/>
          <w:sz w:val="16"/>
          <w:szCs w:val="16"/>
        </w:rPr>
      </w:pPr>
      <w:r w:rsidRPr="619C49D6">
        <w:rPr>
          <w:rFonts w:ascii="Tahoma" w:eastAsia="Tahoma" w:hAnsi="Tahoma" w:cs="Tahoma"/>
          <w:sz w:val="16"/>
          <w:szCs w:val="16"/>
        </w:rPr>
        <w:t xml:space="preserve">IČ: </w:t>
      </w:r>
      <w:r w:rsidR="009D3AF3" w:rsidRPr="009D3AF3">
        <w:rPr>
          <w:rFonts w:ascii="Tahoma" w:eastAsia="Tahoma" w:hAnsi="Tahoma" w:cs="Tahoma"/>
          <w:sz w:val="16"/>
          <w:szCs w:val="16"/>
        </w:rPr>
        <w:t>41192923</w:t>
      </w:r>
      <w:r w:rsidR="005A6E5E">
        <w:rPr>
          <w:rFonts w:ascii="Tahoma" w:hAnsi="Tahoma" w:cs="Tahoma"/>
          <w:sz w:val="16"/>
          <w:szCs w:val="16"/>
        </w:rPr>
        <w:tab/>
      </w:r>
      <w:r w:rsidRPr="619C49D6">
        <w:rPr>
          <w:rFonts w:ascii="Tahoma" w:eastAsia="Tahoma" w:hAnsi="Tahoma" w:cs="Tahoma"/>
          <w:sz w:val="16"/>
          <w:szCs w:val="16"/>
        </w:rPr>
        <w:t xml:space="preserve">DIČ: </w:t>
      </w:r>
      <w:r w:rsidR="009D3AF3">
        <w:rPr>
          <w:rFonts w:ascii="Tahoma" w:eastAsia="Tahoma" w:hAnsi="Tahoma" w:cs="Tahoma"/>
          <w:sz w:val="16"/>
          <w:szCs w:val="16"/>
        </w:rPr>
        <w:t xml:space="preserve">CZ </w:t>
      </w:r>
      <w:r w:rsidR="009D3AF3" w:rsidRPr="009D3AF3">
        <w:rPr>
          <w:rFonts w:ascii="Tahoma" w:eastAsia="Tahoma" w:hAnsi="Tahoma" w:cs="Tahoma"/>
          <w:sz w:val="16"/>
          <w:szCs w:val="16"/>
        </w:rPr>
        <w:t>41192923</w:t>
      </w:r>
    </w:p>
    <w:p w14:paraId="5D9E2E7E" w14:textId="79074389" w:rsidR="006D7C65" w:rsidRPr="003F3788" w:rsidRDefault="006D7C65" w:rsidP="619C49D6">
      <w:pPr>
        <w:rPr>
          <w:rFonts w:ascii="Tahoma" w:eastAsia="Tahoma" w:hAnsi="Tahoma" w:cs="Tahoma"/>
          <w:color w:val="000000" w:themeColor="text1"/>
          <w:sz w:val="16"/>
          <w:szCs w:val="16"/>
        </w:rPr>
      </w:pPr>
      <w:r w:rsidRPr="619C49D6">
        <w:rPr>
          <w:rFonts w:ascii="Tahoma" w:eastAsia="Tahoma" w:hAnsi="Tahoma" w:cs="Tahoma"/>
          <w:sz w:val="16"/>
          <w:szCs w:val="16"/>
        </w:rPr>
        <w:t xml:space="preserve">Zastoupená: </w:t>
      </w:r>
      <w:r w:rsidR="005A6E5E">
        <w:rPr>
          <w:rFonts w:ascii="Tahoma" w:hAnsi="Tahoma" w:cs="Tahoma"/>
          <w:sz w:val="16"/>
          <w:szCs w:val="16"/>
        </w:rPr>
        <w:tab/>
      </w:r>
      <w:r w:rsidR="009D3AF3">
        <w:rPr>
          <w:rFonts w:ascii="Tahoma" w:eastAsia="Tahoma" w:hAnsi="Tahoma" w:cs="Tahoma"/>
          <w:sz w:val="16"/>
          <w:szCs w:val="16"/>
        </w:rPr>
        <w:t>Oliverem Kunzem</w:t>
      </w:r>
      <w:r w:rsidR="00F76705">
        <w:rPr>
          <w:rFonts w:ascii="Tahoma" w:eastAsia="Tahoma" w:hAnsi="Tahoma" w:cs="Tahoma"/>
          <w:sz w:val="16"/>
          <w:szCs w:val="16"/>
        </w:rPr>
        <w:t>, jednatelem</w:t>
      </w:r>
    </w:p>
    <w:p w14:paraId="29398891" w14:textId="287CB76E" w:rsidR="005A6E5E" w:rsidRDefault="005A6E5E" w:rsidP="619C49D6">
      <w:pPr>
        <w:rPr>
          <w:rFonts w:ascii="Tahoma" w:eastAsia="Tahoma" w:hAnsi="Tahoma" w:cs="Tahoma"/>
          <w:sz w:val="16"/>
          <w:szCs w:val="16"/>
        </w:rPr>
      </w:pPr>
      <w:r w:rsidRPr="619C49D6">
        <w:rPr>
          <w:rFonts w:ascii="Tahoma" w:eastAsia="Tahoma" w:hAnsi="Tahoma" w:cs="Tahoma"/>
          <w:sz w:val="16"/>
          <w:szCs w:val="16"/>
        </w:rPr>
        <w:t xml:space="preserve">Bankovní spojení: </w:t>
      </w:r>
      <w:r w:rsidR="00020789">
        <w:rPr>
          <w:rFonts w:ascii="Tahoma" w:hAnsi="Tahoma" w:cs="Tahoma"/>
          <w:sz w:val="16"/>
          <w:szCs w:val="16"/>
        </w:rPr>
        <w:tab/>
      </w:r>
      <w:r w:rsidR="00020789" w:rsidRPr="619C49D6">
        <w:rPr>
          <w:rFonts w:ascii="Tahoma" w:eastAsia="Tahoma" w:hAnsi="Tahoma" w:cs="Tahoma"/>
          <w:sz w:val="16"/>
          <w:szCs w:val="16"/>
        </w:rPr>
        <w:t>[</w:t>
      </w:r>
      <w:r w:rsidR="009D3AF3" w:rsidRPr="009D3AF3">
        <w:rPr>
          <w:rFonts w:ascii="Tahoma" w:eastAsia="Tahoma" w:hAnsi="Tahoma" w:cs="Tahoma"/>
          <w:sz w:val="16"/>
          <w:szCs w:val="16"/>
        </w:rPr>
        <w:t xml:space="preserve">ČSOB a.s., Praha </w:t>
      </w:r>
      <w:proofErr w:type="gramStart"/>
      <w:r w:rsidR="009D3AF3" w:rsidRPr="009D3AF3">
        <w:rPr>
          <w:rFonts w:ascii="Tahoma" w:eastAsia="Tahoma" w:hAnsi="Tahoma" w:cs="Tahoma"/>
          <w:sz w:val="16"/>
          <w:szCs w:val="16"/>
        </w:rPr>
        <w:t>1</w:t>
      </w:r>
      <w:r w:rsidR="009D3AF3">
        <w:rPr>
          <w:rFonts w:ascii="Tahoma" w:eastAsia="Tahoma" w:hAnsi="Tahoma" w:cs="Tahoma"/>
          <w:sz w:val="16"/>
          <w:szCs w:val="16"/>
        </w:rPr>
        <w:t xml:space="preserve">, </w:t>
      </w:r>
      <w:r w:rsidR="009938A1">
        <w:rPr>
          <w:rFonts w:ascii="Tahoma" w:eastAsia="Tahoma" w:hAnsi="Tahoma" w:cs="Tahoma"/>
          <w:sz w:val="16"/>
          <w:szCs w:val="16"/>
        </w:rPr>
        <w:t xml:space="preserve"> </w:t>
      </w:r>
      <w:proofErr w:type="spellStart"/>
      <w:r w:rsidR="009D3AF3">
        <w:rPr>
          <w:rFonts w:ascii="Tahoma" w:eastAsia="Tahoma" w:hAnsi="Tahoma" w:cs="Tahoma"/>
          <w:sz w:val="16"/>
          <w:szCs w:val="16"/>
        </w:rPr>
        <w:t>č.ú</w:t>
      </w:r>
      <w:proofErr w:type="spellEnd"/>
      <w:r w:rsidR="009D3AF3">
        <w:rPr>
          <w:rFonts w:ascii="Tahoma" w:eastAsia="Tahoma" w:hAnsi="Tahoma" w:cs="Tahoma"/>
          <w:sz w:val="16"/>
          <w:szCs w:val="16"/>
        </w:rPr>
        <w:t>.</w:t>
      </w:r>
      <w:proofErr w:type="gramEnd"/>
      <w:r w:rsidR="009938A1">
        <w:rPr>
          <w:rFonts w:ascii="Tahoma" w:eastAsia="Tahoma" w:hAnsi="Tahoma" w:cs="Tahoma"/>
          <w:sz w:val="16"/>
          <w:szCs w:val="16"/>
        </w:rPr>
        <w:t xml:space="preserve"> XX </w:t>
      </w:r>
      <w:proofErr w:type="spellStart"/>
      <w:r w:rsidR="00CD2CBB">
        <w:rPr>
          <w:rFonts w:ascii="Tahoma" w:eastAsia="Tahoma" w:hAnsi="Tahoma" w:cs="Tahoma"/>
          <w:sz w:val="16"/>
          <w:szCs w:val="16"/>
        </w:rPr>
        <w:t>xxxxxxxxxxxx</w:t>
      </w:r>
      <w:proofErr w:type="spellEnd"/>
      <w:r w:rsidR="009938A1">
        <w:rPr>
          <w:rFonts w:ascii="Tahoma" w:eastAsia="Tahoma" w:hAnsi="Tahoma" w:cs="Tahoma"/>
          <w:sz w:val="16"/>
          <w:szCs w:val="16"/>
        </w:rPr>
        <w:t xml:space="preserve"> XX</w:t>
      </w:r>
      <w:r w:rsidRPr="619C49D6">
        <w:rPr>
          <w:rFonts w:ascii="Tahoma" w:eastAsia="Tahoma" w:hAnsi="Tahoma" w:cs="Tahoma"/>
          <w:sz w:val="16"/>
          <w:szCs w:val="16"/>
        </w:rPr>
        <w:t>]</w:t>
      </w:r>
    </w:p>
    <w:p w14:paraId="792E4B61" w14:textId="6CDF4BBB" w:rsidR="009938A1" w:rsidRDefault="009938A1" w:rsidP="009938A1">
      <w:pPr>
        <w:rPr>
          <w:rFonts w:ascii="Tahoma" w:eastAsia="Tahoma" w:hAnsi="Tahoma" w:cs="Tahoma"/>
          <w:sz w:val="16"/>
          <w:szCs w:val="16"/>
        </w:rPr>
      </w:pPr>
      <w:r>
        <w:rPr>
          <w:rFonts w:ascii="Tahoma" w:eastAsia="Tahoma" w:hAnsi="Tahoma" w:cs="Tahoma"/>
          <w:sz w:val="16"/>
          <w:szCs w:val="16"/>
        </w:rPr>
        <w:t>Datová schránka:</w:t>
      </w:r>
      <w:r>
        <w:rPr>
          <w:rFonts w:ascii="Tahoma" w:eastAsia="Tahoma" w:hAnsi="Tahoma" w:cs="Tahoma"/>
          <w:sz w:val="16"/>
          <w:szCs w:val="16"/>
        </w:rPr>
        <w:tab/>
      </w:r>
      <w:r w:rsidRPr="619C49D6">
        <w:rPr>
          <w:rFonts w:ascii="Tahoma" w:eastAsia="Tahoma" w:hAnsi="Tahoma" w:cs="Tahoma"/>
          <w:sz w:val="16"/>
          <w:szCs w:val="16"/>
        </w:rPr>
        <w:t>[</w:t>
      </w:r>
      <w:r>
        <w:rPr>
          <w:rFonts w:ascii="Tahoma" w:eastAsia="Tahoma" w:hAnsi="Tahoma" w:cs="Tahoma"/>
          <w:sz w:val="16"/>
          <w:szCs w:val="16"/>
        </w:rPr>
        <w:t>XX</w:t>
      </w:r>
      <w:r w:rsidR="00467F13">
        <w:rPr>
          <w:rFonts w:ascii="Tahoma" w:eastAsia="Tahoma" w:hAnsi="Tahoma" w:cs="Tahoma"/>
          <w:sz w:val="16"/>
          <w:szCs w:val="16"/>
        </w:rPr>
        <w:t xml:space="preserve"> </w:t>
      </w:r>
      <w:r w:rsidR="00CD2CBB">
        <w:rPr>
          <w:rFonts w:ascii="Tahoma" w:eastAsia="Tahoma" w:hAnsi="Tahoma" w:cs="Tahoma"/>
          <w:sz w:val="16"/>
          <w:szCs w:val="16"/>
        </w:rPr>
        <w:t>xxxxxxxx</w:t>
      </w:r>
      <w:bookmarkStart w:id="0" w:name="_GoBack"/>
      <w:bookmarkEnd w:id="0"/>
      <w:r w:rsidR="00467F13">
        <w:rPr>
          <w:rFonts w:ascii="Tahoma" w:eastAsia="Tahoma" w:hAnsi="Tahoma" w:cs="Tahoma"/>
          <w:sz w:val="16"/>
          <w:szCs w:val="16"/>
        </w:rPr>
        <w:t xml:space="preserve"> </w:t>
      </w:r>
      <w:r>
        <w:rPr>
          <w:rFonts w:ascii="Tahoma" w:eastAsia="Tahoma" w:hAnsi="Tahoma" w:cs="Tahoma"/>
          <w:sz w:val="16"/>
          <w:szCs w:val="16"/>
        </w:rPr>
        <w:t>XX</w:t>
      </w:r>
      <w:r w:rsidRPr="619C49D6">
        <w:rPr>
          <w:rFonts w:ascii="Tahoma" w:eastAsia="Tahoma" w:hAnsi="Tahoma" w:cs="Tahoma"/>
          <w:sz w:val="16"/>
          <w:szCs w:val="16"/>
        </w:rPr>
        <w:t>]</w:t>
      </w:r>
    </w:p>
    <w:p w14:paraId="767A367F" w14:textId="2CC78B89" w:rsidR="009938A1" w:rsidRPr="003F3788" w:rsidRDefault="009938A1" w:rsidP="619C49D6">
      <w:pPr>
        <w:rPr>
          <w:rFonts w:ascii="Tahoma" w:eastAsia="Tahoma" w:hAnsi="Tahoma" w:cs="Tahoma"/>
          <w:sz w:val="16"/>
          <w:szCs w:val="16"/>
        </w:rPr>
      </w:pPr>
    </w:p>
    <w:p w14:paraId="2430C2AD" w14:textId="77777777" w:rsidR="000722A6" w:rsidRPr="003F3788" w:rsidRDefault="619C49D6" w:rsidP="619C49D6">
      <w:pPr>
        <w:jc w:val="both"/>
        <w:rPr>
          <w:rFonts w:ascii="Tahoma" w:eastAsia="Tahoma" w:hAnsi="Tahoma" w:cs="Tahoma"/>
          <w:b/>
          <w:bCs/>
          <w:sz w:val="16"/>
          <w:szCs w:val="16"/>
        </w:rPr>
      </w:pPr>
      <w:r w:rsidRPr="619C49D6">
        <w:rPr>
          <w:rFonts w:ascii="Tahoma" w:eastAsia="Tahoma" w:hAnsi="Tahoma" w:cs="Tahoma"/>
          <w:b/>
          <w:bCs/>
          <w:sz w:val="16"/>
          <w:szCs w:val="16"/>
        </w:rPr>
        <w:t>(dále jen „Společnost“)</w:t>
      </w:r>
    </w:p>
    <w:p w14:paraId="7DA93C43" w14:textId="77777777" w:rsidR="000722A6" w:rsidRPr="003F3788" w:rsidRDefault="000722A6" w:rsidP="000722A6">
      <w:pPr>
        <w:ind w:left="2124" w:hanging="2124"/>
        <w:jc w:val="both"/>
        <w:rPr>
          <w:rFonts w:ascii="Tahoma" w:hAnsi="Tahoma" w:cs="Tahoma"/>
          <w:b/>
          <w:sz w:val="16"/>
          <w:szCs w:val="16"/>
        </w:rPr>
      </w:pPr>
    </w:p>
    <w:p w14:paraId="6079D93D" w14:textId="77777777" w:rsidR="000722A6" w:rsidRPr="003F3788" w:rsidRDefault="619C49D6" w:rsidP="619C49D6">
      <w:pPr>
        <w:ind w:left="2124" w:hanging="2124"/>
        <w:jc w:val="both"/>
        <w:rPr>
          <w:rFonts w:ascii="Tahoma" w:eastAsia="Tahoma" w:hAnsi="Tahoma" w:cs="Tahoma"/>
          <w:b/>
          <w:bCs/>
          <w:sz w:val="16"/>
          <w:szCs w:val="16"/>
        </w:rPr>
      </w:pPr>
      <w:r w:rsidRPr="619C49D6">
        <w:rPr>
          <w:rFonts w:ascii="Tahoma" w:eastAsia="Tahoma" w:hAnsi="Tahoma" w:cs="Tahoma"/>
          <w:b/>
          <w:bCs/>
          <w:sz w:val="16"/>
          <w:szCs w:val="16"/>
        </w:rPr>
        <w:t>a</w:t>
      </w:r>
    </w:p>
    <w:p w14:paraId="3D8FDF96" w14:textId="77777777" w:rsidR="000722A6" w:rsidRPr="003F3788" w:rsidRDefault="000722A6" w:rsidP="000722A6">
      <w:pPr>
        <w:jc w:val="both"/>
        <w:rPr>
          <w:rFonts w:ascii="Tahoma" w:hAnsi="Tahoma" w:cs="Tahoma"/>
          <w:sz w:val="16"/>
          <w:szCs w:val="16"/>
        </w:rPr>
      </w:pPr>
    </w:p>
    <w:p w14:paraId="578715D2" w14:textId="77777777" w:rsidR="004C68E6" w:rsidRPr="003F3788" w:rsidRDefault="004C68E6" w:rsidP="619C49D6">
      <w:pPr>
        <w:ind w:left="2124" w:hanging="2124"/>
        <w:jc w:val="both"/>
        <w:rPr>
          <w:rFonts w:ascii="Tahoma" w:eastAsia="Tahoma" w:hAnsi="Tahoma" w:cs="Tahoma"/>
          <w:b/>
          <w:bCs/>
          <w:color w:val="000000" w:themeColor="text1"/>
          <w:sz w:val="16"/>
          <w:szCs w:val="16"/>
        </w:rPr>
      </w:pPr>
      <w:r w:rsidRPr="619C49D6">
        <w:rPr>
          <w:rFonts w:ascii="Tahoma" w:eastAsia="Tahoma" w:hAnsi="Tahoma" w:cs="Tahoma"/>
          <w:b/>
          <w:bCs/>
          <w:color w:val="000000"/>
          <w:sz w:val="16"/>
          <w:szCs w:val="16"/>
          <w:shd w:val="clear" w:color="auto" w:fill="FFFFFF"/>
        </w:rPr>
        <w:t>Všeobecná fakultní nemocnice v Praze</w:t>
      </w:r>
    </w:p>
    <w:p w14:paraId="745D0662" w14:textId="402B46DD" w:rsidR="004C68E6" w:rsidRPr="003F3788" w:rsidRDefault="004C68E6" w:rsidP="619C49D6">
      <w:pPr>
        <w:rPr>
          <w:rFonts w:ascii="Tahoma" w:eastAsia="Tahoma" w:hAnsi="Tahoma" w:cs="Tahoma"/>
          <w:sz w:val="16"/>
          <w:szCs w:val="16"/>
        </w:rPr>
      </w:pPr>
      <w:r w:rsidRPr="619C49D6">
        <w:rPr>
          <w:rFonts w:ascii="Tahoma" w:eastAsia="Tahoma" w:hAnsi="Tahoma" w:cs="Tahoma"/>
          <w:sz w:val="16"/>
          <w:szCs w:val="16"/>
        </w:rPr>
        <w:t xml:space="preserve">Se sídlem: </w:t>
      </w:r>
      <w:r w:rsidR="005A6E5E">
        <w:rPr>
          <w:rFonts w:ascii="Tahoma" w:hAnsi="Tahoma" w:cs="Tahoma"/>
          <w:sz w:val="16"/>
          <w:szCs w:val="16"/>
        </w:rPr>
        <w:tab/>
      </w:r>
      <w:r w:rsidRPr="619C49D6">
        <w:rPr>
          <w:rFonts w:ascii="Tahoma" w:eastAsia="Tahoma" w:hAnsi="Tahoma" w:cs="Tahoma"/>
          <w:sz w:val="16"/>
          <w:szCs w:val="16"/>
        </w:rPr>
        <w:t>U Nemocnice 499/2, 128 08 Praha 2</w:t>
      </w:r>
    </w:p>
    <w:p w14:paraId="44F34872" w14:textId="77777777" w:rsidR="00020789" w:rsidRDefault="004C68E6" w:rsidP="619C49D6">
      <w:pPr>
        <w:jc w:val="both"/>
        <w:rPr>
          <w:rStyle w:val="apple-style-span"/>
          <w:rFonts w:ascii="Tahoma,Arial Unicode MS" w:eastAsia="Tahoma,Arial Unicode MS" w:hAnsi="Tahoma,Arial Unicode MS" w:cs="Tahoma,Arial Unicode MS"/>
          <w:color w:val="000000" w:themeColor="text1"/>
          <w:sz w:val="16"/>
          <w:szCs w:val="16"/>
        </w:rPr>
      </w:pPr>
      <w:r w:rsidRPr="619C49D6">
        <w:rPr>
          <w:rFonts w:ascii="Tahoma" w:eastAsia="Tahoma" w:hAnsi="Tahoma" w:cs="Tahoma"/>
          <w:sz w:val="16"/>
          <w:szCs w:val="16"/>
        </w:rPr>
        <w:t>IČ: 00064165 </w:t>
      </w:r>
      <w:r w:rsidR="005A6E5E">
        <w:rPr>
          <w:rFonts w:ascii="Tahoma" w:hAnsi="Tahoma" w:cs="Tahoma"/>
          <w:sz w:val="16"/>
          <w:szCs w:val="16"/>
        </w:rPr>
        <w:tab/>
      </w:r>
      <w:r w:rsidRPr="00CC1575">
        <w:rPr>
          <w:rFonts w:ascii="Tahoma" w:eastAsia="Tahoma" w:hAnsi="Tahoma" w:cs="Tahoma"/>
          <w:sz w:val="16"/>
          <w:szCs w:val="16"/>
        </w:rPr>
        <w:t xml:space="preserve">DIČ: </w:t>
      </w:r>
      <w:r w:rsidRPr="00481E53">
        <w:rPr>
          <w:rStyle w:val="apple-style-span"/>
          <w:rFonts w:ascii="Tahoma" w:eastAsia="Tahoma,Arial Unicode MS" w:hAnsi="Tahoma" w:cs="Tahoma"/>
          <w:color w:val="000000"/>
          <w:sz w:val="16"/>
          <w:szCs w:val="16"/>
          <w:shd w:val="clear" w:color="auto" w:fill="FFFFFF"/>
        </w:rPr>
        <w:t>CZ00064165</w:t>
      </w:r>
    </w:p>
    <w:p w14:paraId="4C41BCB3" w14:textId="0E88BA66" w:rsidR="004A3D49" w:rsidRPr="00033989" w:rsidRDefault="00020789" w:rsidP="004A3D49">
      <w:pPr>
        <w:rPr>
          <w:rFonts w:ascii="Tahoma" w:hAnsi="Tahoma" w:cs="Tahoma"/>
          <w:sz w:val="16"/>
          <w:szCs w:val="16"/>
        </w:rPr>
      </w:pPr>
      <w:r w:rsidRPr="619C49D6">
        <w:rPr>
          <w:rFonts w:ascii="Tahoma" w:eastAsia="Tahoma" w:hAnsi="Tahoma" w:cs="Tahoma"/>
          <w:sz w:val="16"/>
          <w:szCs w:val="16"/>
        </w:rPr>
        <w:t xml:space="preserve">Zastoupená: </w:t>
      </w:r>
      <w:r w:rsidR="004A3D49">
        <w:rPr>
          <w:rFonts w:ascii="Tahoma" w:hAnsi="Tahoma" w:cs="Tahoma"/>
          <w:sz w:val="16"/>
          <w:szCs w:val="16"/>
        </w:rPr>
        <w:tab/>
      </w:r>
      <w:r w:rsidR="006D7F1E">
        <w:rPr>
          <w:rFonts w:ascii="Tahoma" w:hAnsi="Tahoma" w:cs="Tahoma"/>
          <w:sz w:val="16"/>
          <w:szCs w:val="16"/>
        </w:rPr>
        <w:t xml:space="preserve">MUDr. Davidem </w:t>
      </w:r>
      <w:proofErr w:type="spellStart"/>
      <w:r w:rsidR="006D7F1E">
        <w:rPr>
          <w:rFonts w:ascii="Tahoma" w:hAnsi="Tahoma" w:cs="Tahoma"/>
          <w:sz w:val="16"/>
          <w:szCs w:val="16"/>
        </w:rPr>
        <w:t>Feltlem</w:t>
      </w:r>
      <w:proofErr w:type="spellEnd"/>
      <w:r w:rsidR="006D7F1E">
        <w:rPr>
          <w:rFonts w:ascii="Tahoma" w:hAnsi="Tahoma" w:cs="Tahoma"/>
          <w:sz w:val="16"/>
          <w:szCs w:val="16"/>
        </w:rPr>
        <w:t>, PH.D., MBA, ředitelem</w:t>
      </w:r>
    </w:p>
    <w:p w14:paraId="79C22739" w14:textId="6FB96AE0" w:rsidR="004C68E6" w:rsidRPr="003F3788" w:rsidRDefault="004C68E6" w:rsidP="619C49D6">
      <w:pPr>
        <w:jc w:val="both"/>
        <w:rPr>
          <w:rFonts w:ascii="Tahoma" w:eastAsia="Tahoma" w:hAnsi="Tahoma" w:cs="Tahoma"/>
          <w:sz w:val="16"/>
          <w:szCs w:val="16"/>
        </w:rPr>
      </w:pPr>
      <w:r w:rsidRPr="619C49D6">
        <w:rPr>
          <w:rFonts w:ascii="Tahoma" w:eastAsia="Tahoma" w:hAnsi="Tahoma" w:cs="Tahoma"/>
          <w:sz w:val="16"/>
          <w:szCs w:val="16"/>
        </w:rPr>
        <w:t xml:space="preserve">Bankovní spojení: </w:t>
      </w:r>
      <w:r w:rsidR="005A6E5E">
        <w:rPr>
          <w:rFonts w:ascii="Tahoma" w:hAnsi="Tahoma" w:cs="Tahoma"/>
          <w:sz w:val="16"/>
          <w:szCs w:val="16"/>
        </w:rPr>
        <w:tab/>
      </w:r>
      <w:r w:rsidR="00C30872" w:rsidRPr="619C49D6">
        <w:rPr>
          <w:rFonts w:ascii="Tahoma" w:eastAsia="Tahoma" w:hAnsi="Tahoma" w:cs="Tahoma"/>
          <w:sz w:val="16"/>
          <w:szCs w:val="16"/>
        </w:rPr>
        <w:t>ČNB</w:t>
      </w:r>
      <w:r w:rsidRPr="619C49D6">
        <w:rPr>
          <w:rFonts w:ascii="Tahoma" w:eastAsia="Tahoma" w:hAnsi="Tahoma" w:cs="Tahoma"/>
          <w:sz w:val="16"/>
          <w:szCs w:val="16"/>
        </w:rPr>
        <w:t xml:space="preserve">, </w:t>
      </w:r>
      <w:proofErr w:type="spellStart"/>
      <w:r w:rsidRPr="619C49D6">
        <w:rPr>
          <w:rFonts w:ascii="Tahoma" w:eastAsia="Tahoma" w:hAnsi="Tahoma" w:cs="Tahoma"/>
          <w:sz w:val="16"/>
          <w:szCs w:val="16"/>
        </w:rPr>
        <w:t>č.ú</w:t>
      </w:r>
      <w:proofErr w:type="spellEnd"/>
      <w:r w:rsidRPr="619C49D6">
        <w:rPr>
          <w:rFonts w:ascii="Tahoma" w:eastAsia="Tahoma" w:hAnsi="Tahoma" w:cs="Tahoma"/>
          <w:sz w:val="16"/>
          <w:szCs w:val="16"/>
        </w:rPr>
        <w:t>. 24035021/0</w:t>
      </w:r>
      <w:r w:rsidR="00C30872" w:rsidRPr="619C49D6">
        <w:rPr>
          <w:rFonts w:ascii="Tahoma" w:eastAsia="Tahoma" w:hAnsi="Tahoma" w:cs="Tahoma"/>
          <w:sz w:val="16"/>
          <w:szCs w:val="16"/>
        </w:rPr>
        <w:t>71</w:t>
      </w:r>
      <w:r w:rsidRPr="619C49D6">
        <w:rPr>
          <w:rFonts w:ascii="Tahoma" w:eastAsia="Tahoma" w:hAnsi="Tahoma" w:cs="Tahoma"/>
          <w:sz w:val="16"/>
          <w:szCs w:val="16"/>
        </w:rPr>
        <w:t>0</w:t>
      </w:r>
    </w:p>
    <w:p w14:paraId="05D172F0" w14:textId="3E8D7F25" w:rsidR="000722A6" w:rsidRPr="003F3788" w:rsidRDefault="619C49D6" w:rsidP="619C49D6">
      <w:pPr>
        <w:jc w:val="both"/>
        <w:rPr>
          <w:rFonts w:ascii="Tahoma" w:eastAsia="Tahoma" w:hAnsi="Tahoma" w:cs="Tahoma"/>
          <w:b/>
          <w:bCs/>
          <w:sz w:val="16"/>
          <w:szCs w:val="16"/>
        </w:rPr>
      </w:pPr>
      <w:r w:rsidRPr="619C49D6">
        <w:rPr>
          <w:rFonts w:ascii="Tahoma" w:eastAsia="Tahoma" w:hAnsi="Tahoma" w:cs="Tahoma"/>
          <w:b/>
          <w:bCs/>
          <w:sz w:val="16"/>
          <w:szCs w:val="16"/>
        </w:rPr>
        <w:t>(dále jen „odběratel“).</w:t>
      </w:r>
    </w:p>
    <w:p w14:paraId="4F330CCC" w14:textId="77777777" w:rsidR="000722A6" w:rsidRPr="003F3788" w:rsidRDefault="000722A6" w:rsidP="005A6E5E">
      <w:pPr>
        <w:jc w:val="center"/>
        <w:rPr>
          <w:rFonts w:ascii="Tahoma" w:hAnsi="Tahoma" w:cs="Tahoma"/>
          <w:b/>
          <w:bCs/>
          <w:sz w:val="16"/>
          <w:szCs w:val="16"/>
        </w:rPr>
      </w:pPr>
    </w:p>
    <w:p w14:paraId="41CE5371" w14:textId="680B3143" w:rsidR="005A6E5E" w:rsidRDefault="619C49D6" w:rsidP="619C49D6">
      <w:pPr>
        <w:pStyle w:val="Zkladntext"/>
        <w:spacing w:after="0"/>
        <w:rPr>
          <w:rFonts w:ascii="Tahoma" w:eastAsia="Tahoma" w:hAnsi="Tahoma" w:cs="Tahoma"/>
          <w:sz w:val="16"/>
          <w:szCs w:val="16"/>
        </w:rPr>
      </w:pPr>
      <w:r w:rsidRPr="619C49D6">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Default="005A6E5E" w:rsidP="005A6E5E">
      <w:pPr>
        <w:pStyle w:val="Zkladntext"/>
        <w:spacing w:after="0"/>
        <w:rPr>
          <w:rFonts w:ascii="Tahoma" w:hAnsi="Tahoma" w:cs="Tahoma"/>
          <w:sz w:val="16"/>
          <w:szCs w:val="16"/>
        </w:rPr>
      </w:pPr>
    </w:p>
    <w:p w14:paraId="781F9E53" w14:textId="6856E6A8" w:rsidR="005A6E5E" w:rsidRPr="005A6E5E" w:rsidRDefault="619C49D6" w:rsidP="619C49D6">
      <w:pPr>
        <w:pStyle w:val="Zkladntext"/>
        <w:spacing w:after="0"/>
        <w:jc w:val="center"/>
        <w:rPr>
          <w:rFonts w:ascii="Tahoma" w:eastAsia="Tahoma" w:hAnsi="Tahoma" w:cs="Tahoma"/>
          <w:b/>
          <w:bCs/>
          <w:sz w:val="16"/>
          <w:szCs w:val="16"/>
        </w:rPr>
      </w:pPr>
      <w:r w:rsidRPr="619C49D6">
        <w:rPr>
          <w:rFonts w:ascii="Tahoma" w:eastAsia="Tahoma" w:hAnsi="Tahoma" w:cs="Tahoma"/>
          <w:b/>
          <w:bCs/>
          <w:sz w:val="16"/>
          <w:szCs w:val="16"/>
        </w:rPr>
        <w:t>Smlouvu o poskytnutí obratového bonusu</w:t>
      </w:r>
    </w:p>
    <w:p w14:paraId="65E850C1" w14:textId="77777777" w:rsidR="005A6E5E" w:rsidRPr="001238D8" w:rsidRDefault="005A6E5E" w:rsidP="005A6E5E">
      <w:pPr>
        <w:pStyle w:val="Zkladntext"/>
        <w:spacing w:after="0"/>
        <w:rPr>
          <w:rFonts w:ascii="Tahoma" w:hAnsi="Tahoma" w:cs="Tahoma"/>
          <w:sz w:val="16"/>
          <w:szCs w:val="16"/>
        </w:rPr>
      </w:pPr>
    </w:p>
    <w:p w14:paraId="3EA31C14" w14:textId="77777777" w:rsidR="000722A6" w:rsidRPr="003F3788" w:rsidRDefault="619C49D6" w:rsidP="619C49D6">
      <w:pPr>
        <w:jc w:val="center"/>
        <w:rPr>
          <w:rFonts w:ascii="Tahoma" w:eastAsia="Tahoma" w:hAnsi="Tahoma" w:cs="Tahoma"/>
          <w:b/>
          <w:bCs/>
          <w:sz w:val="16"/>
          <w:szCs w:val="16"/>
        </w:rPr>
      </w:pPr>
      <w:r w:rsidRPr="619C49D6">
        <w:rPr>
          <w:rFonts w:ascii="Tahoma" w:eastAsia="Tahoma" w:hAnsi="Tahoma" w:cs="Tahoma"/>
          <w:b/>
          <w:bCs/>
          <w:sz w:val="16"/>
          <w:szCs w:val="16"/>
        </w:rPr>
        <w:t>I.</w:t>
      </w:r>
    </w:p>
    <w:p w14:paraId="1278FCDE" w14:textId="77777777" w:rsidR="000722A6" w:rsidRPr="00F76705" w:rsidRDefault="619C49D6" w:rsidP="00F76705">
      <w:pPr>
        <w:pStyle w:val="Zkladntext2"/>
        <w:jc w:val="center"/>
        <w:rPr>
          <w:rFonts w:ascii="Tahoma" w:eastAsia="Tahoma" w:hAnsi="Tahoma" w:cs="Tahoma"/>
          <w:b/>
          <w:bCs/>
          <w:sz w:val="16"/>
          <w:szCs w:val="16"/>
        </w:rPr>
      </w:pPr>
      <w:r w:rsidRPr="00F76705">
        <w:rPr>
          <w:rFonts w:ascii="Tahoma" w:eastAsia="Tahoma" w:hAnsi="Tahoma" w:cs="Tahoma"/>
          <w:b/>
          <w:bCs/>
          <w:sz w:val="16"/>
          <w:szCs w:val="16"/>
        </w:rPr>
        <w:t>Úvodní ustanovení</w:t>
      </w:r>
    </w:p>
    <w:p w14:paraId="2381FE1A" w14:textId="2164E470"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Odběratel odebírá prostřednictvím odběrových míst uvedených v Příloze této smlouvy (dále jen „</w:t>
      </w:r>
      <w:r w:rsidRPr="619C49D6">
        <w:rPr>
          <w:rFonts w:ascii="Tahoma" w:eastAsia="Tahoma" w:hAnsi="Tahoma" w:cs="Tahoma"/>
          <w:b/>
          <w:bCs/>
          <w:sz w:val="16"/>
          <w:szCs w:val="16"/>
        </w:rPr>
        <w:t>Odběrová místa</w:t>
      </w:r>
      <w:r w:rsidRPr="619C49D6">
        <w:rPr>
          <w:rFonts w:ascii="Tahoma" w:eastAsia="Tahoma" w:hAnsi="Tahoma" w:cs="Tahoma"/>
          <w:sz w:val="16"/>
          <w:szCs w:val="16"/>
        </w:rPr>
        <w:t>“) z distribuční sítě v České republice, zahrnující Společnost, výrobky uvedené v Přílohách této Smlouvy, které na tento trh uvádí Společnost, dále jen „</w:t>
      </w:r>
      <w:r w:rsidRPr="619C49D6">
        <w:rPr>
          <w:rFonts w:ascii="Tahoma" w:eastAsia="Tahoma" w:hAnsi="Tahoma" w:cs="Tahoma"/>
          <w:b/>
          <w:bCs/>
          <w:sz w:val="16"/>
          <w:szCs w:val="16"/>
        </w:rPr>
        <w:t>Výrobky</w:t>
      </w:r>
      <w:r w:rsidRPr="619C49D6">
        <w:rPr>
          <w:rFonts w:ascii="Tahoma" w:eastAsia="Tahoma" w:hAnsi="Tahoma" w:cs="Tahoma"/>
          <w:sz w:val="16"/>
          <w:szCs w:val="16"/>
        </w:rPr>
        <w:t xml:space="preserve">“. Podmínky odběrů Výrobků </w:t>
      </w:r>
      <w:r w:rsidR="004E1324">
        <w:rPr>
          <w:rFonts w:ascii="Tahoma" w:eastAsia="Tahoma" w:hAnsi="Tahoma" w:cs="Tahoma"/>
          <w:sz w:val="16"/>
          <w:szCs w:val="16"/>
        </w:rPr>
        <w:t>odběratelem</w:t>
      </w:r>
      <w:r w:rsidRPr="619C49D6">
        <w:rPr>
          <w:rFonts w:ascii="Tahoma" w:eastAsia="Tahoma" w:hAnsi="Tahoma" w:cs="Tahoma"/>
          <w:sz w:val="16"/>
          <w:szCs w:val="16"/>
        </w:rPr>
        <w:t xml:space="preserve"> nejsou touto smlouvou nijak dotčeny. Příloh</w:t>
      </w:r>
      <w:r w:rsidR="00BC3D49">
        <w:rPr>
          <w:rFonts w:ascii="Tahoma" w:eastAsia="Tahoma" w:hAnsi="Tahoma" w:cs="Tahoma"/>
          <w:sz w:val="16"/>
          <w:szCs w:val="16"/>
        </w:rPr>
        <w:t>a</w:t>
      </w:r>
      <w:r w:rsidRPr="619C49D6">
        <w:rPr>
          <w:rFonts w:ascii="Tahoma" w:eastAsia="Tahoma" w:hAnsi="Tahoma" w:cs="Tahoma"/>
          <w:sz w:val="16"/>
          <w:szCs w:val="16"/>
        </w:rPr>
        <w:t xml:space="preserve"> této smlouvy tvoří její nedílnou součást.</w:t>
      </w:r>
    </w:p>
    <w:p w14:paraId="4CFDF6D3" w14:textId="257FD247" w:rsidR="000722A6" w:rsidRPr="003F3788"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3F3788" w:rsidRDefault="000722A6" w:rsidP="005A6E5E">
      <w:pPr>
        <w:pStyle w:val="Odstavecseseznamem"/>
        <w:tabs>
          <w:tab w:val="num" w:pos="4"/>
        </w:tabs>
        <w:ind w:left="709"/>
        <w:rPr>
          <w:rFonts w:ascii="Tahoma" w:hAnsi="Tahoma" w:cs="Tahoma"/>
          <w:sz w:val="16"/>
          <w:szCs w:val="16"/>
        </w:rPr>
      </w:pPr>
    </w:p>
    <w:p w14:paraId="15E6E6E5" w14:textId="421BC8D3"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Obě smluvní strany souhlasně konstatují, že odběratel prostřednictvím spolupráce upravené kupními smlouvami odebírá v rámci své činnosti i výrobky Společnosti, a to v takovém množství, které je pro činnost odběratele potřebné. V příslušné dílčí kupní smlouvě uzavřené mezi odběratelem a </w:t>
      </w:r>
      <w:r w:rsidR="00BC3D49">
        <w:rPr>
          <w:rFonts w:ascii="Tahoma" w:eastAsia="Tahoma" w:hAnsi="Tahoma" w:cs="Tahoma"/>
          <w:sz w:val="16"/>
          <w:szCs w:val="16"/>
        </w:rPr>
        <w:t>Společností</w:t>
      </w:r>
      <w:r w:rsidR="00BC3D49" w:rsidRPr="619C49D6">
        <w:rPr>
          <w:rFonts w:ascii="Tahoma" w:eastAsia="Tahoma" w:hAnsi="Tahoma" w:cs="Tahoma"/>
          <w:sz w:val="16"/>
          <w:szCs w:val="16"/>
        </w:rPr>
        <w:t xml:space="preserve"> </w:t>
      </w:r>
      <w:r w:rsidRPr="619C49D6">
        <w:rPr>
          <w:rFonts w:ascii="Tahoma" w:eastAsia="Tahoma" w:hAnsi="Tahoma" w:cs="Tahoma"/>
          <w:sz w:val="16"/>
          <w:szCs w:val="16"/>
        </w:rPr>
        <w:t xml:space="preserve">jsou dále upraveny konkrétní obchodní vztahy zaměřené zejména na způsob objednávek zboží, termín a místo dodání, požadavky na zboží, způsob převzetí zboží </w:t>
      </w:r>
      <w:r w:rsidR="00BC3D49">
        <w:rPr>
          <w:rFonts w:ascii="Tahoma" w:eastAsia="Tahoma" w:hAnsi="Tahoma" w:cs="Tahoma"/>
          <w:sz w:val="16"/>
          <w:szCs w:val="16"/>
        </w:rPr>
        <w:t>odběratelem</w:t>
      </w:r>
      <w:r w:rsidRPr="619C49D6">
        <w:rPr>
          <w:rFonts w:ascii="Tahoma" w:eastAsia="Tahoma" w:hAnsi="Tahoma" w:cs="Tahoma"/>
          <w:sz w:val="16"/>
          <w:szCs w:val="16"/>
        </w:rPr>
        <w:t>, případně další ujednání ke specifikaci smluvních vztahů.</w:t>
      </w:r>
    </w:p>
    <w:p w14:paraId="5634A014" w14:textId="77777777" w:rsidR="000722A6" w:rsidRPr="003F3788" w:rsidRDefault="000722A6" w:rsidP="005A6E5E">
      <w:pPr>
        <w:pStyle w:val="Zkladntext2"/>
        <w:tabs>
          <w:tab w:val="num" w:pos="4"/>
        </w:tabs>
        <w:ind w:left="709"/>
        <w:rPr>
          <w:rFonts w:ascii="Tahoma" w:hAnsi="Tahoma" w:cs="Tahoma"/>
          <w:sz w:val="16"/>
          <w:szCs w:val="16"/>
        </w:rPr>
      </w:pPr>
    </w:p>
    <w:p w14:paraId="3BEE04A5" w14:textId="3EF42FA1"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Proces uzavření dílčí kupní smlouvy mezi odběratelem a </w:t>
      </w:r>
      <w:r w:rsidR="00BC3D49">
        <w:rPr>
          <w:rFonts w:ascii="Tahoma" w:eastAsia="Tahoma" w:hAnsi="Tahoma" w:cs="Tahoma"/>
          <w:sz w:val="16"/>
          <w:szCs w:val="16"/>
        </w:rPr>
        <w:t>Společností</w:t>
      </w:r>
      <w:r w:rsidR="00BC3D49" w:rsidRPr="619C49D6">
        <w:rPr>
          <w:rFonts w:ascii="Tahoma" w:eastAsia="Tahoma" w:hAnsi="Tahoma" w:cs="Tahoma"/>
          <w:sz w:val="16"/>
          <w:szCs w:val="16"/>
        </w:rPr>
        <w:t xml:space="preserve"> </w:t>
      </w:r>
      <w:r w:rsidRPr="619C49D6">
        <w:rPr>
          <w:rFonts w:ascii="Tahoma" w:eastAsia="Tahoma" w:hAnsi="Tahoma" w:cs="Tahoma"/>
          <w:sz w:val="16"/>
          <w:szCs w:val="16"/>
        </w:rPr>
        <w:t>není nijak závislý na této smlouvě nebo jejích jednotlivých ustanoveních.</w:t>
      </w:r>
    </w:p>
    <w:p w14:paraId="33B2A192" w14:textId="77777777" w:rsidR="00A842DE" w:rsidRPr="003F3788" w:rsidRDefault="00A842DE" w:rsidP="000722A6">
      <w:pPr>
        <w:pStyle w:val="Zkladntext2"/>
        <w:jc w:val="center"/>
        <w:rPr>
          <w:rFonts w:ascii="Tahoma" w:hAnsi="Tahoma" w:cs="Tahoma"/>
          <w:b/>
          <w:sz w:val="16"/>
          <w:szCs w:val="16"/>
        </w:rPr>
      </w:pPr>
    </w:p>
    <w:p w14:paraId="2A8978AD"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w:t>
      </w:r>
    </w:p>
    <w:p w14:paraId="76E73BC4"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Předmět smlouvy</w:t>
      </w:r>
    </w:p>
    <w:p w14:paraId="1D2411EA" w14:textId="185F781B" w:rsidR="00CA5FD3"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Společnost poskytne odběrateli za odběr Výrobků při splnění podmínek uvedených </w:t>
      </w:r>
      <w:proofErr w:type="gramStart"/>
      <w:r w:rsidRPr="619C49D6">
        <w:rPr>
          <w:rFonts w:ascii="Tahoma" w:eastAsia="Tahoma" w:hAnsi="Tahoma" w:cs="Tahoma"/>
          <w:sz w:val="16"/>
          <w:szCs w:val="16"/>
        </w:rPr>
        <w:t>v  Příloze</w:t>
      </w:r>
      <w:proofErr w:type="gramEnd"/>
      <w:r w:rsidRPr="619C49D6">
        <w:rPr>
          <w:rFonts w:ascii="Tahoma" w:eastAsia="Tahoma" w:hAnsi="Tahoma" w:cs="Tahoma"/>
          <w:sz w:val="16"/>
          <w:szCs w:val="16"/>
        </w:rPr>
        <w:t xml:space="preserve"> obratový bonus (dále jen „</w:t>
      </w:r>
      <w:r w:rsidRPr="619C49D6">
        <w:rPr>
          <w:rFonts w:ascii="Tahoma" w:eastAsia="Tahoma" w:hAnsi="Tahoma" w:cs="Tahoma"/>
          <w:b/>
          <w:bCs/>
          <w:sz w:val="16"/>
          <w:szCs w:val="16"/>
        </w:rPr>
        <w:t>Bonus</w:t>
      </w:r>
      <w:r w:rsidRPr="619C49D6">
        <w:rPr>
          <w:rFonts w:ascii="Tahoma" w:eastAsia="Tahoma" w:hAnsi="Tahoma" w:cs="Tahoma"/>
          <w:sz w:val="16"/>
          <w:szCs w:val="16"/>
        </w:rPr>
        <w:t>“) ve výši uvedené v  Příloze za předpokladu, že odběr Výrobků v referenčním období dosáhne minimálně obratu uvedeného v Příloze. Výběr Výrobků uvedených v Příloze této smlouvy vychází z potřeb odběratele</w:t>
      </w:r>
      <w:r w:rsidR="00CC19D2">
        <w:rPr>
          <w:rFonts w:ascii="Tahoma" w:eastAsia="Tahoma" w:hAnsi="Tahoma" w:cs="Tahoma"/>
          <w:sz w:val="16"/>
          <w:szCs w:val="16"/>
        </w:rPr>
        <w:t>.</w:t>
      </w:r>
      <w:r w:rsidRPr="619C49D6">
        <w:rPr>
          <w:rFonts w:ascii="Tahoma" w:eastAsia="Tahoma" w:hAnsi="Tahoma" w:cs="Tahoma"/>
          <w:sz w:val="16"/>
          <w:szCs w:val="16"/>
        </w:rPr>
        <w:t xml:space="preserve"> </w:t>
      </w:r>
    </w:p>
    <w:p w14:paraId="474CC73B" w14:textId="77777777" w:rsidR="00CA5FD3" w:rsidRPr="003F3788" w:rsidRDefault="00CA5FD3" w:rsidP="005A6E5E">
      <w:pPr>
        <w:pStyle w:val="Zkladntext2"/>
        <w:tabs>
          <w:tab w:val="num" w:pos="4"/>
        </w:tabs>
        <w:ind w:left="709"/>
        <w:rPr>
          <w:rFonts w:ascii="Tahoma" w:hAnsi="Tahoma" w:cs="Tahoma"/>
          <w:sz w:val="16"/>
          <w:szCs w:val="16"/>
        </w:rPr>
      </w:pPr>
    </w:p>
    <w:p w14:paraId="6789626E" w14:textId="015C2C36"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Bonus je stanoven </w:t>
      </w:r>
      <w:proofErr w:type="gramStart"/>
      <w:r w:rsidRPr="619C49D6">
        <w:rPr>
          <w:rFonts w:ascii="Tahoma" w:eastAsia="Tahoma" w:hAnsi="Tahoma" w:cs="Tahoma"/>
          <w:sz w:val="16"/>
          <w:szCs w:val="16"/>
        </w:rPr>
        <w:t>v  Příloze</w:t>
      </w:r>
      <w:proofErr w:type="gramEnd"/>
      <w:r w:rsidRPr="619C49D6">
        <w:rPr>
          <w:rFonts w:ascii="Tahoma" w:eastAsia="Tahoma" w:hAnsi="Tahoma" w:cs="Tahoma"/>
          <w:sz w:val="16"/>
          <w:szCs w:val="16"/>
        </w:rPr>
        <w:t xml:space="preserve"> vždy pro konkrétní dosažený obrat Výrobků v referenčním období, přičemž obrat Výrobků se vypočte jako součet cen všech balení příslušných Výrobků, které odběratel nakoupí v referenčním období. Cenou balení Výrobku se pro účely tohoto ustanovení rozumí konečná cena </w:t>
      </w:r>
      <w:r w:rsidR="00BC3D49">
        <w:rPr>
          <w:rFonts w:ascii="Tahoma" w:eastAsia="Tahoma" w:hAnsi="Tahoma" w:cs="Tahoma"/>
          <w:sz w:val="16"/>
          <w:szCs w:val="16"/>
        </w:rPr>
        <w:t>výrobce</w:t>
      </w:r>
      <w:r w:rsidR="00BC3D49">
        <w:rPr>
          <w:rFonts w:ascii="Tahoma" w:eastAsia="Tahoma" w:hAnsi="Tahoma" w:cs="Tahoma"/>
          <w:sz w:val="16"/>
          <w:szCs w:val="16"/>
        </w:rPr>
        <w:t xml:space="preserve"> </w:t>
      </w:r>
      <w:r w:rsidRPr="619C49D6">
        <w:rPr>
          <w:rFonts w:ascii="Tahoma" w:eastAsia="Tahoma" w:hAnsi="Tahoma" w:cs="Tahoma"/>
          <w:sz w:val="16"/>
          <w:szCs w:val="16"/>
        </w:rPr>
        <w:t xml:space="preserve">bez DPH. </w:t>
      </w:r>
      <w:r w:rsidR="0055148E">
        <w:rPr>
          <w:rFonts w:ascii="Tahoma" w:eastAsia="Tahoma" w:hAnsi="Tahoma" w:cs="Tahoma"/>
          <w:sz w:val="16"/>
          <w:szCs w:val="16"/>
        </w:rPr>
        <w:t xml:space="preserve">Za </w:t>
      </w:r>
      <w:r w:rsidRPr="619C49D6">
        <w:rPr>
          <w:rFonts w:ascii="Tahoma" w:eastAsia="Tahoma" w:hAnsi="Tahoma" w:cs="Tahoma"/>
          <w:sz w:val="16"/>
          <w:szCs w:val="16"/>
        </w:rPr>
        <w:t xml:space="preserve">určený odběr Výrobků bude za příslušné referenční období vyplacen jediný Bonus, což však nevylučuje jeho vykazování více doklady nebo uhrazení ve více platbách, pokud tak stanoví tato Smlouva. Částka bonusu takto vypočteného  je částkou bez DPH. </w:t>
      </w:r>
      <w:r w:rsidR="00836A45">
        <w:rPr>
          <w:rFonts w:ascii="Tahoma" w:eastAsia="Tahoma" w:hAnsi="Tahoma" w:cs="Tahoma"/>
          <w:sz w:val="16"/>
          <w:szCs w:val="16"/>
        </w:rPr>
        <w:t xml:space="preserve">K </w:t>
      </w:r>
      <w:r w:rsidRPr="619C49D6">
        <w:rPr>
          <w:rFonts w:ascii="Tahoma" w:eastAsia="Tahoma" w:hAnsi="Tahoma" w:cs="Tahoma"/>
          <w:sz w:val="16"/>
          <w:szCs w:val="16"/>
        </w:rPr>
        <w:t>této částce bude vždy připočtena DPH v sazbě platné pro příslušný výrobek a odběrateli bude vyplacena celková částka Bonusu včetně DPH.</w:t>
      </w:r>
      <w:r w:rsidR="00836A45">
        <w:rPr>
          <w:rFonts w:ascii="Tahoma" w:eastAsia="Tahoma" w:hAnsi="Tahoma" w:cs="Tahoma"/>
          <w:sz w:val="16"/>
          <w:szCs w:val="16"/>
        </w:rPr>
        <w:t xml:space="preserve"> Dojde-li k dílčímu vyplacení bonusu bez následného dosažení stanoveného odběru za referenční období, vystaví Společnost odběrateli retrospektivně malus do výše celkové částky již vyplaceného Bonusu.</w:t>
      </w:r>
    </w:p>
    <w:p w14:paraId="2B047F75" w14:textId="77777777" w:rsidR="000722A6" w:rsidRPr="003F3788" w:rsidRDefault="000722A6" w:rsidP="005A6E5E">
      <w:pPr>
        <w:pStyle w:val="Zkladntext2"/>
        <w:tabs>
          <w:tab w:val="num" w:pos="4"/>
        </w:tabs>
        <w:ind w:left="709"/>
        <w:rPr>
          <w:rFonts w:ascii="Tahoma" w:hAnsi="Tahoma" w:cs="Tahoma"/>
          <w:sz w:val="16"/>
          <w:szCs w:val="16"/>
        </w:rPr>
      </w:pPr>
    </w:p>
    <w:p w14:paraId="1CC5DB13" w14:textId="77777777"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Dojde – </w:t>
      </w:r>
      <w:proofErr w:type="spellStart"/>
      <w:r w:rsidRPr="619C49D6">
        <w:rPr>
          <w:rFonts w:ascii="Tahoma" w:eastAsia="Tahoma" w:hAnsi="Tahoma" w:cs="Tahoma"/>
          <w:sz w:val="16"/>
          <w:szCs w:val="16"/>
        </w:rPr>
        <w:t>li</w:t>
      </w:r>
      <w:proofErr w:type="spellEnd"/>
      <w:r w:rsidRPr="619C49D6">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4A804679" w14:textId="77777777" w:rsidR="00816255" w:rsidRDefault="00816255" w:rsidP="000722A6">
      <w:pPr>
        <w:pStyle w:val="Zkladntext2"/>
        <w:jc w:val="center"/>
        <w:rPr>
          <w:rFonts w:ascii="Tahoma" w:hAnsi="Tahoma" w:cs="Tahoma"/>
          <w:sz w:val="16"/>
          <w:szCs w:val="16"/>
        </w:rPr>
      </w:pPr>
    </w:p>
    <w:p w14:paraId="529E50B1"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III.</w:t>
      </w:r>
    </w:p>
    <w:p w14:paraId="1E8A79A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Uplatnění obratového bonusu a jeho uhrazení</w:t>
      </w:r>
    </w:p>
    <w:p w14:paraId="0A236944" w14:textId="32B61F48"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na základě dat o prodejích Výrobků z distribučního řetězce v příslušném referenčním období sdělí odběrateli </w:t>
      </w:r>
      <w:r w:rsidR="00DA3FBA" w:rsidRPr="619C49D6">
        <w:rPr>
          <w:rFonts w:ascii="Tahoma" w:eastAsia="Tahoma" w:hAnsi="Tahoma" w:cs="Tahoma"/>
          <w:sz w:val="16"/>
          <w:szCs w:val="16"/>
        </w:rPr>
        <w:t xml:space="preserve">do </w:t>
      </w:r>
      <w:r w:rsidR="00DA3FBA">
        <w:rPr>
          <w:rFonts w:ascii="Tahoma" w:eastAsia="Tahoma" w:hAnsi="Tahoma" w:cs="Tahoma"/>
          <w:sz w:val="16"/>
          <w:szCs w:val="16"/>
        </w:rPr>
        <w:t xml:space="preserve">30 </w:t>
      </w:r>
      <w:r w:rsidRPr="619C49D6">
        <w:rPr>
          <w:rFonts w:ascii="Tahoma" w:eastAsia="Tahoma" w:hAnsi="Tahoma" w:cs="Tahoma"/>
          <w:sz w:val="16"/>
          <w:szCs w:val="16"/>
        </w:rPr>
        <w:t xml:space="preserve">dní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3F3788" w:rsidRDefault="00E71FE1" w:rsidP="00FC05C3">
      <w:pPr>
        <w:pStyle w:val="Zkladntext21"/>
        <w:ind w:left="709" w:hanging="709"/>
        <w:rPr>
          <w:rFonts w:ascii="Tahoma" w:hAnsi="Tahoma" w:cs="Tahoma"/>
          <w:sz w:val="16"/>
          <w:szCs w:val="16"/>
        </w:rPr>
      </w:pPr>
    </w:p>
    <w:p w14:paraId="47D72F2B" w14:textId="1BBA88F3"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lastRenderedPageBreak/>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3F3788" w:rsidRDefault="00E71FE1" w:rsidP="00FC05C3">
      <w:pPr>
        <w:pStyle w:val="Zkladntext21"/>
        <w:ind w:left="709" w:hanging="709"/>
        <w:rPr>
          <w:rFonts w:ascii="Tahoma" w:hAnsi="Tahoma" w:cs="Tahoma"/>
          <w:sz w:val="16"/>
          <w:szCs w:val="16"/>
        </w:rPr>
      </w:pPr>
    </w:p>
    <w:p w14:paraId="27596A7A" w14:textId="7BF65A3B"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Bude-li Společnosti doručen ve lhůtě uvedené v odst. 1 návrh </w:t>
      </w:r>
      <w:r w:rsidR="00CC19D2">
        <w:rPr>
          <w:rFonts w:ascii="Tahoma" w:eastAsia="Tahoma" w:hAnsi="Tahoma" w:cs="Tahoma"/>
          <w:sz w:val="16"/>
          <w:szCs w:val="16"/>
        </w:rPr>
        <w:t>odběratele</w:t>
      </w:r>
      <w:r w:rsidRPr="619C49D6">
        <w:rPr>
          <w:rFonts w:ascii="Tahoma" w:eastAsia="Tahoma" w:hAnsi="Tahoma" w:cs="Tahoma"/>
          <w:sz w:val="16"/>
          <w:szCs w:val="16"/>
        </w:rPr>
        <w:t xml:space="preserve"> na stanovení Bonusu v jiné </w:t>
      </w:r>
      <w:proofErr w:type="gramStart"/>
      <w:r w:rsidRPr="619C49D6">
        <w:rPr>
          <w:rFonts w:ascii="Tahoma" w:eastAsia="Tahoma" w:hAnsi="Tahoma" w:cs="Tahoma"/>
          <w:sz w:val="16"/>
          <w:szCs w:val="16"/>
        </w:rPr>
        <w:t>výši</w:t>
      </w:r>
      <w:proofErr w:type="gramEnd"/>
      <w:r w:rsidRPr="619C49D6">
        <w:rPr>
          <w:rFonts w:ascii="Tahoma" w:eastAsia="Tahoma" w:hAnsi="Tahoma" w:cs="Tahoma"/>
          <w:sz w:val="16"/>
          <w:szCs w:val="16"/>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3F3788" w:rsidRDefault="00E71FE1" w:rsidP="00FC05C3">
      <w:pPr>
        <w:pStyle w:val="Odstavecseseznamem"/>
        <w:ind w:left="709" w:hanging="709"/>
        <w:rPr>
          <w:rFonts w:ascii="Tahoma" w:hAnsi="Tahoma" w:cs="Tahoma"/>
          <w:strike/>
          <w:sz w:val="16"/>
          <w:szCs w:val="16"/>
        </w:rPr>
      </w:pPr>
    </w:p>
    <w:p w14:paraId="110A3FE9" w14:textId="5AF0E0E9"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Bonus odběrateli uhradí do </w:t>
      </w:r>
      <w:r w:rsidR="00DA3FBA">
        <w:rPr>
          <w:rFonts w:ascii="Tahoma" w:eastAsia="Tahoma" w:hAnsi="Tahoma" w:cs="Tahoma"/>
          <w:sz w:val="16"/>
          <w:szCs w:val="16"/>
        </w:rPr>
        <w:t>45</w:t>
      </w:r>
      <w:r w:rsidR="00DA3FBA" w:rsidRPr="619C49D6">
        <w:rPr>
          <w:rFonts w:ascii="Tahoma" w:eastAsia="Tahoma" w:hAnsi="Tahoma" w:cs="Tahoma"/>
          <w:sz w:val="16"/>
          <w:szCs w:val="16"/>
        </w:rPr>
        <w:t xml:space="preserve"> </w:t>
      </w:r>
      <w:r w:rsidRPr="619C49D6">
        <w:rPr>
          <w:rFonts w:ascii="Tahoma" w:eastAsia="Tahoma" w:hAnsi="Tahoma" w:cs="Tahoma"/>
          <w:sz w:val="16"/>
          <w:szCs w:val="16"/>
        </w:rPr>
        <w:t>dní od přiznání Bonusu, resp. od odsouhlasení návrhu na přiznání Bonusu. Bonus bude Společností uhrazen převodem na bankovní účet odběratele.</w:t>
      </w:r>
      <w:r w:rsidR="00DE2CB6">
        <w:rPr>
          <w:rFonts w:ascii="Tahoma" w:eastAsia="Tahoma" w:hAnsi="Tahoma" w:cs="Tahoma"/>
          <w:sz w:val="16"/>
          <w:szCs w:val="16"/>
        </w:rPr>
        <w:t xml:space="preserve"> V případě, že Společnost ke dni výpočtu bonusu eviduje u odběratele neuhrazené faktury po splatnosti, může být </w:t>
      </w:r>
      <w:proofErr w:type="gramStart"/>
      <w:r w:rsidR="00DE2CB6">
        <w:rPr>
          <w:rFonts w:ascii="Tahoma" w:eastAsia="Tahoma" w:hAnsi="Tahoma" w:cs="Tahoma"/>
          <w:sz w:val="16"/>
          <w:szCs w:val="16"/>
        </w:rPr>
        <w:t>bonus  použit</w:t>
      </w:r>
      <w:proofErr w:type="gramEnd"/>
      <w:r w:rsidR="00DE2CB6">
        <w:rPr>
          <w:rFonts w:ascii="Tahoma" w:eastAsia="Tahoma" w:hAnsi="Tahoma" w:cs="Tahoma"/>
          <w:sz w:val="16"/>
          <w:szCs w:val="16"/>
        </w:rPr>
        <w:t xml:space="preserve"> k </w:t>
      </w:r>
      <w:r w:rsidR="003A04BC">
        <w:rPr>
          <w:rFonts w:ascii="Tahoma" w:eastAsia="Tahoma" w:hAnsi="Tahoma" w:cs="Tahoma"/>
          <w:sz w:val="16"/>
          <w:szCs w:val="16"/>
        </w:rPr>
        <w:t>započtení</w:t>
      </w:r>
      <w:r w:rsidR="00DE2CB6">
        <w:rPr>
          <w:rFonts w:ascii="Tahoma" w:eastAsia="Tahoma" w:hAnsi="Tahoma" w:cs="Tahoma"/>
          <w:sz w:val="16"/>
          <w:szCs w:val="16"/>
        </w:rPr>
        <w:t xml:space="preserve"> celkové hodnoty těchto neuhrazených faktur po splatnosti.</w:t>
      </w:r>
    </w:p>
    <w:p w14:paraId="5142761B" w14:textId="77777777" w:rsidR="00E71FE1" w:rsidRPr="003F3788" w:rsidRDefault="00E71FE1" w:rsidP="00FC05C3">
      <w:pPr>
        <w:pStyle w:val="Odstavecseseznamem"/>
        <w:ind w:left="709" w:hanging="709"/>
        <w:rPr>
          <w:rFonts w:ascii="Tahoma" w:hAnsi="Tahoma" w:cs="Tahoma"/>
          <w:sz w:val="16"/>
          <w:szCs w:val="16"/>
        </w:rPr>
      </w:pPr>
    </w:p>
    <w:p w14:paraId="5D14EB8C" w14:textId="094D75DE"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do 30 dní od přiznání Bonusu, vystaví ve prospěch </w:t>
      </w:r>
      <w:r w:rsidR="00CC19D2">
        <w:rPr>
          <w:rFonts w:ascii="Tahoma" w:eastAsia="Tahoma" w:hAnsi="Tahoma" w:cs="Tahoma"/>
          <w:sz w:val="16"/>
          <w:szCs w:val="16"/>
        </w:rPr>
        <w:t>odběratele</w:t>
      </w:r>
      <w:r w:rsidRPr="619C49D6">
        <w:rPr>
          <w:rFonts w:ascii="Tahoma" w:eastAsia="Tahoma" w:hAnsi="Tahoma" w:cs="Tahoma"/>
          <w:sz w:val="16"/>
          <w:szCs w:val="16"/>
        </w:rPr>
        <w:t xml:space="preserve"> doklad o uznání obratového bonusu – Přiznání finanční odměny a doručí jej </w:t>
      </w:r>
      <w:r w:rsidR="00CC19D2">
        <w:rPr>
          <w:rFonts w:ascii="Tahoma" w:eastAsia="Tahoma" w:hAnsi="Tahoma" w:cs="Tahoma"/>
          <w:sz w:val="16"/>
          <w:szCs w:val="16"/>
        </w:rPr>
        <w:t>odběrateli</w:t>
      </w:r>
      <w:r w:rsidRPr="619C49D6">
        <w:rPr>
          <w:rFonts w:ascii="Tahoma" w:eastAsia="Tahoma" w:hAnsi="Tahoma" w:cs="Tahoma"/>
          <w:sz w:val="16"/>
          <w:szCs w:val="16"/>
        </w:rPr>
        <w:t>.</w:t>
      </w:r>
    </w:p>
    <w:p w14:paraId="7FBEE2D7" w14:textId="77777777" w:rsidR="000722A6" w:rsidRPr="003F3788" w:rsidRDefault="000722A6" w:rsidP="005A6E5E">
      <w:pPr>
        <w:pStyle w:val="Zkladntext2"/>
        <w:ind w:left="709" w:hanging="703"/>
        <w:rPr>
          <w:rFonts w:ascii="Tahoma" w:hAnsi="Tahoma" w:cs="Tahoma"/>
          <w:sz w:val="16"/>
          <w:szCs w:val="16"/>
        </w:rPr>
      </w:pPr>
    </w:p>
    <w:p w14:paraId="5CB881F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 xml:space="preserve">IV. </w:t>
      </w:r>
    </w:p>
    <w:p w14:paraId="2D5EE0A2"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Další ustanovení a prohlášení stran</w:t>
      </w:r>
    </w:p>
    <w:p w14:paraId="459AF3F7" w14:textId="1712FBBC"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3F3788" w:rsidRDefault="000722A6" w:rsidP="005A6E5E">
      <w:pPr>
        <w:pStyle w:val="Zkladntext2"/>
        <w:tabs>
          <w:tab w:val="num" w:pos="76"/>
        </w:tabs>
        <w:ind w:left="709" w:hanging="633"/>
        <w:rPr>
          <w:rFonts w:ascii="Tahoma" w:hAnsi="Tahoma" w:cs="Tahoma"/>
          <w:sz w:val="16"/>
          <w:szCs w:val="16"/>
        </w:rPr>
      </w:pPr>
    </w:p>
    <w:p w14:paraId="3A26BD58" w14:textId="11A3212B"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3F3788" w:rsidRDefault="000722A6" w:rsidP="005A6E5E">
      <w:pPr>
        <w:pStyle w:val="Zkladntext2"/>
        <w:tabs>
          <w:tab w:val="num" w:pos="76"/>
        </w:tabs>
        <w:ind w:left="709" w:hanging="633"/>
        <w:rPr>
          <w:rFonts w:ascii="Tahoma" w:hAnsi="Tahoma" w:cs="Tahoma"/>
          <w:sz w:val="16"/>
          <w:szCs w:val="16"/>
        </w:rPr>
      </w:pPr>
    </w:p>
    <w:p w14:paraId="14B12EF8" w14:textId="7E7D7006"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3F3788" w:rsidRDefault="000722A6" w:rsidP="005A6E5E">
      <w:pPr>
        <w:pStyle w:val="Zkladntext2"/>
        <w:tabs>
          <w:tab w:val="num" w:pos="76"/>
        </w:tabs>
        <w:ind w:left="709" w:hanging="633"/>
        <w:rPr>
          <w:rFonts w:ascii="Tahoma" w:hAnsi="Tahoma" w:cs="Tahoma"/>
          <w:sz w:val="16"/>
          <w:szCs w:val="16"/>
        </w:rPr>
      </w:pPr>
    </w:p>
    <w:p w14:paraId="47262B6A" w14:textId="77777777"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18123913" w14:textId="77777777" w:rsidR="00DF0F02" w:rsidRPr="003F3788" w:rsidRDefault="00DF0F02" w:rsidP="000722A6">
      <w:pPr>
        <w:pStyle w:val="Zkladntext2"/>
        <w:jc w:val="center"/>
        <w:rPr>
          <w:rFonts w:ascii="Tahoma" w:hAnsi="Tahoma" w:cs="Tahoma"/>
          <w:b/>
          <w:sz w:val="16"/>
          <w:szCs w:val="16"/>
        </w:rPr>
      </w:pPr>
    </w:p>
    <w:p w14:paraId="5E2CB4FE"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w:t>
      </w:r>
    </w:p>
    <w:p w14:paraId="74285BA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Protikorupční ustanovení</w:t>
      </w:r>
    </w:p>
    <w:p w14:paraId="1B9128EE" w14:textId="7BAF760C"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CC19D2">
        <w:rPr>
          <w:rFonts w:ascii="Tahoma" w:eastAsia="Tahoma" w:hAnsi="Tahoma" w:cs="Tahoma"/>
          <w:sz w:val="16"/>
          <w:szCs w:val="16"/>
        </w:rPr>
        <w:t xml:space="preserve"> ČR a EU</w:t>
      </w:r>
      <w:r w:rsidRPr="619C49D6">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3F3788" w:rsidRDefault="000722A6" w:rsidP="005A6E5E">
      <w:pPr>
        <w:pStyle w:val="Zkladntext2"/>
        <w:tabs>
          <w:tab w:val="num" w:pos="0"/>
        </w:tabs>
        <w:ind w:left="709" w:hanging="709"/>
        <w:rPr>
          <w:rFonts w:ascii="Tahoma" w:hAnsi="Tahoma" w:cs="Tahoma"/>
          <w:sz w:val="16"/>
          <w:szCs w:val="16"/>
        </w:rPr>
      </w:pPr>
    </w:p>
    <w:p w14:paraId="54C86F0D" w14:textId="60005FD4"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62304F92" w14:textId="77777777" w:rsidR="000735CB" w:rsidRPr="003F3788" w:rsidRDefault="000735CB" w:rsidP="000722A6">
      <w:pPr>
        <w:pStyle w:val="Zkladntext2"/>
        <w:rPr>
          <w:rFonts w:ascii="Tahoma" w:hAnsi="Tahoma" w:cs="Tahoma"/>
          <w:b/>
          <w:sz w:val="16"/>
          <w:szCs w:val="16"/>
        </w:rPr>
      </w:pPr>
    </w:p>
    <w:p w14:paraId="5F550EC5"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w:t>
      </w:r>
    </w:p>
    <w:p w14:paraId="5D249639"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Mlčenlivost</w:t>
      </w:r>
    </w:p>
    <w:p w14:paraId="30EB7BDB"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3F3788" w:rsidRDefault="000722A6" w:rsidP="005A6E5E">
      <w:pPr>
        <w:pStyle w:val="Zkladntext2"/>
        <w:tabs>
          <w:tab w:val="num" w:pos="4"/>
        </w:tabs>
        <w:ind w:left="709"/>
        <w:rPr>
          <w:rFonts w:ascii="Tahoma" w:hAnsi="Tahoma" w:cs="Tahoma"/>
          <w:sz w:val="16"/>
          <w:szCs w:val="16"/>
        </w:rPr>
      </w:pPr>
    </w:p>
    <w:p w14:paraId="47216B3F"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3F3788" w:rsidRDefault="000722A6" w:rsidP="005A6E5E">
      <w:pPr>
        <w:pStyle w:val="Zkladntext2"/>
        <w:tabs>
          <w:tab w:val="num" w:pos="4"/>
        </w:tabs>
        <w:ind w:left="709"/>
        <w:rPr>
          <w:rFonts w:ascii="Tahoma" w:hAnsi="Tahoma" w:cs="Tahoma"/>
          <w:sz w:val="16"/>
          <w:szCs w:val="16"/>
        </w:rPr>
      </w:pPr>
    </w:p>
    <w:p w14:paraId="1D6DBFBE"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Povinnost mlčenlivosti se nevztahuje na informace, které:</w:t>
      </w:r>
    </w:p>
    <w:p w14:paraId="16619AE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veřejně známé,</w:t>
      </w:r>
    </w:p>
    <w:p w14:paraId="397FDF8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nebo se stanou veřejně známými jinak, než porušením ustanovení této smlouvy, přičemž současně,</w:t>
      </w:r>
    </w:p>
    <w:p w14:paraId="79AE97C0"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oprávněně v dispozici druhé smluvní strany před jejich poskytnutím této smluvní straně, nebo</w:t>
      </w:r>
    </w:p>
    <w:p w14:paraId="3A00A7EC" w14:textId="77777777" w:rsidR="000722A6" w:rsidRPr="003F3788" w:rsidRDefault="619C49D6" w:rsidP="619C49D6">
      <w:pPr>
        <w:pStyle w:val="Zkladntext2"/>
        <w:numPr>
          <w:ilvl w:val="1"/>
          <w:numId w:val="4"/>
        </w:numPr>
        <w:tabs>
          <w:tab w:val="num" w:pos="4"/>
        </w:tabs>
        <w:ind w:left="1134"/>
        <w:rPr>
          <w:rFonts w:ascii="Tahoma" w:eastAsia="Tahoma" w:hAnsi="Tahoma" w:cs="Tahoma"/>
          <w:b/>
          <w:bCs/>
          <w:sz w:val="16"/>
          <w:szCs w:val="16"/>
        </w:rPr>
      </w:pPr>
      <w:r w:rsidRPr="619C49D6">
        <w:rPr>
          <w:rFonts w:ascii="Tahoma" w:eastAsia="Tahoma" w:hAnsi="Tahoma" w:cs="Tahoma"/>
          <w:sz w:val="16"/>
          <w:szCs w:val="16"/>
        </w:rPr>
        <w:lastRenderedPageBreak/>
        <w:t>smluvní strana je získá od třetí osoby, která není vázána povinností mlčenlivosti.</w:t>
      </w:r>
    </w:p>
    <w:p w14:paraId="4636D649" w14:textId="77777777" w:rsidR="000722A6" w:rsidRPr="003F3788" w:rsidRDefault="000722A6" w:rsidP="005A6E5E">
      <w:pPr>
        <w:pStyle w:val="Zkladntext2"/>
        <w:tabs>
          <w:tab w:val="num" w:pos="4"/>
        </w:tabs>
        <w:ind w:left="1134"/>
        <w:rPr>
          <w:rFonts w:ascii="Tahoma" w:hAnsi="Tahoma" w:cs="Tahoma"/>
          <w:b/>
          <w:sz w:val="16"/>
          <w:szCs w:val="16"/>
        </w:rPr>
      </w:pPr>
    </w:p>
    <w:p w14:paraId="40C78849" w14:textId="4405EE38"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CC19D2">
        <w:rPr>
          <w:rFonts w:ascii="Tahoma" w:eastAsia="Tahoma" w:hAnsi="Tahoma" w:cs="Tahoma"/>
          <w:sz w:val="16"/>
          <w:szCs w:val="16"/>
        </w:rPr>
        <w:t xml:space="preserve"> včetně jednotkových cen Výrobků, výše a způsobu výpočtu bonusu</w:t>
      </w:r>
      <w:r w:rsidRPr="619C49D6">
        <w:rPr>
          <w:rFonts w:ascii="Tahoma" w:eastAsia="Tahoma" w:hAnsi="Tahoma" w:cs="Tahoma"/>
          <w:sz w:val="16"/>
          <w:szCs w:val="16"/>
        </w:rPr>
        <w:t xml:space="preserve">, svému zřizovateli. </w:t>
      </w:r>
    </w:p>
    <w:p w14:paraId="643B1D89" w14:textId="77777777" w:rsidR="00F5217D" w:rsidRPr="003F3788"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FC05C3"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619C49D6">
        <w:rPr>
          <w:rFonts w:ascii="Tahoma" w:eastAsia="Tahoma" w:hAnsi="Tahoma" w:cs="Tahoma"/>
          <w:sz w:val="16"/>
          <w:szCs w:val="16"/>
        </w:rPr>
        <w:t>Bez ohledu na ustanovení předchozích odstavců se v souvislosti s aplikací zákona č. 340/2015 Sb., o registru smluv  (dále jen „</w:t>
      </w:r>
      <w:r w:rsidRPr="619C49D6">
        <w:rPr>
          <w:rFonts w:ascii="Tahoma" w:eastAsia="Tahoma" w:hAnsi="Tahoma" w:cs="Tahoma"/>
          <w:b/>
          <w:bCs/>
          <w:sz w:val="16"/>
          <w:szCs w:val="16"/>
        </w:rPr>
        <w:t>zákon o registru smluv</w:t>
      </w:r>
      <w:r w:rsidRPr="619C49D6">
        <w:rPr>
          <w:rFonts w:ascii="Tahoma" w:eastAsia="Tahoma" w:hAnsi="Tahoma" w:cs="Tahoma"/>
          <w:sz w:val="16"/>
          <w:szCs w:val="16"/>
        </w:rPr>
        <w:t>“), se smluvní strany dohodly na následujícím postupu:</w:t>
      </w:r>
    </w:p>
    <w:p w14:paraId="1134CDBE" w14:textId="1944CDEC"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464041B0"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24E12E04" w14:textId="5B0D04F6" w:rsidR="00CC19D2" w:rsidRPr="005854EC" w:rsidRDefault="00CC19D2" w:rsidP="00CC19D2">
      <w:pPr>
        <w:numPr>
          <w:ilvl w:val="0"/>
          <w:numId w:val="13"/>
        </w:numPr>
        <w:jc w:val="both"/>
        <w:rPr>
          <w:rFonts w:ascii="Tahoma" w:hAnsi="Tahoma" w:cs="Tahoma"/>
          <w:sz w:val="16"/>
          <w:szCs w:val="16"/>
        </w:rPr>
      </w:pPr>
      <w:bookmarkStart w:id="1" w:name="_Hlk524693074"/>
      <w:r w:rsidRPr="005854EC">
        <w:rPr>
          <w:rFonts w:ascii="Tahoma" w:hAnsi="Tahoma" w:cs="Tahoma"/>
          <w:sz w:val="16"/>
          <w:szCs w:val="16"/>
        </w:rPr>
        <w:t xml:space="preserve">Společnost prohlašuje, že informace obsažené v Příloze této Smlouvy považuje za své obchodní tajemství, a to ve smyslu konkurenčně významných, určitelných, ocenitelných a v příslušných obchodních kruzích běžně nedostupných skutečností, mj. také seznam Výrobků, stanovení podmínek pro dosažení a pro splnění nároku na Bonus podle této Smlouvy, vzor a způsob výpočtu </w:t>
      </w:r>
      <w:r>
        <w:rPr>
          <w:rFonts w:ascii="Tahoma" w:hAnsi="Tahoma" w:cs="Tahoma"/>
          <w:sz w:val="16"/>
          <w:szCs w:val="16"/>
        </w:rPr>
        <w:t>výše</w:t>
      </w:r>
      <w:r w:rsidRPr="005854EC">
        <w:rPr>
          <w:rFonts w:ascii="Tahoma" w:hAnsi="Tahoma" w:cs="Tahoma"/>
          <w:sz w:val="16"/>
          <w:szCs w:val="16"/>
        </w:rPr>
        <w:t xml:space="preserve"> Bonusu</w:t>
      </w:r>
      <w:r>
        <w:rPr>
          <w:rFonts w:ascii="Tahoma" w:hAnsi="Tahoma" w:cs="Tahoma"/>
          <w:sz w:val="16"/>
          <w:szCs w:val="16"/>
        </w:rPr>
        <w:t xml:space="preserve"> a</w:t>
      </w:r>
      <w:r w:rsidRPr="005854EC">
        <w:rPr>
          <w:rFonts w:ascii="Tahoma" w:hAnsi="Tahoma" w:cs="Tahoma"/>
          <w:sz w:val="16"/>
          <w:szCs w:val="16"/>
        </w:rPr>
        <w:t xml:space="preserve"> cenu balení Výrobku, bude-li v příslušné Příloze uvedena. </w:t>
      </w:r>
    </w:p>
    <w:bookmarkEnd w:id="1"/>
    <w:p w14:paraId="086BA68D" w14:textId="77777777" w:rsidR="00CC19D2" w:rsidRDefault="00CC19D2" w:rsidP="00481E53">
      <w:pPr>
        <w:pStyle w:val="Odstavecseseznamem"/>
        <w:spacing w:after="120"/>
        <w:ind w:left="720"/>
        <w:jc w:val="both"/>
        <w:rPr>
          <w:rFonts w:ascii="Tahoma" w:eastAsia="Tahoma" w:hAnsi="Tahoma" w:cs="Tahoma"/>
          <w:sz w:val="16"/>
          <w:szCs w:val="16"/>
        </w:rPr>
      </w:pPr>
    </w:p>
    <w:p w14:paraId="0542DE7F" w14:textId="546D6D22"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 xml:space="preserve">Společnost se zavazuje poskytnout odběrateli na kontaktní email: [OU </w:t>
      </w:r>
      <w:proofErr w:type="spellStart"/>
      <w:r w:rsidR="00CD2CBB">
        <w:rPr>
          <w:rFonts w:ascii="Tahoma" w:eastAsia="Tahoma" w:hAnsi="Tahoma" w:cs="Tahoma"/>
          <w:sz w:val="16"/>
          <w:szCs w:val="16"/>
        </w:rPr>
        <w:t>xxxxxxxxxxxx</w:t>
      </w:r>
      <w:proofErr w:type="spellEnd"/>
      <w:r w:rsidRPr="619C49D6">
        <w:rPr>
          <w:rFonts w:ascii="Tahoma" w:eastAsia="Tahoma" w:hAnsi="Tahoma" w:cs="Tahoma"/>
          <w:sz w:val="16"/>
          <w:szCs w:val="16"/>
        </w:rPr>
        <w:t xml:space="preserve"> OU] výše uvedenou smlouvu s úpravami dle předchozího odstavce v přípustném formátu za účelem jejího uveřejnění odběratelem</w:t>
      </w:r>
      <w:r w:rsidR="001B20AF" w:rsidRPr="001B20AF">
        <w:rPr>
          <w:rFonts w:ascii="Tahoma" w:eastAsia="Tahoma" w:hAnsi="Tahoma" w:cs="Tahoma"/>
          <w:sz w:val="16"/>
          <w:szCs w:val="16"/>
        </w:rPr>
        <w:t xml:space="preserve"> </w:t>
      </w:r>
      <w:r w:rsidR="001B20AF">
        <w:rPr>
          <w:rFonts w:ascii="Tahoma" w:eastAsia="Tahoma" w:hAnsi="Tahoma" w:cs="Tahoma"/>
          <w:sz w:val="16"/>
          <w:szCs w:val="16"/>
        </w:rPr>
        <w:t>bez zbytečného odkladu po uzavření smlouvy, jinak je odběratel oprávněn smlouvu uveřejnit dle podmínek stanovených v tomto článku</w:t>
      </w:r>
      <w:r w:rsidRPr="619C49D6">
        <w:rPr>
          <w:rFonts w:ascii="Tahoma" w:eastAsia="Tahoma" w:hAnsi="Tahoma" w:cs="Tahoma"/>
          <w:sz w:val="16"/>
          <w:szCs w:val="16"/>
        </w:rPr>
        <w:t>.</w:t>
      </w:r>
    </w:p>
    <w:p w14:paraId="715E63A2" w14:textId="663EF456"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009938A1">
        <w:rPr>
          <w:rFonts w:ascii="Tahoma" w:eastAsia="Tahoma" w:hAnsi="Tahoma" w:cs="Tahoma"/>
          <w:sz w:val="16"/>
          <w:szCs w:val="16"/>
        </w:rPr>
        <w:t>Odběratel uvede v metadatech datovou schránku Společnosti, aby potvrzení o uveřejnění bylo doručeno všem smluvním stranám.</w:t>
      </w:r>
    </w:p>
    <w:p w14:paraId="5C531407" w14:textId="1EDB54C0"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VII.</w:t>
      </w:r>
    </w:p>
    <w:p w14:paraId="7A34407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Všeobecná ustanovení</w:t>
      </w:r>
    </w:p>
    <w:p w14:paraId="685633A3" w14:textId="383137ED"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3F3788" w:rsidRDefault="000722A6" w:rsidP="00FC05C3">
      <w:pPr>
        <w:pStyle w:val="Zkladntext2"/>
        <w:tabs>
          <w:tab w:val="num" w:pos="4"/>
        </w:tabs>
        <w:ind w:left="709"/>
        <w:rPr>
          <w:rFonts w:ascii="Tahoma" w:hAnsi="Tahoma" w:cs="Tahoma"/>
          <w:sz w:val="16"/>
          <w:szCs w:val="16"/>
        </w:rPr>
      </w:pPr>
    </w:p>
    <w:p w14:paraId="20D6EE74"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3F3788" w:rsidRDefault="000722A6" w:rsidP="00FC05C3">
      <w:pPr>
        <w:pStyle w:val="Odstavecseseznamem"/>
        <w:tabs>
          <w:tab w:val="num" w:pos="4"/>
        </w:tabs>
        <w:ind w:left="709"/>
        <w:rPr>
          <w:rFonts w:ascii="Tahoma" w:hAnsi="Tahoma" w:cs="Tahoma"/>
          <w:sz w:val="16"/>
          <w:szCs w:val="16"/>
        </w:rPr>
      </w:pPr>
    </w:p>
    <w:p w14:paraId="74D28A84" w14:textId="5D992712"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se uzavírá na dobu</w:t>
      </w:r>
      <w:r w:rsidR="004A3D49">
        <w:rPr>
          <w:rFonts w:ascii="Tahoma" w:eastAsia="Tahoma" w:hAnsi="Tahoma" w:cs="Tahoma"/>
          <w:sz w:val="16"/>
          <w:szCs w:val="16"/>
        </w:rPr>
        <w:t xml:space="preserve"> určitou </w:t>
      </w:r>
      <w:r w:rsidRPr="009626A9">
        <w:rPr>
          <w:rFonts w:ascii="Tahoma" w:eastAsia="Tahoma" w:hAnsi="Tahoma" w:cs="Tahoma"/>
          <w:sz w:val="16"/>
          <w:szCs w:val="16"/>
        </w:rPr>
        <w:t>do 31.</w:t>
      </w:r>
      <w:r w:rsidR="00204B19" w:rsidRPr="009626A9">
        <w:rPr>
          <w:rFonts w:ascii="Tahoma" w:eastAsia="Tahoma" w:hAnsi="Tahoma" w:cs="Tahoma"/>
          <w:sz w:val="16"/>
          <w:szCs w:val="16"/>
        </w:rPr>
        <w:t>12.</w:t>
      </w:r>
      <w:r w:rsidRPr="009626A9">
        <w:rPr>
          <w:rFonts w:ascii="Tahoma" w:eastAsia="Tahoma" w:hAnsi="Tahoma" w:cs="Tahoma"/>
          <w:sz w:val="16"/>
          <w:szCs w:val="16"/>
        </w:rPr>
        <w:t>201</w:t>
      </w:r>
      <w:r w:rsidR="004A3D49">
        <w:rPr>
          <w:rFonts w:ascii="Tahoma" w:eastAsia="Tahoma" w:hAnsi="Tahoma" w:cs="Tahoma"/>
          <w:sz w:val="16"/>
          <w:szCs w:val="16"/>
        </w:rPr>
        <w:t>9</w:t>
      </w:r>
      <w:r w:rsidRPr="619C49D6">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3F3788" w:rsidRDefault="000722A6" w:rsidP="00FC05C3">
      <w:pPr>
        <w:pStyle w:val="Zkladntext2"/>
        <w:tabs>
          <w:tab w:val="num" w:pos="4"/>
        </w:tabs>
        <w:ind w:left="709"/>
        <w:rPr>
          <w:rFonts w:ascii="Tahoma" w:hAnsi="Tahoma" w:cs="Tahoma"/>
          <w:sz w:val="16"/>
          <w:szCs w:val="16"/>
        </w:rPr>
      </w:pPr>
    </w:p>
    <w:p w14:paraId="6E8EE3BB" w14:textId="46D4E0A6" w:rsidR="00BF16B1" w:rsidRPr="003F3788"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3F3788" w:rsidRDefault="000722A6" w:rsidP="00FC05C3">
      <w:pPr>
        <w:pStyle w:val="Zkladntext2"/>
        <w:tabs>
          <w:tab w:val="num" w:pos="4"/>
        </w:tabs>
        <w:ind w:left="709"/>
        <w:rPr>
          <w:rFonts w:ascii="Tahoma" w:hAnsi="Tahoma" w:cs="Tahoma"/>
          <w:sz w:val="16"/>
          <w:szCs w:val="16"/>
        </w:rPr>
      </w:pPr>
    </w:p>
    <w:p w14:paraId="54CF3CD5"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je vyhotovena ve dvou stejnopisech, přičemž každá ze smluvních stran obdrží po jednom.</w:t>
      </w:r>
    </w:p>
    <w:p w14:paraId="2D5D9052" w14:textId="77777777" w:rsidR="000722A6" w:rsidRPr="003F3788" w:rsidRDefault="000722A6" w:rsidP="00FC05C3">
      <w:pPr>
        <w:pStyle w:val="Zkladntext2"/>
        <w:tabs>
          <w:tab w:val="num" w:pos="4"/>
        </w:tabs>
        <w:ind w:left="709"/>
        <w:rPr>
          <w:rFonts w:ascii="Tahoma" w:hAnsi="Tahoma" w:cs="Tahoma"/>
          <w:sz w:val="16"/>
          <w:szCs w:val="16"/>
        </w:rPr>
      </w:pPr>
    </w:p>
    <w:p w14:paraId="79766490" w14:textId="23BB8D8B"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Tato smlouva nabývá platnosti dnem podpisu poslední smluvní stranou a</w:t>
      </w:r>
      <w:r w:rsidR="00117E37">
        <w:rPr>
          <w:rFonts w:ascii="Tahoma" w:eastAsia="Tahoma" w:hAnsi="Tahoma" w:cs="Tahoma"/>
          <w:sz w:val="16"/>
          <w:szCs w:val="16"/>
        </w:rPr>
        <w:t xml:space="preserve"> dne</w:t>
      </w:r>
      <w:r w:rsidR="003A04BC">
        <w:rPr>
          <w:rFonts w:ascii="Tahoma" w:eastAsia="Tahoma" w:hAnsi="Tahoma" w:cs="Tahoma"/>
          <w:sz w:val="16"/>
          <w:szCs w:val="16"/>
        </w:rPr>
        <w:t>m zveřejně</w:t>
      </w:r>
      <w:r w:rsidR="00117E37">
        <w:rPr>
          <w:rFonts w:ascii="Tahoma" w:eastAsia="Tahoma" w:hAnsi="Tahoma" w:cs="Tahoma"/>
          <w:sz w:val="16"/>
          <w:szCs w:val="16"/>
        </w:rPr>
        <w:t>ní</w:t>
      </w:r>
      <w:r w:rsidR="003A04BC">
        <w:rPr>
          <w:rFonts w:ascii="Tahoma" w:eastAsia="Tahoma" w:hAnsi="Tahoma" w:cs="Tahoma"/>
          <w:sz w:val="16"/>
          <w:szCs w:val="16"/>
        </w:rPr>
        <w:t>.</w:t>
      </w:r>
    </w:p>
    <w:p w14:paraId="4DFCF327" w14:textId="77777777" w:rsidR="000722A6" w:rsidRPr="003F3788" w:rsidRDefault="000722A6" w:rsidP="00FC05C3">
      <w:pPr>
        <w:pStyle w:val="Zkladntext2"/>
        <w:tabs>
          <w:tab w:val="num" w:pos="4"/>
        </w:tabs>
        <w:ind w:left="709"/>
        <w:rPr>
          <w:rFonts w:ascii="Tahoma" w:hAnsi="Tahoma" w:cs="Tahoma"/>
          <w:sz w:val="16"/>
          <w:szCs w:val="16"/>
        </w:rPr>
      </w:pPr>
    </w:p>
    <w:p w14:paraId="7C090F55" w14:textId="1B81212D"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Default="00020789" w:rsidP="00020789">
      <w:pPr>
        <w:pStyle w:val="Odstavecseseznamem"/>
        <w:rPr>
          <w:rFonts w:ascii="Tahoma" w:hAnsi="Tahoma" w:cs="Tahoma"/>
          <w:sz w:val="16"/>
          <w:szCs w:val="16"/>
        </w:rPr>
      </w:pPr>
    </w:p>
    <w:p w14:paraId="43E26D7A" w14:textId="22D798F9" w:rsidR="00020789" w:rsidRDefault="00020789" w:rsidP="619C49D6">
      <w:pPr>
        <w:pStyle w:val="Zkladntext2"/>
        <w:rPr>
          <w:rFonts w:ascii="Tahoma" w:eastAsia="Tahoma" w:hAnsi="Tahoma" w:cs="Tahoma"/>
          <w:sz w:val="16"/>
          <w:szCs w:val="16"/>
        </w:rPr>
      </w:pPr>
      <w:r w:rsidRPr="619C49D6">
        <w:rPr>
          <w:rFonts w:ascii="Tahoma" w:eastAsia="Tahoma" w:hAnsi="Tahoma" w:cs="Tahoma"/>
          <w:sz w:val="16"/>
          <w:szCs w:val="16"/>
        </w:rPr>
        <w:t xml:space="preserve">Příloha: </w:t>
      </w:r>
      <w:r>
        <w:rPr>
          <w:rFonts w:ascii="Tahoma" w:hAnsi="Tahoma" w:cs="Tahoma"/>
          <w:sz w:val="16"/>
          <w:szCs w:val="16"/>
        </w:rPr>
        <w:tab/>
      </w:r>
      <w:r w:rsidRPr="619C49D6">
        <w:rPr>
          <w:rFonts w:ascii="Tahoma" w:eastAsia="Tahoma" w:hAnsi="Tahoma" w:cs="Tahoma"/>
          <w:sz w:val="16"/>
          <w:szCs w:val="16"/>
        </w:rPr>
        <w:t>Výpočet bonusu</w:t>
      </w:r>
    </w:p>
    <w:p w14:paraId="4B21EC62" w14:textId="577CC457" w:rsidR="00020789" w:rsidRPr="003F3788" w:rsidRDefault="00020789" w:rsidP="619C49D6">
      <w:pPr>
        <w:pStyle w:val="Zkladntext2"/>
        <w:rPr>
          <w:rFonts w:ascii="Tahoma" w:eastAsia="Tahoma" w:hAnsi="Tahoma" w:cs="Tahoma"/>
          <w:sz w:val="16"/>
          <w:szCs w:val="16"/>
        </w:rPr>
      </w:pPr>
      <w:r>
        <w:rPr>
          <w:rFonts w:ascii="Tahoma" w:hAnsi="Tahoma" w:cs="Tahoma"/>
          <w:sz w:val="16"/>
          <w:szCs w:val="16"/>
        </w:rPr>
        <w:tab/>
      </w:r>
    </w:p>
    <w:p w14:paraId="26B9716B" w14:textId="77777777" w:rsidR="00DD72C0" w:rsidRPr="003F3788" w:rsidRDefault="00DD72C0" w:rsidP="000722A6">
      <w:pPr>
        <w:jc w:val="both"/>
        <w:rPr>
          <w:rFonts w:ascii="Tahoma" w:hAnsi="Tahoma" w:cs="Tahoma"/>
          <w:sz w:val="16"/>
          <w:szCs w:val="16"/>
        </w:rPr>
      </w:pPr>
    </w:p>
    <w:p w14:paraId="5B83FE72" w14:textId="18B0F62D" w:rsidR="000722A6" w:rsidRDefault="009938A1" w:rsidP="009938A1">
      <w:pPr>
        <w:pStyle w:val="Zkladntext2"/>
        <w:rPr>
          <w:rFonts w:ascii="Tahoma" w:eastAsia="Tahoma" w:hAnsi="Tahoma" w:cs="Tahoma"/>
          <w:b/>
          <w:bCs/>
          <w:sz w:val="16"/>
          <w:szCs w:val="16"/>
        </w:rPr>
      </w:pPr>
      <w:r>
        <w:rPr>
          <w:rFonts w:ascii="Tahoma" w:eastAsia="Tahoma" w:hAnsi="Tahoma" w:cs="Tahoma"/>
          <w:sz w:val="16"/>
          <w:szCs w:val="16"/>
        </w:rPr>
        <w:tab/>
      </w:r>
      <w:r w:rsidR="000722A6" w:rsidRPr="619C49D6">
        <w:rPr>
          <w:rFonts w:ascii="Tahoma" w:eastAsia="Tahoma" w:hAnsi="Tahoma" w:cs="Tahoma"/>
          <w:b/>
          <w:bCs/>
          <w:sz w:val="16"/>
          <w:szCs w:val="16"/>
        </w:rPr>
        <w:t xml:space="preserve">V Praze </w:t>
      </w:r>
      <w:r w:rsidR="619C49D6" w:rsidRPr="619C49D6">
        <w:rPr>
          <w:rFonts w:ascii="Tahoma" w:eastAsia="Tahoma" w:hAnsi="Tahoma" w:cs="Tahoma"/>
          <w:b/>
          <w:bCs/>
          <w:sz w:val="16"/>
          <w:szCs w:val="16"/>
        </w:rPr>
        <w:t>dne</w:t>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Pr>
          <w:rFonts w:ascii="Tahoma" w:eastAsia="Tahoma" w:hAnsi="Tahoma" w:cs="Tahoma"/>
          <w:b/>
          <w:bCs/>
          <w:sz w:val="16"/>
          <w:szCs w:val="16"/>
        </w:rPr>
        <w:t xml:space="preserve">    </w:t>
      </w:r>
      <w:r w:rsidR="000722A6" w:rsidRPr="619C49D6">
        <w:rPr>
          <w:rFonts w:ascii="Tahoma" w:eastAsia="Tahoma" w:hAnsi="Tahoma" w:cs="Tahoma"/>
          <w:b/>
          <w:bCs/>
          <w:sz w:val="16"/>
          <w:szCs w:val="16"/>
        </w:rPr>
        <w:t>V</w:t>
      </w:r>
      <w:r w:rsidR="00353566" w:rsidRPr="619C49D6">
        <w:rPr>
          <w:rFonts w:ascii="Tahoma" w:eastAsia="Tahoma" w:hAnsi="Tahoma" w:cs="Tahoma"/>
          <w:b/>
          <w:bCs/>
          <w:sz w:val="16"/>
          <w:szCs w:val="16"/>
        </w:rPr>
        <w:t xml:space="preserve"> Praze</w:t>
      </w:r>
      <w:r w:rsidR="000722A6" w:rsidRPr="619C49D6">
        <w:rPr>
          <w:rFonts w:ascii="Tahoma" w:eastAsia="Tahoma" w:hAnsi="Tahoma" w:cs="Tahoma"/>
          <w:b/>
          <w:bCs/>
          <w:sz w:val="16"/>
          <w:szCs w:val="16"/>
        </w:rPr>
        <w:t xml:space="preserve"> dne </w:t>
      </w:r>
    </w:p>
    <w:p w14:paraId="3772A1C3" w14:textId="01A0A2F7" w:rsidR="003F3788" w:rsidRDefault="003F3788" w:rsidP="000722A6">
      <w:pPr>
        <w:pStyle w:val="Zkladntext2"/>
        <w:rPr>
          <w:rFonts w:ascii="Tahoma" w:hAnsi="Tahoma" w:cs="Tahoma"/>
          <w:b/>
          <w:sz w:val="16"/>
          <w:szCs w:val="16"/>
        </w:rPr>
      </w:pPr>
    </w:p>
    <w:p w14:paraId="1074B460" w14:textId="77777777" w:rsidR="006C19C0" w:rsidRPr="003F3788" w:rsidRDefault="006C19C0" w:rsidP="000722A6">
      <w:pPr>
        <w:pStyle w:val="Zkladntext2"/>
        <w:rPr>
          <w:rFonts w:ascii="Tahoma" w:hAnsi="Tahoma" w:cs="Tahoma"/>
          <w:sz w:val="16"/>
          <w:szCs w:val="16"/>
        </w:rPr>
      </w:pPr>
    </w:p>
    <w:p w14:paraId="376A7B56" w14:textId="77777777" w:rsidR="000722A6" w:rsidRPr="003F3788" w:rsidRDefault="000722A6" w:rsidP="000722A6">
      <w:pPr>
        <w:pStyle w:val="Zkladntext2"/>
        <w:rPr>
          <w:rFonts w:ascii="Tahoma" w:hAnsi="Tahoma" w:cs="Tahoma"/>
          <w:sz w:val="16"/>
          <w:szCs w:val="16"/>
        </w:rPr>
      </w:pPr>
    </w:p>
    <w:tbl>
      <w:tblPr>
        <w:tblpPr w:leftFromText="180" w:rightFromText="180" w:vertAnchor="text" w:horzAnchor="page" w:tblpX="1990" w:tblpY="28"/>
        <w:tblW w:w="0" w:type="auto"/>
        <w:tblLook w:val="04A0" w:firstRow="1" w:lastRow="0" w:firstColumn="1" w:lastColumn="0" w:noHBand="0" w:noVBand="1"/>
      </w:tblPr>
      <w:tblGrid>
        <w:gridCol w:w="4524"/>
        <w:gridCol w:w="4546"/>
      </w:tblGrid>
      <w:tr w:rsidR="007670AC" w:rsidRPr="003F3788" w14:paraId="0E387753" w14:textId="77777777" w:rsidTr="007670AC">
        <w:tc>
          <w:tcPr>
            <w:tcW w:w="4525" w:type="dxa"/>
            <w:shd w:val="clear" w:color="auto" w:fill="auto"/>
          </w:tcPr>
          <w:p w14:paraId="5599896C" w14:textId="77777777" w:rsidR="007670AC" w:rsidRPr="003F3788" w:rsidRDefault="007670AC" w:rsidP="007670AC">
            <w:pPr>
              <w:pStyle w:val="Zkladntext2"/>
              <w:rPr>
                <w:rFonts w:ascii="Tahoma" w:eastAsia="Tahoma" w:hAnsi="Tahoma" w:cs="Tahoma"/>
                <w:sz w:val="16"/>
                <w:szCs w:val="16"/>
              </w:rPr>
            </w:pPr>
            <w:r w:rsidRPr="619C49D6">
              <w:rPr>
                <w:rFonts w:ascii="Tahoma" w:eastAsia="Tahoma" w:hAnsi="Tahoma" w:cs="Tahoma"/>
                <w:sz w:val="16"/>
                <w:szCs w:val="16"/>
                <w:lang w:eastAsia="en-US"/>
              </w:rPr>
              <w:t>____________________________</w:t>
            </w:r>
          </w:p>
        </w:tc>
        <w:tc>
          <w:tcPr>
            <w:tcW w:w="4547" w:type="dxa"/>
            <w:shd w:val="clear" w:color="auto" w:fill="auto"/>
          </w:tcPr>
          <w:p w14:paraId="7E39E5F9" w14:textId="77777777" w:rsidR="007670AC" w:rsidRPr="003F3788" w:rsidRDefault="007670AC" w:rsidP="006D7F1E">
            <w:pPr>
              <w:pStyle w:val="Zkladntext2"/>
              <w:rPr>
                <w:rFonts w:ascii="Tahoma" w:eastAsia="Tahoma" w:hAnsi="Tahoma" w:cs="Tahoma"/>
                <w:sz w:val="16"/>
                <w:szCs w:val="16"/>
              </w:rPr>
            </w:pPr>
            <w:r w:rsidRPr="619C49D6">
              <w:rPr>
                <w:rFonts w:ascii="Tahoma" w:eastAsia="Tahoma" w:hAnsi="Tahoma" w:cs="Tahoma"/>
                <w:sz w:val="16"/>
                <w:szCs w:val="16"/>
              </w:rPr>
              <w:t>____________________________</w:t>
            </w:r>
          </w:p>
        </w:tc>
      </w:tr>
      <w:tr w:rsidR="007670AC" w:rsidRPr="003F3788" w14:paraId="70B4AF57" w14:textId="77777777" w:rsidTr="007670AC">
        <w:tc>
          <w:tcPr>
            <w:tcW w:w="4525" w:type="dxa"/>
            <w:shd w:val="clear" w:color="auto" w:fill="auto"/>
          </w:tcPr>
          <w:p w14:paraId="274653FD" w14:textId="5F96E961" w:rsidR="007670AC" w:rsidRPr="006C01F0" w:rsidRDefault="007670AC" w:rsidP="007670AC">
            <w:pPr>
              <w:pStyle w:val="Zkladntext2"/>
              <w:jc w:val="left"/>
              <w:rPr>
                <w:rFonts w:ascii="Tahoma" w:hAnsi="Tahoma" w:cs="Tahoma"/>
                <w:b/>
                <w:sz w:val="16"/>
                <w:szCs w:val="16"/>
              </w:rPr>
            </w:pPr>
            <w:r w:rsidRPr="006C01F0">
              <w:rPr>
                <w:rFonts w:ascii="Tahoma" w:hAnsi="Tahoma" w:cs="Tahoma"/>
                <w:b/>
                <w:sz w:val="16"/>
                <w:szCs w:val="16"/>
              </w:rPr>
              <w:t>Euro</w:t>
            </w:r>
            <w:r>
              <w:rPr>
                <w:rFonts w:ascii="Tahoma" w:hAnsi="Tahoma" w:cs="Tahoma"/>
                <w:b/>
                <w:sz w:val="16"/>
                <w:szCs w:val="16"/>
              </w:rPr>
              <w:t>me</w:t>
            </w:r>
            <w:r w:rsidRPr="006C01F0">
              <w:rPr>
                <w:rFonts w:ascii="Tahoma" w:hAnsi="Tahoma" w:cs="Tahoma"/>
                <w:b/>
                <w:sz w:val="16"/>
                <w:szCs w:val="16"/>
              </w:rPr>
              <w:t>dical spol. s r.o.</w:t>
            </w:r>
          </w:p>
          <w:p w14:paraId="5010EA86" w14:textId="26B21A63" w:rsidR="007670AC" w:rsidRDefault="007670AC" w:rsidP="007670AC">
            <w:pPr>
              <w:pStyle w:val="Zkladntext2"/>
              <w:rPr>
                <w:rFonts w:ascii="Tahoma" w:hAnsi="Tahoma" w:cs="Tahoma"/>
                <w:sz w:val="16"/>
                <w:szCs w:val="16"/>
              </w:rPr>
            </w:pPr>
            <w:r>
              <w:rPr>
                <w:rFonts w:ascii="Tahoma" w:hAnsi="Tahoma" w:cs="Tahoma"/>
                <w:sz w:val="16"/>
                <w:szCs w:val="16"/>
              </w:rPr>
              <w:t>Oliver Kunz, jednatel</w:t>
            </w:r>
            <w:r w:rsidR="004A3D49">
              <w:rPr>
                <w:rFonts w:ascii="Tahoma" w:hAnsi="Tahoma" w:cs="Tahoma"/>
                <w:sz w:val="16"/>
                <w:szCs w:val="16"/>
              </w:rPr>
              <w:t xml:space="preserve">          </w:t>
            </w:r>
          </w:p>
          <w:p w14:paraId="3401F9D0" w14:textId="77777777" w:rsidR="007670AC" w:rsidRPr="003F3788" w:rsidRDefault="007670AC" w:rsidP="007670AC">
            <w:pPr>
              <w:pStyle w:val="Zkladntext2"/>
              <w:rPr>
                <w:rFonts w:ascii="Tahoma" w:hAnsi="Tahoma" w:cs="Tahoma"/>
                <w:sz w:val="16"/>
                <w:szCs w:val="16"/>
              </w:rPr>
            </w:pPr>
          </w:p>
        </w:tc>
        <w:tc>
          <w:tcPr>
            <w:tcW w:w="4547" w:type="dxa"/>
            <w:shd w:val="clear" w:color="auto" w:fill="auto"/>
          </w:tcPr>
          <w:p w14:paraId="4AD95FF4" w14:textId="61B7726B" w:rsidR="007670AC" w:rsidRDefault="007670AC" w:rsidP="006D7F1E">
            <w:pPr>
              <w:rPr>
                <w:rFonts w:ascii="Tahoma" w:eastAsia="Tahoma" w:hAnsi="Tahoma" w:cs="Tahoma"/>
                <w:b/>
                <w:bCs/>
                <w:color w:val="000000"/>
                <w:sz w:val="16"/>
                <w:szCs w:val="16"/>
                <w:shd w:val="clear" w:color="auto" w:fill="FFFFFF"/>
              </w:rPr>
            </w:pPr>
            <w:r>
              <w:rPr>
                <w:rFonts w:ascii="Tahoma" w:eastAsia="Tahoma" w:hAnsi="Tahoma" w:cs="Tahoma"/>
                <w:b/>
                <w:bCs/>
                <w:color w:val="000000"/>
                <w:sz w:val="16"/>
                <w:szCs w:val="16"/>
                <w:shd w:val="clear" w:color="auto" w:fill="FFFFFF"/>
              </w:rPr>
              <w:t>Všeobecn</w:t>
            </w:r>
            <w:r w:rsidRPr="619C49D6">
              <w:rPr>
                <w:rFonts w:ascii="Tahoma" w:eastAsia="Tahoma" w:hAnsi="Tahoma" w:cs="Tahoma"/>
                <w:b/>
                <w:bCs/>
                <w:color w:val="000000"/>
                <w:sz w:val="16"/>
                <w:szCs w:val="16"/>
                <w:shd w:val="clear" w:color="auto" w:fill="FFFFFF"/>
              </w:rPr>
              <w:t>á fakultní nemocnice v</w:t>
            </w:r>
            <w:r>
              <w:rPr>
                <w:rFonts w:ascii="Tahoma" w:eastAsia="Tahoma" w:hAnsi="Tahoma" w:cs="Tahoma"/>
                <w:b/>
                <w:bCs/>
                <w:color w:val="000000"/>
                <w:sz w:val="16"/>
                <w:szCs w:val="16"/>
                <w:shd w:val="clear" w:color="auto" w:fill="FFFFFF"/>
              </w:rPr>
              <w:t> </w:t>
            </w:r>
            <w:r w:rsidRPr="619C49D6">
              <w:rPr>
                <w:rFonts w:ascii="Tahoma" w:eastAsia="Tahoma" w:hAnsi="Tahoma" w:cs="Tahoma"/>
                <w:b/>
                <w:bCs/>
                <w:color w:val="000000"/>
                <w:sz w:val="16"/>
                <w:szCs w:val="16"/>
                <w:shd w:val="clear" w:color="auto" w:fill="FFFFFF"/>
              </w:rPr>
              <w:t>Praze</w:t>
            </w:r>
          </w:p>
          <w:p w14:paraId="1042E0BF" w14:textId="2FDE877E" w:rsidR="007670AC" w:rsidRPr="003F3788" w:rsidRDefault="004A3D49" w:rsidP="00593589">
            <w:pPr>
              <w:rPr>
                <w:rFonts w:ascii="Tahoma" w:eastAsia="Tahoma" w:hAnsi="Tahoma" w:cs="Tahoma"/>
                <w:b/>
                <w:bCs/>
                <w:color w:val="000000" w:themeColor="text1"/>
                <w:sz w:val="16"/>
                <w:szCs w:val="16"/>
              </w:rPr>
            </w:pPr>
            <w:r>
              <w:rPr>
                <w:rFonts w:ascii="Tahoma" w:hAnsi="Tahoma" w:cs="Tahoma"/>
                <w:sz w:val="16"/>
                <w:szCs w:val="16"/>
              </w:rPr>
              <w:t xml:space="preserve">MUDr. </w:t>
            </w:r>
            <w:r w:rsidR="006D7F1E">
              <w:rPr>
                <w:rFonts w:ascii="Tahoma" w:hAnsi="Tahoma" w:cs="Tahoma"/>
                <w:sz w:val="16"/>
                <w:szCs w:val="16"/>
              </w:rPr>
              <w:t xml:space="preserve">David </w:t>
            </w:r>
            <w:proofErr w:type="spellStart"/>
            <w:r w:rsidR="006D7F1E">
              <w:rPr>
                <w:rFonts w:ascii="Tahoma" w:hAnsi="Tahoma" w:cs="Tahoma"/>
                <w:sz w:val="16"/>
                <w:szCs w:val="16"/>
              </w:rPr>
              <w:t>Feltl</w:t>
            </w:r>
            <w:proofErr w:type="spellEnd"/>
            <w:r w:rsidR="006D7F1E">
              <w:rPr>
                <w:rFonts w:ascii="Tahoma" w:hAnsi="Tahoma" w:cs="Tahoma"/>
                <w:sz w:val="16"/>
                <w:szCs w:val="16"/>
              </w:rPr>
              <w:t>, Ph.D., MBA, ředitel</w:t>
            </w:r>
          </w:p>
        </w:tc>
      </w:tr>
      <w:tr w:rsidR="007670AC" w:rsidRPr="003F3788" w14:paraId="62988841" w14:textId="77777777" w:rsidTr="007670AC">
        <w:trPr>
          <w:trHeight w:val="370"/>
        </w:trPr>
        <w:tc>
          <w:tcPr>
            <w:tcW w:w="4525" w:type="dxa"/>
            <w:shd w:val="clear" w:color="auto" w:fill="auto"/>
          </w:tcPr>
          <w:p w14:paraId="5EB78009" w14:textId="77777777" w:rsidR="007670AC" w:rsidRPr="003F3788" w:rsidRDefault="007670AC" w:rsidP="006C19C0">
            <w:pPr>
              <w:pStyle w:val="Zkladntext2"/>
              <w:rPr>
                <w:rFonts w:ascii="Tahoma" w:hAnsi="Tahoma" w:cs="Tahoma"/>
                <w:sz w:val="16"/>
                <w:szCs w:val="16"/>
              </w:rPr>
            </w:pPr>
          </w:p>
        </w:tc>
        <w:tc>
          <w:tcPr>
            <w:tcW w:w="4547" w:type="dxa"/>
            <w:shd w:val="clear" w:color="auto" w:fill="auto"/>
          </w:tcPr>
          <w:p w14:paraId="40B7B49B" w14:textId="77777777" w:rsidR="007670AC" w:rsidRPr="003F3788" w:rsidRDefault="007670AC" w:rsidP="007670AC">
            <w:pPr>
              <w:pStyle w:val="Zkladntext2"/>
              <w:rPr>
                <w:rFonts w:ascii="Tahoma" w:eastAsia="Tahoma" w:hAnsi="Tahoma" w:cs="Tahoma"/>
                <w:sz w:val="16"/>
                <w:szCs w:val="16"/>
              </w:rPr>
            </w:pPr>
          </w:p>
        </w:tc>
      </w:tr>
    </w:tbl>
    <w:p w14:paraId="0B0A5C33" w14:textId="77777777" w:rsidR="000722A6" w:rsidRPr="003F3788" w:rsidRDefault="000722A6" w:rsidP="000722A6">
      <w:pPr>
        <w:pStyle w:val="Zkladntext2"/>
        <w:rPr>
          <w:rFonts w:ascii="Tahoma" w:hAnsi="Tahoma" w:cs="Tahoma"/>
          <w:sz w:val="16"/>
          <w:szCs w:val="16"/>
        </w:rPr>
      </w:pPr>
    </w:p>
    <w:p w14:paraId="0173D927" w14:textId="0E19BCEF" w:rsidR="000722A6" w:rsidRDefault="000722A6" w:rsidP="000722A6">
      <w:pPr>
        <w:pStyle w:val="Zkladntext2"/>
        <w:rPr>
          <w:rFonts w:ascii="Tahoma" w:hAnsi="Tahoma" w:cs="Tahoma"/>
          <w:sz w:val="16"/>
          <w:szCs w:val="16"/>
        </w:rPr>
      </w:pPr>
    </w:p>
    <w:p w14:paraId="0C71E044" w14:textId="0FC9AD37" w:rsidR="00510F1A" w:rsidRDefault="00510F1A" w:rsidP="000722A6">
      <w:pPr>
        <w:pStyle w:val="Zkladntext2"/>
        <w:rPr>
          <w:rFonts w:ascii="Tahoma" w:hAnsi="Tahoma" w:cs="Tahoma"/>
          <w:sz w:val="16"/>
          <w:szCs w:val="16"/>
        </w:rPr>
      </w:pPr>
    </w:p>
    <w:p w14:paraId="437B58F8" w14:textId="77777777" w:rsidR="006D7F1E" w:rsidRDefault="006D7F1E" w:rsidP="619C49D6">
      <w:pPr>
        <w:pStyle w:val="Zkladntext2"/>
        <w:rPr>
          <w:rFonts w:ascii="Tahoma" w:eastAsia="Tahoma" w:hAnsi="Tahoma" w:cs="Tahoma"/>
          <w:sz w:val="16"/>
          <w:szCs w:val="16"/>
        </w:rPr>
      </w:pPr>
    </w:p>
    <w:p w14:paraId="199E5407" w14:textId="77777777" w:rsidR="006D7F1E" w:rsidRDefault="006D7F1E" w:rsidP="619C49D6">
      <w:pPr>
        <w:pStyle w:val="Zkladntext2"/>
        <w:rPr>
          <w:rFonts w:ascii="Tahoma" w:eastAsia="Tahoma" w:hAnsi="Tahoma" w:cs="Tahoma"/>
          <w:sz w:val="16"/>
          <w:szCs w:val="16"/>
        </w:rPr>
      </w:pPr>
    </w:p>
    <w:p w14:paraId="2ABD1900" w14:textId="77777777" w:rsidR="006D7F1E" w:rsidRDefault="006D7F1E" w:rsidP="619C49D6">
      <w:pPr>
        <w:pStyle w:val="Zkladntext2"/>
        <w:rPr>
          <w:rFonts w:ascii="Tahoma" w:eastAsia="Tahoma" w:hAnsi="Tahoma" w:cs="Tahoma"/>
          <w:sz w:val="16"/>
          <w:szCs w:val="16"/>
        </w:rPr>
      </w:pPr>
    </w:p>
    <w:p w14:paraId="282F3D74" w14:textId="77777777" w:rsidR="006D7F1E" w:rsidRDefault="006D7F1E" w:rsidP="619C49D6">
      <w:pPr>
        <w:pStyle w:val="Zkladntext2"/>
        <w:rPr>
          <w:rFonts w:ascii="Tahoma" w:eastAsia="Tahoma" w:hAnsi="Tahoma" w:cs="Tahoma"/>
          <w:sz w:val="16"/>
          <w:szCs w:val="16"/>
        </w:rPr>
      </w:pPr>
    </w:p>
    <w:p w14:paraId="5CA08173" w14:textId="77777777" w:rsidR="006D7F1E" w:rsidRDefault="006D7F1E" w:rsidP="619C49D6">
      <w:pPr>
        <w:pStyle w:val="Zkladntext2"/>
        <w:rPr>
          <w:rFonts w:ascii="Tahoma" w:eastAsia="Tahoma" w:hAnsi="Tahoma" w:cs="Tahoma"/>
          <w:sz w:val="16"/>
          <w:szCs w:val="16"/>
        </w:rPr>
      </w:pPr>
    </w:p>
    <w:p w14:paraId="6455AA5D" w14:textId="77777777" w:rsidR="006D7F1E" w:rsidRDefault="006D7F1E" w:rsidP="619C49D6">
      <w:pPr>
        <w:pStyle w:val="Zkladntext2"/>
        <w:rPr>
          <w:rFonts w:ascii="Tahoma" w:eastAsia="Tahoma" w:hAnsi="Tahoma" w:cs="Tahoma"/>
          <w:sz w:val="16"/>
          <w:szCs w:val="16"/>
        </w:rPr>
      </w:pPr>
    </w:p>
    <w:p w14:paraId="4706BE51" w14:textId="1492F1DF" w:rsidR="00510F1A" w:rsidRPr="006D7F1E" w:rsidRDefault="619C49D6" w:rsidP="619C49D6">
      <w:pPr>
        <w:pStyle w:val="Zkladntext2"/>
        <w:rPr>
          <w:rFonts w:ascii="Tahoma" w:eastAsia="Tahoma" w:hAnsi="Tahoma" w:cs="Tahoma"/>
          <w:b/>
          <w:sz w:val="16"/>
          <w:szCs w:val="16"/>
        </w:rPr>
      </w:pPr>
      <w:r w:rsidRPr="006D7F1E">
        <w:rPr>
          <w:rFonts w:ascii="Tahoma" w:eastAsia="Tahoma" w:hAnsi="Tahoma" w:cs="Tahoma"/>
          <w:b/>
          <w:sz w:val="16"/>
          <w:szCs w:val="16"/>
        </w:rPr>
        <w:lastRenderedPageBreak/>
        <w:t>Příloha č. 1</w:t>
      </w:r>
      <w:r w:rsidR="00203081" w:rsidRPr="006D7F1E">
        <w:rPr>
          <w:rFonts w:ascii="Tahoma" w:eastAsia="Tahoma" w:hAnsi="Tahoma" w:cs="Tahoma"/>
          <w:b/>
          <w:sz w:val="16"/>
          <w:szCs w:val="16"/>
        </w:rPr>
        <w:t xml:space="preserve"> </w:t>
      </w:r>
    </w:p>
    <w:p w14:paraId="7861570F" w14:textId="647D44B0" w:rsidR="00510F1A" w:rsidRPr="004B0870" w:rsidRDefault="00510F1A" w:rsidP="000722A6">
      <w:pPr>
        <w:pStyle w:val="Zkladntext2"/>
        <w:rPr>
          <w:rFonts w:ascii="Tahoma" w:hAnsi="Tahoma" w:cs="Tahoma"/>
          <w:sz w:val="16"/>
          <w:szCs w:val="16"/>
        </w:rPr>
      </w:pPr>
    </w:p>
    <w:p w14:paraId="34C10DFF" w14:textId="2E881362" w:rsidR="00510F1A" w:rsidRPr="004B0870" w:rsidRDefault="00510F1A" w:rsidP="000722A6">
      <w:pPr>
        <w:pStyle w:val="Zkladntext2"/>
        <w:rPr>
          <w:rFonts w:ascii="Tahoma" w:hAnsi="Tahoma" w:cs="Tahoma"/>
          <w:sz w:val="16"/>
          <w:szCs w:val="16"/>
        </w:rPr>
      </w:pPr>
    </w:p>
    <w:p w14:paraId="33D9526D" w14:textId="4F20EF8A" w:rsidR="00510F1A" w:rsidRPr="006D7F1E" w:rsidRDefault="619C49D6" w:rsidP="619C49D6">
      <w:pPr>
        <w:contextualSpacing/>
        <w:rPr>
          <w:rFonts w:ascii="Tahoma" w:eastAsiaTheme="minorEastAsia" w:hAnsi="Tahoma" w:cs="Tahoma"/>
          <w:b/>
          <w:bCs/>
          <w:sz w:val="16"/>
          <w:szCs w:val="16"/>
        </w:rPr>
      </w:pPr>
      <w:r w:rsidRPr="006D7F1E">
        <w:rPr>
          <w:rFonts w:ascii="Tahoma" w:eastAsiaTheme="minorEastAsia" w:hAnsi="Tahoma" w:cs="Tahoma"/>
          <w:b/>
          <w:bCs/>
          <w:sz w:val="16"/>
          <w:szCs w:val="16"/>
        </w:rPr>
        <w:t>Výpočet bonusu</w:t>
      </w:r>
      <w:r w:rsidR="004A3D49" w:rsidRPr="006D7F1E">
        <w:rPr>
          <w:rFonts w:ascii="Tahoma" w:eastAsiaTheme="minorEastAsia" w:hAnsi="Tahoma" w:cs="Tahoma"/>
          <w:b/>
          <w:bCs/>
          <w:sz w:val="16"/>
          <w:szCs w:val="16"/>
        </w:rPr>
        <w:t xml:space="preserve"> pro rok 2019</w:t>
      </w:r>
    </w:p>
    <w:p w14:paraId="3D9263E4" w14:textId="77777777" w:rsidR="004A3D49" w:rsidRPr="006D7F1E" w:rsidRDefault="004A3D49" w:rsidP="619C49D6">
      <w:pPr>
        <w:contextualSpacing/>
        <w:rPr>
          <w:rFonts w:ascii="Tahoma" w:hAnsi="Tahoma" w:cs="Tahoma"/>
          <w:b/>
          <w:bCs/>
          <w:sz w:val="16"/>
          <w:szCs w:val="16"/>
        </w:rPr>
      </w:pPr>
    </w:p>
    <w:p w14:paraId="11814C05" w14:textId="77777777" w:rsidR="006C19C0" w:rsidRDefault="006C19C0" w:rsidP="00BD3D60">
      <w:pPr>
        <w:pStyle w:val="Zkladntext2"/>
        <w:rPr>
          <w:rFonts w:ascii="Calibri" w:eastAsia="Calibri" w:hAnsi="Calibri" w:cs="Calibri"/>
          <w:sz w:val="18"/>
          <w:szCs w:val="18"/>
          <w:lang w:eastAsia="en-US"/>
        </w:rPr>
      </w:pPr>
    </w:p>
    <w:p w14:paraId="57DE08B3" w14:textId="77777777" w:rsidR="006C19C0" w:rsidRDefault="006C19C0" w:rsidP="00BD3D60">
      <w:pPr>
        <w:pStyle w:val="Zkladntext2"/>
        <w:rPr>
          <w:rFonts w:ascii="Calibri" w:eastAsia="Calibri" w:hAnsi="Calibri" w:cs="Calibri"/>
          <w:sz w:val="18"/>
          <w:szCs w:val="18"/>
          <w:lang w:eastAsia="en-US"/>
        </w:rPr>
      </w:pPr>
    </w:p>
    <w:p w14:paraId="28F93B4F" w14:textId="77777777" w:rsidR="00A90842" w:rsidRDefault="00A90842" w:rsidP="000722A6">
      <w:pPr>
        <w:pStyle w:val="Zkladntext2"/>
        <w:rPr>
          <w:rFonts w:ascii="Tahoma" w:hAnsi="Tahoma" w:cs="Tahoma"/>
          <w:color w:val="000000" w:themeColor="text1"/>
          <w:sz w:val="16"/>
          <w:szCs w:val="16"/>
        </w:rPr>
      </w:pPr>
    </w:p>
    <w:p w14:paraId="0749B5D8" w14:textId="77777777" w:rsidR="00A90842" w:rsidRDefault="00A90842" w:rsidP="000722A6">
      <w:pPr>
        <w:pStyle w:val="Zkladntext2"/>
        <w:rPr>
          <w:rFonts w:ascii="Tahoma" w:hAnsi="Tahoma" w:cs="Tahoma"/>
          <w:color w:val="000000" w:themeColor="text1"/>
          <w:sz w:val="16"/>
          <w:szCs w:val="16"/>
        </w:rPr>
      </w:pPr>
    </w:p>
    <w:p w14:paraId="31D1D139" w14:textId="77777777" w:rsidR="00A90842" w:rsidRDefault="00A90842" w:rsidP="000722A6">
      <w:pPr>
        <w:pStyle w:val="Zkladntext2"/>
        <w:rPr>
          <w:rFonts w:ascii="Tahoma" w:hAnsi="Tahoma" w:cs="Tahoma"/>
          <w:color w:val="000000" w:themeColor="text1"/>
          <w:sz w:val="16"/>
          <w:szCs w:val="16"/>
        </w:rPr>
      </w:pPr>
    </w:p>
    <w:p w14:paraId="0EEB0CC0" w14:textId="07E4D892" w:rsidR="00A90842" w:rsidRPr="00877516" w:rsidRDefault="00A90842" w:rsidP="000722A6">
      <w:pPr>
        <w:pStyle w:val="Zkladntext2"/>
        <w:rPr>
          <w:rFonts w:ascii="Tahoma" w:hAnsi="Tahoma" w:cs="Tahoma"/>
          <w:color w:val="000000" w:themeColor="text1"/>
          <w:sz w:val="16"/>
          <w:szCs w:val="16"/>
        </w:rPr>
      </w:pPr>
    </w:p>
    <w:sectPr w:rsidR="00A90842" w:rsidRPr="00877516" w:rsidSect="009626A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61E43" w14:textId="77777777" w:rsidR="00AB14BF" w:rsidRDefault="00AB14BF" w:rsidP="00551A86">
      <w:r>
        <w:separator/>
      </w:r>
    </w:p>
  </w:endnote>
  <w:endnote w:type="continuationSeparator" w:id="0">
    <w:p w14:paraId="6FCBC986" w14:textId="77777777" w:rsidR="00AB14BF" w:rsidRDefault="00AB14BF"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482807"/>
      <w:docPartObj>
        <w:docPartGallery w:val="Page Numbers (Bottom of Page)"/>
        <w:docPartUnique/>
      </w:docPartObj>
    </w:sdtPr>
    <w:sdtEndPr>
      <w:rPr>
        <w:rFonts w:ascii="Arial" w:hAnsi="Arial" w:cs="Arial"/>
        <w:sz w:val="18"/>
        <w:szCs w:val="18"/>
      </w:rPr>
    </w:sdtEndPr>
    <w:sdtContent>
      <w:p w14:paraId="0DF00E41" w14:textId="088B9610"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A451FF">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EF9AE" w14:textId="77777777" w:rsidR="00AB14BF" w:rsidRDefault="00AB14BF" w:rsidP="00551A86">
      <w:r>
        <w:separator/>
      </w:r>
    </w:p>
  </w:footnote>
  <w:footnote w:type="continuationSeparator" w:id="0">
    <w:p w14:paraId="27E3A6E0" w14:textId="77777777" w:rsidR="00AB14BF" w:rsidRDefault="00AB14BF"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6EA5" w14:textId="2BF8B78D" w:rsidR="00CC1575" w:rsidRPr="00481E53" w:rsidRDefault="00CC1575" w:rsidP="00481E53">
    <w:pPr>
      <w:pStyle w:val="Zhlav"/>
      <w:jc w:val="right"/>
      <w:rPr>
        <w:rFonts w:ascii="Arial" w:hAnsi="Arial" w:cs="Arial"/>
        <w:b/>
        <w:sz w:val="18"/>
        <w:szCs w:val="18"/>
      </w:rPr>
    </w:pPr>
    <w:r w:rsidRPr="00481E53">
      <w:rPr>
        <w:rFonts w:ascii="Arial" w:hAnsi="Arial" w:cs="Arial"/>
        <w:b/>
        <w:sz w:val="18"/>
        <w:szCs w:val="18"/>
      </w:rPr>
      <w:t>PO 177/S/19</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2"/>
  </w:num>
  <w:num w:numId="5">
    <w:abstractNumId w:val="4"/>
  </w:num>
  <w:num w:numId="6">
    <w:abstractNumId w:val="12"/>
  </w:num>
  <w:num w:numId="7">
    <w:abstractNumId w:val="8"/>
  </w:num>
  <w:num w:numId="8">
    <w:abstractNumId w:val="1"/>
  </w:num>
  <w:num w:numId="9">
    <w:abstractNumId w:val="0"/>
  </w:num>
  <w:num w:numId="10">
    <w:abstractNumId w:val="5"/>
  </w:num>
  <w:num w:numId="11">
    <w:abstractNumId w:val="13"/>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2DDF"/>
    <w:rsid w:val="00020789"/>
    <w:rsid w:val="000722A6"/>
    <w:rsid w:val="000735CB"/>
    <w:rsid w:val="000B10F5"/>
    <w:rsid w:val="000E1589"/>
    <w:rsid w:val="000F3D2A"/>
    <w:rsid w:val="00117E37"/>
    <w:rsid w:val="00120F04"/>
    <w:rsid w:val="0015199F"/>
    <w:rsid w:val="001725AB"/>
    <w:rsid w:val="001732BF"/>
    <w:rsid w:val="001747A9"/>
    <w:rsid w:val="001B20AF"/>
    <w:rsid w:val="002027D1"/>
    <w:rsid w:val="00203081"/>
    <w:rsid w:val="00204B19"/>
    <w:rsid w:val="00214B77"/>
    <w:rsid w:val="00226FBF"/>
    <w:rsid w:val="00253DC3"/>
    <w:rsid w:val="00270F9C"/>
    <w:rsid w:val="00293296"/>
    <w:rsid w:val="002B5D7D"/>
    <w:rsid w:val="002B6495"/>
    <w:rsid w:val="002C0CBD"/>
    <w:rsid w:val="002E5B25"/>
    <w:rsid w:val="002F41F8"/>
    <w:rsid w:val="003120FD"/>
    <w:rsid w:val="00353566"/>
    <w:rsid w:val="0036154C"/>
    <w:rsid w:val="00392982"/>
    <w:rsid w:val="003956FD"/>
    <w:rsid w:val="00396507"/>
    <w:rsid w:val="003A04BC"/>
    <w:rsid w:val="003D037F"/>
    <w:rsid w:val="003F3788"/>
    <w:rsid w:val="004263CE"/>
    <w:rsid w:val="00434487"/>
    <w:rsid w:val="0045162D"/>
    <w:rsid w:val="00462A80"/>
    <w:rsid w:val="004668E9"/>
    <w:rsid w:val="00467D91"/>
    <w:rsid w:val="00467F13"/>
    <w:rsid w:val="00481E53"/>
    <w:rsid w:val="004948C0"/>
    <w:rsid w:val="00495840"/>
    <w:rsid w:val="00497D4E"/>
    <w:rsid w:val="004A3D49"/>
    <w:rsid w:val="004A528A"/>
    <w:rsid w:val="004A60CF"/>
    <w:rsid w:val="004A78DC"/>
    <w:rsid w:val="004B0870"/>
    <w:rsid w:val="004C39A6"/>
    <w:rsid w:val="004C68E6"/>
    <w:rsid w:val="004C6A1E"/>
    <w:rsid w:val="004D20DE"/>
    <w:rsid w:val="004E1324"/>
    <w:rsid w:val="004E30F4"/>
    <w:rsid w:val="004F3BF2"/>
    <w:rsid w:val="004F46BE"/>
    <w:rsid w:val="00510F1A"/>
    <w:rsid w:val="0055148E"/>
    <w:rsid w:val="00551A86"/>
    <w:rsid w:val="00553220"/>
    <w:rsid w:val="00557AFD"/>
    <w:rsid w:val="00593589"/>
    <w:rsid w:val="00593ED6"/>
    <w:rsid w:val="005A017A"/>
    <w:rsid w:val="005A3277"/>
    <w:rsid w:val="005A6E5E"/>
    <w:rsid w:val="005C4292"/>
    <w:rsid w:val="005E2371"/>
    <w:rsid w:val="005F6EC3"/>
    <w:rsid w:val="00621ED7"/>
    <w:rsid w:val="00631FCF"/>
    <w:rsid w:val="0065609F"/>
    <w:rsid w:val="006A1E76"/>
    <w:rsid w:val="006B52A9"/>
    <w:rsid w:val="006B6AF2"/>
    <w:rsid w:val="006C01F0"/>
    <w:rsid w:val="006C19C0"/>
    <w:rsid w:val="006D7C65"/>
    <w:rsid w:val="006D7F1E"/>
    <w:rsid w:val="00714991"/>
    <w:rsid w:val="007314F0"/>
    <w:rsid w:val="007540D7"/>
    <w:rsid w:val="007670AC"/>
    <w:rsid w:val="00771D0B"/>
    <w:rsid w:val="007A4236"/>
    <w:rsid w:val="007B18CA"/>
    <w:rsid w:val="007B7AA5"/>
    <w:rsid w:val="007C3FDC"/>
    <w:rsid w:val="007D714D"/>
    <w:rsid w:val="007F39AF"/>
    <w:rsid w:val="00816255"/>
    <w:rsid w:val="00836A45"/>
    <w:rsid w:val="008402B5"/>
    <w:rsid w:val="0084721F"/>
    <w:rsid w:val="00877516"/>
    <w:rsid w:val="0088248E"/>
    <w:rsid w:val="008949DA"/>
    <w:rsid w:val="008961D3"/>
    <w:rsid w:val="00897937"/>
    <w:rsid w:val="008E480E"/>
    <w:rsid w:val="008F1224"/>
    <w:rsid w:val="00924026"/>
    <w:rsid w:val="00924331"/>
    <w:rsid w:val="00927940"/>
    <w:rsid w:val="00940724"/>
    <w:rsid w:val="009626A9"/>
    <w:rsid w:val="009802BD"/>
    <w:rsid w:val="00981D64"/>
    <w:rsid w:val="009938A1"/>
    <w:rsid w:val="009D3AF3"/>
    <w:rsid w:val="00A228BD"/>
    <w:rsid w:val="00A278DF"/>
    <w:rsid w:val="00A32F23"/>
    <w:rsid w:val="00A36DCF"/>
    <w:rsid w:val="00A451FF"/>
    <w:rsid w:val="00A8381D"/>
    <w:rsid w:val="00A842DE"/>
    <w:rsid w:val="00A90842"/>
    <w:rsid w:val="00AA0C2E"/>
    <w:rsid w:val="00AB14BF"/>
    <w:rsid w:val="00AB33AA"/>
    <w:rsid w:val="00AD2B4F"/>
    <w:rsid w:val="00AD74A9"/>
    <w:rsid w:val="00AE66BD"/>
    <w:rsid w:val="00B00A25"/>
    <w:rsid w:val="00B54F07"/>
    <w:rsid w:val="00B765D1"/>
    <w:rsid w:val="00B82380"/>
    <w:rsid w:val="00BC3D49"/>
    <w:rsid w:val="00BD3D60"/>
    <w:rsid w:val="00BF16B1"/>
    <w:rsid w:val="00C146B2"/>
    <w:rsid w:val="00C20611"/>
    <w:rsid w:val="00C30872"/>
    <w:rsid w:val="00C52B07"/>
    <w:rsid w:val="00C53B63"/>
    <w:rsid w:val="00C664CD"/>
    <w:rsid w:val="00C82E04"/>
    <w:rsid w:val="00CA5FD3"/>
    <w:rsid w:val="00CC1575"/>
    <w:rsid w:val="00CC19D2"/>
    <w:rsid w:val="00CC24CE"/>
    <w:rsid w:val="00CD2CBB"/>
    <w:rsid w:val="00CE7E0A"/>
    <w:rsid w:val="00D566B5"/>
    <w:rsid w:val="00D865A6"/>
    <w:rsid w:val="00D9431D"/>
    <w:rsid w:val="00DA3FBA"/>
    <w:rsid w:val="00DD72C0"/>
    <w:rsid w:val="00DE19DF"/>
    <w:rsid w:val="00DE2CB6"/>
    <w:rsid w:val="00DF0F02"/>
    <w:rsid w:val="00E02691"/>
    <w:rsid w:val="00E1211E"/>
    <w:rsid w:val="00E406B3"/>
    <w:rsid w:val="00E406BF"/>
    <w:rsid w:val="00E613DA"/>
    <w:rsid w:val="00E66F53"/>
    <w:rsid w:val="00E71FE1"/>
    <w:rsid w:val="00E85CA4"/>
    <w:rsid w:val="00EA2E17"/>
    <w:rsid w:val="00EB50C1"/>
    <w:rsid w:val="00EF73FE"/>
    <w:rsid w:val="00F3333F"/>
    <w:rsid w:val="00F5217D"/>
    <w:rsid w:val="00F523F4"/>
    <w:rsid w:val="00F76705"/>
    <w:rsid w:val="00F96C5F"/>
    <w:rsid w:val="00FA3874"/>
    <w:rsid w:val="00FB3A87"/>
    <w:rsid w:val="00FC05C3"/>
    <w:rsid w:val="619C4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EA5C2"/>
  <w15:docId w15:val="{FA071A93-BCCE-48D2-AA95-DC1CBD0E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9D3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082">
      <w:bodyDiv w:val="1"/>
      <w:marLeft w:val="0"/>
      <w:marRight w:val="0"/>
      <w:marTop w:val="0"/>
      <w:marBottom w:val="0"/>
      <w:divBdr>
        <w:top w:val="none" w:sz="0" w:space="0" w:color="auto"/>
        <w:left w:val="none" w:sz="0" w:space="0" w:color="auto"/>
        <w:bottom w:val="none" w:sz="0" w:space="0" w:color="auto"/>
        <w:right w:val="none" w:sz="0" w:space="0" w:color="auto"/>
      </w:divBdr>
    </w:div>
    <w:div w:id="297272418">
      <w:bodyDiv w:val="1"/>
      <w:marLeft w:val="0"/>
      <w:marRight w:val="0"/>
      <w:marTop w:val="0"/>
      <w:marBottom w:val="0"/>
      <w:divBdr>
        <w:top w:val="none" w:sz="0" w:space="0" w:color="auto"/>
        <w:left w:val="none" w:sz="0" w:space="0" w:color="auto"/>
        <w:bottom w:val="none" w:sz="0" w:space="0" w:color="auto"/>
        <w:right w:val="none" w:sz="0" w:space="0" w:color="auto"/>
      </w:divBdr>
    </w:div>
    <w:div w:id="344291759">
      <w:bodyDiv w:val="1"/>
      <w:marLeft w:val="0"/>
      <w:marRight w:val="0"/>
      <w:marTop w:val="0"/>
      <w:marBottom w:val="0"/>
      <w:divBdr>
        <w:top w:val="none" w:sz="0" w:space="0" w:color="auto"/>
        <w:left w:val="none" w:sz="0" w:space="0" w:color="auto"/>
        <w:bottom w:val="none" w:sz="0" w:space="0" w:color="auto"/>
        <w:right w:val="none" w:sz="0" w:space="0" w:color="auto"/>
      </w:divBdr>
    </w:div>
    <w:div w:id="375087721">
      <w:bodyDiv w:val="1"/>
      <w:marLeft w:val="0"/>
      <w:marRight w:val="0"/>
      <w:marTop w:val="0"/>
      <w:marBottom w:val="0"/>
      <w:divBdr>
        <w:top w:val="none" w:sz="0" w:space="0" w:color="auto"/>
        <w:left w:val="none" w:sz="0" w:space="0" w:color="auto"/>
        <w:bottom w:val="none" w:sz="0" w:space="0" w:color="auto"/>
        <w:right w:val="none" w:sz="0" w:space="0" w:color="auto"/>
      </w:divBdr>
    </w:div>
    <w:div w:id="477503514">
      <w:bodyDiv w:val="1"/>
      <w:marLeft w:val="0"/>
      <w:marRight w:val="0"/>
      <w:marTop w:val="0"/>
      <w:marBottom w:val="0"/>
      <w:divBdr>
        <w:top w:val="none" w:sz="0" w:space="0" w:color="auto"/>
        <w:left w:val="none" w:sz="0" w:space="0" w:color="auto"/>
        <w:bottom w:val="none" w:sz="0" w:space="0" w:color="auto"/>
        <w:right w:val="none" w:sz="0" w:space="0" w:color="auto"/>
      </w:divBdr>
    </w:div>
    <w:div w:id="503203541">
      <w:bodyDiv w:val="1"/>
      <w:marLeft w:val="0"/>
      <w:marRight w:val="0"/>
      <w:marTop w:val="0"/>
      <w:marBottom w:val="0"/>
      <w:divBdr>
        <w:top w:val="none" w:sz="0" w:space="0" w:color="auto"/>
        <w:left w:val="none" w:sz="0" w:space="0" w:color="auto"/>
        <w:bottom w:val="none" w:sz="0" w:space="0" w:color="auto"/>
        <w:right w:val="none" w:sz="0" w:space="0" w:color="auto"/>
      </w:divBdr>
    </w:div>
    <w:div w:id="618412839">
      <w:bodyDiv w:val="1"/>
      <w:marLeft w:val="0"/>
      <w:marRight w:val="0"/>
      <w:marTop w:val="0"/>
      <w:marBottom w:val="0"/>
      <w:divBdr>
        <w:top w:val="none" w:sz="0" w:space="0" w:color="auto"/>
        <w:left w:val="none" w:sz="0" w:space="0" w:color="auto"/>
        <w:bottom w:val="none" w:sz="0" w:space="0" w:color="auto"/>
        <w:right w:val="none" w:sz="0" w:space="0" w:color="auto"/>
      </w:divBdr>
    </w:div>
    <w:div w:id="626592558">
      <w:bodyDiv w:val="1"/>
      <w:marLeft w:val="0"/>
      <w:marRight w:val="0"/>
      <w:marTop w:val="0"/>
      <w:marBottom w:val="0"/>
      <w:divBdr>
        <w:top w:val="none" w:sz="0" w:space="0" w:color="auto"/>
        <w:left w:val="none" w:sz="0" w:space="0" w:color="auto"/>
        <w:bottom w:val="none" w:sz="0" w:space="0" w:color="auto"/>
        <w:right w:val="none" w:sz="0" w:space="0" w:color="auto"/>
      </w:divBdr>
    </w:div>
    <w:div w:id="706368025">
      <w:bodyDiv w:val="1"/>
      <w:marLeft w:val="0"/>
      <w:marRight w:val="0"/>
      <w:marTop w:val="0"/>
      <w:marBottom w:val="0"/>
      <w:divBdr>
        <w:top w:val="none" w:sz="0" w:space="0" w:color="auto"/>
        <w:left w:val="none" w:sz="0" w:space="0" w:color="auto"/>
        <w:bottom w:val="none" w:sz="0" w:space="0" w:color="auto"/>
        <w:right w:val="none" w:sz="0" w:space="0" w:color="auto"/>
      </w:divBdr>
    </w:div>
    <w:div w:id="723480083">
      <w:bodyDiv w:val="1"/>
      <w:marLeft w:val="0"/>
      <w:marRight w:val="0"/>
      <w:marTop w:val="0"/>
      <w:marBottom w:val="0"/>
      <w:divBdr>
        <w:top w:val="none" w:sz="0" w:space="0" w:color="auto"/>
        <w:left w:val="none" w:sz="0" w:space="0" w:color="auto"/>
        <w:bottom w:val="none" w:sz="0" w:space="0" w:color="auto"/>
        <w:right w:val="none" w:sz="0" w:space="0" w:color="auto"/>
      </w:divBdr>
    </w:div>
    <w:div w:id="730037674">
      <w:bodyDiv w:val="1"/>
      <w:marLeft w:val="0"/>
      <w:marRight w:val="0"/>
      <w:marTop w:val="0"/>
      <w:marBottom w:val="0"/>
      <w:divBdr>
        <w:top w:val="none" w:sz="0" w:space="0" w:color="auto"/>
        <w:left w:val="none" w:sz="0" w:space="0" w:color="auto"/>
        <w:bottom w:val="none" w:sz="0" w:space="0" w:color="auto"/>
        <w:right w:val="none" w:sz="0" w:space="0" w:color="auto"/>
      </w:divBdr>
    </w:div>
    <w:div w:id="735710677">
      <w:bodyDiv w:val="1"/>
      <w:marLeft w:val="0"/>
      <w:marRight w:val="0"/>
      <w:marTop w:val="0"/>
      <w:marBottom w:val="0"/>
      <w:divBdr>
        <w:top w:val="none" w:sz="0" w:space="0" w:color="auto"/>
        <w:left w:val="none" w:sz="0" w:space="0" w:color="auto"/>
        <w:bottom w:val="none" w:sz="0" w:space="0" w:color="auto"/>
        <w:right w:val="none" w:sz="0" w:space="0" w:color="auto"/>
      </w:divBdr>
    </w:div>
    <w:div w:id="736169596">
      <w:bodyDiv w:val="1"/>
      <w:marLeft w:val="0"/>
      <w:marRight w:val="0"/>
      <w:marTop w:val="0"/>
      <w:marBottom w:val="0"/>
      <w:divBdr>
        <w:top w:val="none" w:sz="0" w:space="0" w:color="auto"/>
        <w:left w:val="none" w:sz="0" w:space="0" w:color="auto"/>
        <w:bottom w:val="none" w:sz="0" w:space="0" w:color="auto"/>
        <w:right w:val="none" w:sz="0" w:space="0" w:color="auto"/>
      </w:divBdr>
    </w:div>
    <w:div w:id="925571304">
      <w:bodyDiv w:val="1"/>
      <w:marLeft w:val="0"/>
      <w:marRight w:val="0"/>
      <w:marTop w:val="0"/>
      <w:marBottom w:val="0"/>
      <w:divBdr>
        <w:top w:val="none" w:sz="0" w:space="0" w:color="auto"/>
        <w:left w:val="none" w:sz="0" w:space="0" w:color="auto"/>
        <w:bottom w:val="none" w:sz="0" w:space="0" w:color="auto"/>
        <w:right w:val="none" w:sz="0" w:space="0" w:color="auto"/>
      </w:divBdr>
    </w:div>
    <w:div w:id="932202841">
      <w:bodyDiv w:val="1"/>
      <w:marLeft w:val="0"/>
      <w:marRight w:val="0"/>
      <w:marTop w:val="0"/>
      <w:marBottom w:val="0"/>
      <w:divBdr>
        <w:top w:val="none" w:sz="0" w:space="0" w:color="auto"/>
        <w:left w:val="none" w:sz="0" w:space="0" w:color="auto"/>
        <w:bottom w:val="none" w:sz="0" w:space="0" w:color="auto"/>
        <w:right w:val="none" w:sz="0" w:space="0" w:color="auto"/>
      </w:divBdr>
    </w:div>
    <w:div w:id="979655466">
      <w:bodyDiv w:val="1"/>
      <w:marLeft w:val="0"/>
      <w:marRight w:val="0"/>
      <w:marTop w:val="0"/>
      <w:marBottom w:val="0"/>
      <w:divBdr>
        <w:top w:val="none" w:sz="0" w:space="0" w:color="auto"/>
        <w:left w:val="none" w:sz="0" w:space="0" w:color="auto"/>
        <w:bottom w:val="none" w:sz="0" w:space="0" w:color="auto"/>
        <w:right w:val="none" w:sz="0" w:space="0" w:color="auto"/>
      </w:divBdr>
    </w:div>
    <w:div w:id="1023507653">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296643241">
      <w:bodyDiv w:val="1"/>
      <w:marLeft w:val="0"/>
      <w:marRight w:val="0"/>
      <w:marTop w:val="0"/>
      <w:marBottom w:val="0"/>
      <w:divBdr>
        <w:top w:val="none" w:sz="0" w:space="0" w:color="auto"/>
        <w:left w:val="none" w:sz="0" w:space="0" w:color="auto"/>
        <w:bottom w:val="none" w:sz="0" w:space="0" w:color="auto"/>
        <w:right w:val="none" w:sz="0" w:space="0" w:color="auto"/>
      </w:divBdr>
    </w:div>
    <w:div w:id="1311979020">
      <w:bodyDiv w:val="1"/>
      <w:marLeft w:val="0"/>
      <w:marRight w:val="0"/>
      <w:marTop w:val="0"/>
      <w:marBottom w:val="0"/>
      <w:divBdr>
        <w:top w:val="none" w:sz="0" w:space="0" w:color="auto"/>
        <w:left w:val="none" w:sz="0" w:space="0" w:color="auto"/>
        <w:bottom w:val="none" w:sz="0" w:space="0" w:color="auto"/>
        <w:right w:val="none" w:sz="0" w:space="0" w:color="auto"/>
      </w:divBdr>
    </w:div>
    <w:div w:id="1314724184">
      <w:bodyDiv w:val="1"/>
      <w:marLeft w:val="0"/>
      <w:marRight w:val="0"/>
      <w:marTop w:val="0"/>
      <w:marBottom w:val="0"/>
      <w:divBdr>
        <w:top w:val="none" w:sz="0" w:space="0" w:color="auto"/>
        <w:left w:val="none" w:sz="0" w:space="0" w:color="auto"/>
        <w:bottom w:val="none" w:sz="0" w:space="0" w:color="auto"/>
        <w:right w:val="none" w:sz="0" w:space="0" w:color="auto"/>
      </w:divBdr>
    </w:div>
    <w:div w:id="1360281049">
      <w:bodyDiv w:val="1"/>
      <w:marLeft w:val="0"/>
      <w:marRight w:val="0"/>
      <w:marTop w:val="0"/>
      <w:marBottom w:val="0"/>
      <w:divBdr>
        <w:top w:val="none" w:sz="0" w:space="0" w:color="auto"/>
        <w:left w:val="none" w:sz="0" w:space="0" w:color="auto"/>
        <w:bottom w:val="none" w:sz="0" w:space="0" w:color="auto"/>
        <w:right w:val="none" w:sz="0" w:space="0" w:color="auto"/>
      </w:divBdr>
    </w:div>
    <w:div w:id="1378092314">
      <w:bodyDiv w:val="1"/>
      <w:marLeft w:val="0"/>
      <w:marRight w:val="0"/>
      <w:marTop w:val="0"/>
      <w:marBottom w:val="0"/>
      <w:divBdr>
        <w:top w:val="none" w:sz="0" w:space="0" w:color="auto"/>
        <w:left w:val="none" w:sz="0" w:space="0" w:color="auto"/>
        <w:bottom w:val="none" w:sz="0" w:space="0" w:color="auto"/>
        <w:right w:val="none" w:sz="0" w:space="0" w:color="auto"/>
      </w:divBdr>
    </w:div>
    <w:div w:id="1392577908">
      <w:bodyDiv w:val="1"/>
      <w:marLeft w:val="0"/>
      <w:marRight w:val="0"/>
      <w:marTop w:val="0"/>
      <w:marBottom w:val="0"/>
      <w:divBdr>
        <w:top w:val="none" w:sz="0" w:space="0" w:color="auto"/>
        <w:left w:val="none" w:sz="0" w:space="0" w:color="auto"/>
        <w:bottom w:val="none" w:sz="0" w:space="0" w:color="auto"/>
        <w:right w:val="none" w:sz="0" w:space="0" w:color="auto"/>
      </w:divBdr>
    </w:div>
    <w:div w:id="1481966338">
      <w:bodyDiv w:val="1"/>
      <w:marLeft w:val="0"/>
      <w:marRight w:val="0"/>
      <w:marTop w:val="0"/>
      <w:marBottom w:val="0"/>
      <w:divBdr>
        <w:top w:val="none" w:sz="0" w:space="0" w:color="auto"/>
        <w:left w:val="none" w:sz="0" w:space="0" w:color="auto"/>
        <w:bottom w:val="none" w:sz="0" w:space="0" w:color="auto"/>
        <w:right w:val="none" w:sz="0" w:space="0" w:color="auto"/>
      </w:divBdr>
    </w:div>
    <w:div w:id="1494294429">
      <w:bodyDiv w:val="1"/>
      <w:marLeft w:val="0"/>
      <w:marRight w:val="0"/>
      <w:marTop w:val="0"/>
      <w:marBottom w:val="0"/>
      <w:divBdr>
        <w:top w:val="none" w:sz="0" w:space="0" w:color="auto"/>
        <w:left w:val="none" w:sz="0" w:space="0" w:color="auto"/>
        <w:bottom w:val="none" w:sz="0" w:space="0" w:color="auto"/>
        <w:right w:val="none" w:sz="0" w:space="0" w:color="auto"/>
      </w:divBdr>
    </w:div>
    <w:div w:id="1620916131">
      <w:bodyDiv w:val="1"/>
      <w:marLeft w:val="0"/>
      <w:marRight w:val="0"/>
      <w:marTop w:val="0"/>
      <w:marBottom w:val="0"/>
      <w:divBdr>
        <w:top w:val="none" w:sz="0" w:space="0" w:color="auto"/>
        <w:left w:val="none" w:sz="0" w:space="0" w:color="auto"/>
        <w:bottom w:val="none" w:sz="0" w:space="0" w:color="auto"/>
        <w:right w:val="none" w:sz="0" w:space="0" w:color="auto"/>
      </w:divBdr>
    </w:div>
    <w:div w:id="1632595808">
      <w:bodyDiv w:val="1"/>
      <w:marLeft w:val="0"/>
      <w:marRight w:val="0"/>
      <w:marTop w:val="0"/>
      <w:marBottom w:val="0"/>
      <w:divBdr>
        <w:top w:val="none" w:sz="0" w:space="0" w:color="auto"/>
        <w:left w:val="none" w:sz="0" w:space="0" w:color="auto"/>
        <w:bottom w:val="none" w:sz="0" w:space="0" w:color="auto"/>
        <w:right w:val="none" w:sz="0" w:space="0" w:color="auto"/>
      </w:divBdr>
    </w:div>
    <w:div w:id="1756319787">
      <w:bodyDiv w:val="1"/>
      <w:marLeft w:val="0"/>
      <w:marRight w:val="0"/>
      <w:marTop w:val="0"/>
      <w:marBottom w:val="0"/>
      <w:divBdr>
        <w:top w:val="none" w:sz="0" w:space="0" w:color="auto"/>
        <w:left w:val="none" w:sz="0" w:space="0" w:color="auto"/>
        <w:bottom w:val="none" w:sz="0" w:space="0" w:color="auto"/>
        <w:right w:val="none" w:sz="0" w:space="0" w:color="auto"/>
      </w:divBdr>
    </w:div>
    <w:div w:id="1767309727">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2111729794">
      <w:bodyDiv w:val="1"/>
      <w:marLeft w:val="0"/>
      <w:marRight w:val="0"/>
      <w:marTop w:val="0"/>
      <w:marBottom w:val="0"/>
      <w:divBdr>
        <w:top w:val="none" w:sz="0" w:space="0" w:color="auto"/>
        <w:left w:val="none" w:sz="0" w:space="0" w:color="auto"/>
        <w:bottom w:val="none" w:sz="0" w:space="0" w:color="auto"/>
        <w:right w:val="none" w:sz="0" w:space="0" w:color="auto"/>
      </w:divBdr>
    </w:div>
    <w:div w:id="2119833975">
      <w:bodyDiv w:val="1"/>
      <w:marLeft w:val="0"/>
      <w:marRight w:val="0"/>
      <w:marTop w:val="0"/>
      <w:marBottom w:val="0"/>
      <w:divBdr>
        <w:top w:val="none" w:sz="0" w:space="0" w:color="auto"/>
        <w:left w:val="none" w:sz="0" w:space="0" w:color="auto"/>
        <w:bottom w:val="none" w:sz="0" w:space="0" w:color="auto"/>
        <w:right w:val="none" w:sz="0" w:space="0" w:color="auto"/>
      </w:divBdr>
    </w:div>
    <w:div w:id="212357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PS10440</RequestID>
    <PocetZnRetezec xmlns="acca34e4-9ecd-41c8-99eb-d6aa654aaa55" xsi:nil="true"/>
    <Block_WF xmlns="acca34e4-9ecd-41c8-99eb-d6aa654aaa55">3</Block_WF>
    <ZkracenyRetezec xmlns="acca34e4-9ecd-41c8-99eb-d6aa654aaa55">193-177/177-2019%20RS.docx</ZkracenyRetezec>
    <Smazat xmlns="acca34e4-9ecd-41c8-99eb-d6aa654aaa55">&lt;a href="/sites/evidencesmluv/_layouts/15/IniWrkflIP.aspx?List=%7b06793727-BBB9-4189-9F5D-E18E36F4EA7C%7d&amp;amp;ID=574&amp;amp;ItemGuid=%7b3F9B0332-0565-4576-B063-63DB40A36F10%7d&amp;amp;TemplateID=%7bc9672366-ba83-4c7a-b3ac-82af318e27d3%7d"&gt;&lt;img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F1347-741A-411D-9213-6031E1B6296A}"/>
</file>

<file path=customXml/itemProps2.xml><?xml version="1.0" encoding="utf-8"?>
<ds:datastoreItem xmlns:ds="http://schemas.openxmlformats.org/officeDocument/2006/customXml" ds:itemID="{45A8B655-4CB0-494A-B293-E4301F603FE5}"/>
</file>

<file path=customXml/itemProps3.xml><?xml version="1.0" encoding="utf-8"?>
<ds:datastoreItem xmlns:ds="http://schemas.openxmlformats.org/officeDocument/2006/customXml" ds:itemID="{E51D2F1D-AF5C-4C13-8FC0-1A79EFB6107D}"/>
</file>

<file path=customXml/itemProps4.xml><?xml version="1.0" encoding="utf-8"?>
<ds:datastoreItem xmlns:ds="http://schemas.openxmlformats.org/officeDocument/2006/customXml" ds:itemID="{87D1186D-4D14-48B9-B6C2-8A93EF7130C9}">
  <ds:schemaRefs>
    <ds:schemaRef ds:uri="http://schemas.microsoft.com/sharepoint/events"/>
  </ds:schemaRefs>
</ds:datastoreItem>
</file>

<file path=customXml/itemProps5.xml><?xml version="1.0" encoding="utf-8"?>
<ds:datastoreItem xmlns:ds="http://schemas.openxmlformats.org/officeDocument/2006/customXml" ds:itemID="{E77119C3-175D-4BB0-BD0E-2D53C5056C30}"/>
</file>

<file path=docProps/app.xml><?xml version="1.0" encoding="utf-8"?>
<Properties xmlns="http://schemas.openxmlformats.org/officeDocument/2006/extended-properties" xmlns:vt="http://schemas.openxmlformats.org/officeDocument/2006/docPropsVTypes">
  <Template>Normal</Template>
  <TotalTime>0</TotalTime>
  <Pages>4</Pages>
  <Words>1919</Words>
  <Characters>11325</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11263 - 87-2017_poskytnutí obratového bonusu 2017_sanofi-aventis_OU</vt:lpstr>
      <vt:lpstr>11263 - 87-2017_poskytnutí obratového bonusu 2017_sanofi-aventis_OU</vt:lpstr>
    </vt:vector>
  </TitlesOfParts>
  <Company>sanofi-aventis</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11263 - 87-2017_poskytnutí obratového bonusu 2017_sanofi-aventis_OU</dc:title>
  <dc:creator>Hemalova, Marketa ZT/CZ</dc:creator>
  <cp:lastModifiedBy>Kandová Zuzana, Mgr.</cp:lastModifiedBy>
  <cp:revision>2</cp:revision>
  <cp:lastPrinted>2019-02-28T12:09:00Z</cp:lastPrinted>
  <dcterms:created xsi:type="dcterms:W3CDTF">2019-02-28T12:13:00Z</dcterms:created>
  <dcterms:modified xsi:type="dcterms:W3CDTF">2019-02-28T12:13:00Z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0x010100EFF427952D4E634383E9B8E9D938055A00D1BE4ACD4ABAF74B81E6C4ABF9FBDE5D</vt:lpwstr>
  </property>
  <property fmtid="{D5CDD505-2E9C-101B-9397-08002B2CF9AE}" pid="4" name="_dlc_DocIdItemGuid">
    <vt:lpwstr>93c3ae76-1260-4e0d-8a48-bc00fad84264</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f8762d31-0726-4d3d-a0c7-8357f48798a5,2;f8762d31-0726-4d3d-a0c7-8357f48798a5,2;f8762d31-0726-4d3d-a0c7-8357f48798a5,2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AuthorIds_UIVersion_512">
    <vt:lpwstr>299</vt:lpwstr>
  </property>
</Properties>
</file>