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2C4F9D">
        <w:rPr>
          <w:rFonts w:ascii="Arial" w:hAnsi="Arial" w:cs="Arial"/>
          <w:b/>
          <w:sz w:val="28"/>
          <w:szCs w:val="28"/>
        </w:rPr>
        <w:t>69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2C4F9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6E5ECD">
        <w:rPr>
          <w:rFonts w:ascii="Arial" w:hAnsi="Arial" w:cs="Arial"/>
          <w:b/>
          <w:sz w:val="24"/>
          <w:szCs w:val="24"/>
        </w:rPr>
        <w:t xml:space="preserve">NOVÁ PAKA </w:t>
      </w:r>
      <w:r>
        <w:rPr>
          <w:rFonts w:ascii="Arial" w:hAnsi="Arial" w:cs="Arial"/>
          <w:b/>
          <w:sz w:val="24"/>
          <w:szCs w:val="24"/>
        </w:rPr>
        <w:t xml:space="preserve">– REKONSTRUKCE KANALIZACE V UL. </w:t>
      </w:r>
      <w:r w:rsidR="00D869B5">
        <w:rPr>
          <w:rFonts w:ascii="Arial" w:hAnsi="Arial" w:cs="Arial"/>
          <w:b/>
          <w:sz w:val="24"/>
          <w:szCs w:val="24"/>
        </w:rPr>
        <w:t>RUSKÁ</w:t>
      </w:r>
      <w:r w:rsidRPr="004E356B">
        <w:rPr>
          <w:rFonts w:ascii="Arial" w:hAnsi="Arial" w:cs="Arial"/>
          <w:b/>
          <w:sz w:val="24"/>
          <w:szCs w:val="24"/>
        </w:rPr>
        <w:t xml:space="preserve"> </w:t>
      </w:r>
      <w:r w:rsidR="00EB7D47">
        <w:rPr>
          <w:rFonts w:ascii="Arial" w:hAnsi="Arial" w:cs="Arial"/>
          <w:b/>
          <w:sz w:val="24"/>
          <w:szCs w:val="24"/>
        </w:rPr>
        <w:t>– I. ETAPA</w:t>
      </w:r>
      <w:r w:rsidRPr="004E356B">
        <w:rPr>
          <w:rFonts w:ascii="Arial" w:hAnsi="Arial" w:cs="Arial"/>
          <w:b/>
          <w:sz w:val="24"/>
          <w:szCs w:val="24"/>
        </w:rPr>
        <w:t>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AB65EE" w:rsidRDefault="00AB65EE" w:rsidP="00AB6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2C4F9D" w:rsidRPr="00F24396" w:rsidRDefault="000F554C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 w:rsidRPr="00F24396">
        <w:rPr>
          <w:bCs/>
        </w:rPr>
        <w:t>Dokumentace pro vydání společného povolení</w:t>
      </w:r>
      <w:r w:rsidR="002C4F9D" w:rsidRPr="00F24396">
        <w:rPr>
          <w:bCs/>
        </w:rPr>
        <w:t>:</w:t>
      </w:r>
    </w:p>
    <w:p w:rsidR="002C4F9D" w:rsidRPr="00F24396" w:rsidRDefault="002C4F9D" w:rsidP="002C4F9D">
      <w:pPr>
        <w:pStyle w:val="VZ"/>
        <w:tabs>
          <w:tab w:val="left" w:pos="993"/>
        </w:tabs>
        <w:spacing w:before="120"/>
        <w:ind w:left="992" w:firstLine="0"/>
        <w:rPr>
          <w:b/>
          <w:bCs/>
        </w:rPr>
      </w:pPr>
      <w:r w:rsidRPr="00F24396">
        <w:rPr>
          <w:b/>
          <w:bCs/>
        </w:rPr>
        <w:t>I. etapa</w:t>
      </w:r>
    </w:p>
    <w:p w:rsidR="002C4F9D" w:rsidRPr="00F24396" w:rsidRDefault="002C4F9D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 xml:space="preserve">splašková kanalizace z křižovatky ulic Bulharská a Ruská </w:t>
      </w:r>
      <w:r w:rsidR="00F24396" w:rsidRPr="00F24396">
        <w:rPr>
          <w:bCs/>
        </w:rPr>
        <w:t xml:space="preserve">s napojením do </w:t>
      </w:r>
      <w:r w:rsidRPr="00F24396">
        <w:rPr>
          <w:bCs/>
        </w:rPr>
        <w:t xml:space="preserve">ulice U stadionu </w:t>
      </w:r>
    </w:p>
    <w:p w:rsidR="00F24396" w:rsidRPr="00F24396" w:rsidRDefault="00F24396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>souběžné vedení vodovodního řadu</w:t>
      </w:r>
    </w:p>
    <w:p w:rsidR="00F24396" w:rsidRPr="00F24396" w:rsidRDefault="00F24396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>jednotná kanalizace mezi ulicemi Bulharská a Lužická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86794B">
        <w:rPr>
          <w:bCs/>
        </w:rPr>
        <w:t xml:space="preserve">edpokládaný rozsah </w:t>
      </w:r>
      <w:r w:rsidR="007C79E9">
        <w:rPr>
          <w:bCs/>
        </w:rPr>
        <w:t xml:space="preserve">max. </w:t>
      </w:r>
      <w:r w:rsidR="00E10616">
        <w:rPr>
          <w:bCs/>
        </w:rPr>
        <w:t>2</w:t>
      </w:r>
      <w:r w:rsidR="0086794B">
        <w:rPr>
          <w:bCs/>
        </w:rPr>
        <w:t>0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1A676F" w:rsidRPr="00273031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  <w:r w:rsidR="006E5ECD">
        <w:rPr>
          <w:b/>
          <w:color w:val="000000"/>
        </w:rPr>
        <w:t>„ NOVÁ PAKA</w:t>
      </w:r>
      <w:r w:rsidRPr="00273031">
        <w:rPr>
          <w:b/>
          <w:color w:val="000000"/>
        </w:rPr>
        <w:t xml:space="preserve"> – REKONSTRUKCE KANALIZACE V</w:t>
      </w:r>
      <w:r>
        <w:rPr>
          <w:b/>
          <w:color w:val="000000"/>
        </w:rPr>
        <w:t> </w:t>
      </w:r>
      <w:r w:rsidRPr="00273031">
        <w:rPr>
          <w:b/>
          <w:color w:val="000000"/>
        </w:rPr>
        <w:t>UL</w:t>
      </w:r>
      <w:r>
        <w:rPr>
          <w:b/>
          <w:color w:val="000000"/>
        </w:rPr>
        <w:t xml:space="preserve">. </w:t>
      </w:r>
      <w:r w:rsidR="00A95C21">
        <w:rPr>
          <w:b/>
          <w:color w:val="000000"/>
        </w:rPr>
        <w:t>RUSKÁ</w:t>
      </w:r>
      <w:r w:rsidRPr="00273031">
        <w:rPr>
          <w:b/>
          <w:color w:val="000000"/>
        </w:rPr>
        <w:t xml:space="preserve"> “</w:t>
      </w:r>
      <w:r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lastRenderedPageBreak/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F526E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etapa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0F554C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 w:rsidR="00F2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F24396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F24396">
              <w:rPr>
                <w:rFonts w:ascii="Arial" w:hAnsi="Arial" w:cs="Arial"/>
                <w:sz w:val="18"/>
                <w:szCs w:val="18"/>
              </w:rPr>
              <w:t>6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F24396" w:rsidRPr="00EF0041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744240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 xml:space="preserve"> – I. etapa</w:t>
      </w:r>
      <w:r w:rsidRPr="005964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105</w:t>
      </w:r>
      <w:r w:rsidRPr="0059643B">
        <w:rPr>
          <w:rFonts w:ascii="Arial" w:hAnsi="Arial" w:cs="Arial"/>
          <w:b/>
        </w:rPr>
        <w:t>.000,- Kč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  <w:b/>
        </w:rPr>
      </w:pP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</w:rPr>
        <w:t>Z toho jednotlivé části díla a činnosti jsou oceněny takto: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F554C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B7D47" w:rsidRDefault="000F554C" w:rsidP="00EB7D47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  <w:r w:rsidR="004F52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F554C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4F526E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I. etapa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4F526E" w:rsidRDefault="004F526E" w:rsidP="004F526E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105.000,-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  <w:r w:rsidRPr="00EF0041">
              <w:rPr>
                <w:rFonts w:ascii="Arial" w:hAnsi="Arial" w:cs="Arial"/>
                <w:sz w:val="18"/>
                <w:szCs w:val="18"/>
              </w:rPr>
              <w:t>000,-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>
              <w:rPr>
                <w:rFonts w:ascii="Arial" w:hAnsi="Arial" w:cs="Arial"/>
                <w:sz w:val="18"/>
                <w:szCs w:val="18"/>
              </w:rPr>
              <w:t>autorského dozoru (max. 20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F0041"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0F554C" w:rsidRPr="00273031" w:rsidRDefault="000F554C" w:rsidP="000F554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AB65EE" w:rsidRDefault="00AB65EE" w:rsidP="00AB65EE">
      <w:pPr>
        <w:spacing w:line="264" w:lineRule="auto"/>
        <w:ind w:left="567"/>
        <w:rPr>
          <w:rFonts w:ascii="Arial" w:hAnsi="Arial" w:cs="Arial"/>
          <w:strike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 xml:space="preserve"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</w:t>
      </w:r>
      <w:r w:rsidRPr="0059643B">
        <w:rPr>
          <w:rFonts w:ascii="Arial" w:hAnsi="Arial" w:cs="Arial"/>
        </w:rPr>
        <w:lastRenderedPageBreak/>
        <w:t>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AB65EE" w:rsidRPr="003D7824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AB65EE" w:rsidRPr="00273031" w:rsidRDefault="00AB65EE" w:rsidP="00AB65EE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AB65EE" w:rsidRPr="00273031" w:rsidRDefault="00AB65EE" w:rsidP="00AB65EE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AB65EE" w:rsidRPr="003D7824" w:rsidRDefault="00AB65E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 w:rsidR="003E620A">
        <w:rPr>
          <w:rFonts w:ascii="Arial" w:hAnsi="Arial" w:cs="Arial"/>
        </w:rPr>
        <w:t xml:space="preserve"> 1.4.2019</w:t>
      </w:r>
      <w:r w:rsidR="004E07AE">
        <w:rPr>
          <w:rFonts w:ascii="Arial" w:hAnsi="Arial" w:cs="Arial"/>
        </w:rPr>
        <w:tab/>
      </w:r>
      <w:r w:rsidR="004E07AE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  <w:t xml:space="preserve">V Jičíně dne  </w:t>
      </w:r>
      <w:r w:rsidR="003E620A">
        <w:rPr>
          <w:rFonts w:ascii="Arial" w:hAnsi="Arial" w:cs="Arial"/>
        </w:rPr>
        <w:t>1.4.2019</w:t>
      </w: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3E620A" w:rsidRDefault="003E620A" w:rsidP="00AB65EE">
      <w:pPr>
        <w:rPr>
          <w:rFonts w:ascii="Arial" w:hAnsi="Arial" w:cs="Arial"/>
        </w:rPr>
      </w:pPr>
    </w:p>
    <w:p w:rsidR="00AB65EE" w:rsidRDefault="003E620A" w:rsidP="00AB65EE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</w:t>
      </w:r>
      <w:bookmarkStart w:id="0" w:name="_GoBack"/>
      <w:bookmarkEnd w:id="0"/>
      <w:r>
        <w:rPr>
          <w:rFonts w:ascii="Arial" w:hAnsi="Arial" w:cs="Arial"/>
        </w:rPr>
        <w:t>mutný</w:t>
      </w:r>
    </w:p>
    <w:p w:rsidR="00AB65EE" w:rsidRDefault="00AB65EE" w:rsidP="00AB65EE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AB65EE" w:rsidRDefault="00AB65EE" w:rsidP="00AB65EE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AB65EE" w:rsidRDefault="00AB65EE" w:rsidP="00AB65EE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AB65EE" w:rsidRPr="00273031" w:rsidRDefault="00AB65EE" w:rsidP="000F554C">
      <w:pPr>
        <w:spacing w:line="264" w:lineRule="auto"/>
        <w:ind w:left="567"/>
        <w:rPr>
          <w:rFonts w:ascii="Arial" w:hAnsi="Arial" w:cs="Arial"/>
        </w:rPr>
      </w:pPr>
    </w:p>
    <w:sectPr w:rsidR="00AB65EE" w:rsidRPr="00273031" w:rsidSect="00382024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5B" w:rsidRDefault="00D12D5B">
      <w:r>
        <w:separator/>
      </w:r>
    </w:p>
  </w:endnote>
  <w:endnote w:type="continuationSeparator" w:id="0">
    <w:p w:rsidR="00D12D5B" w:rsidRDefault="00D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E620A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3E620A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5B" w:rsidRDefault="00D12D5B">
      <w:r>
        <w:separator/>
      </w:r>
    </w:p>
  </w:footnote>
  <w:footnote w:type="continuationSeparator" w:id="0">
    <w:p w:rsidR="00D12D5B" w:rsidRDefault="00D1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C2F94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5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E494D"/>
    <w:rsid w:val="001F111D"/>
    <w:rsid w:val="00202C33"/>
    <w:rsid w:val="002072DF"/>
    <w:rsid w:val="0021543B"/>
    <w:rsid w:val="002220D3"/>
    <w:rsid w:val="00223891"/>
    <w:rsid w:val="00224C36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47F3"/>
    <w:rsid w:val="00295D82"/>
    <w:rsid w:val="002C4F9D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312"/>
    <w:rsid w:val="003756D9"/>
    <w:rsid w:val="00376D98"/>
    <w:rsid w:val="00382024"/>
    <w:rsid w:val="00392BC0"/>
    <w:rsid w:val="003A3109"/>
    <w:rsid w:val="003A35EB"/>
    <w:rsid w:val="003B14EC"/>
    <w:rsid w:val="003C259C"/>
    <w:rsid w:val="003C65B5"/>
    <w:rsid w:val="003D3426"/>
    <w:rsid w:val="003D4D34"/>
    <w:rsid w:val="003E620A"/>
    <w:rsid w:val="003F7183"/>
    <w:rsid w:val="00400329"/>
    <w:rsid w:val="00402E7C"/>
    <w:rsid w:val="00410E76"/>
    <w:rsid w:val="00411968"/>
    <w:rsid w:val="00411CB8"/>
    <w:rsid w:val="004132C5"/>
    <w:rsid w:val="004148D0"/>
    <w:rsid w:val="00424C35"/>
    <w:rsid w:val="00440218"/>
    <w:rsid w:val="00442C66"/>
    <w:rsid w:val="00447DB0"/>
    <w:rsid w:val="00464852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07AE"/>
    <w:rsid w:val="004E356B"/>
    <w:rsid w:val="004F526E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B63C5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5ECD"/>
    <w:rsid w:val="006E634B"/>
    <w:rsid w:val="006F4E83"/>
    <w:rsid w:val="00702DCA"/>
    <w:rsid w:val="00717857"/>
    <w:rsid w:val="007225F1"/>
    <w:rsid w:val="007257D1"/>
    <w:rsid w:val="00740B38"/>
    <w:rsid w:val="00744240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C79E9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8F6D91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22C1"/>
    <w:rsid w:val="00A361C0"/>
    <w:rsid w:val="00A368DE"/>
    <w:rsid w:val="00A370B7"/>
    <w:rsid w:val="00A37903"/>
    <w:rsid w:val="00A379AF"/>
    <w:rsid w:val="00A45BE5"/>
    <w:rsid w:val="00A6054B"/>
    <w:rsid w:val="00A7330E"/>
    <w:rsid w:val="00A77A7C"/>
    <w:rsid w:val="00A83125"/>
    <w:rsid w:val="00A91897"/>
    <w:rsid w:val="00A95C21"/>
    <w:rsid w:val="00AA6152"/>
    <w:rsid w:val="00AA634C"/>
    <w:rsid w:val="00AB32D0"/>
    <w:rsid w:val="00AB65EE"/>
    <w:rsid w:val="00AC0CE7"/>
    <w:rsid w:val="00AC0ECF"/>
    <w:rsid w:val="00AD4398"/>
    <w:rsid w:val="00AE2523"/>
    <w:rsid w:val="00AF3B75"/>
    <w:rsid w:val="00B00F52"/>
    <w:rsid w:val="00B1509F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23DE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13BB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12D5B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869B5"/>
    <w:rsid w:val="00DA14B2"/>
    <w:rsid w:val="00DC3668"/>
    <w:rsid w:val="00DC47B0"/>
    <w:rsid w:val="00DD0A35"/>
    <w:rsid w:val="00DD7CFA"/>
    <w:rsid w:val="00DF5935"/>
    <w:rsid w:val="00E10616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2037"/>
    <w:rsid w:val="00E97732"/>
    <w:rsid w:val="00EB0775"/>
    <w:rsid w:val="00EB7D47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06911"/>
    <w:rsid w:val="00F137BC"/>
    <w:rsid w:val="00F24396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168C-E176-4252-842F-0B6BAAE9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2913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20064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13</cp:revision>
  <cp:lastPrinted>2019-03-28T12:36:00Z</cp:lastPrinted>
  <dcterms:created xsi:type="dcterms:W3CDTF">2019-03-06T05:52:00Z</dcterms:created>
  <dcterms:modified xsi:type="dcterms:W3CDTF">2019-04-04T04:26:00Z</dcterms:modified>
</cp:coreProperties>
</file>