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C3C6E">
        <w:rPr>
          <w:rFonts w:ascii="Arial" w:hAnsi="Arial" w:cs="Arial"/>
          <w:b/>
          <w:sz w:val="36"/>
          <w:szCs w:val="36"/>
        </w:rPr>
        <w:t>Příloha 2 – Sez</w:t>
      </w:r>
      <w:bookmarkStart w:id="0" w:name="_GoBack"/>
      <w:bookmarkEnd w:id="0"/>
      <w:r w:rsidRPr="007C3C6E">
        <w:rPr>
          <w:rFonts w:ascii="Arial" w:hAnsi="Arial" w:cs="Arial"/>
          <w:b/>
          <w:sz w:val="36"/>
          <w:szCs w:val="36"/>
        </w:rPr>
        <w:t xml:space="preserve">nam domén – webů IPR 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iprpraha.cz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uppraha.cz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geoportalpraha.cz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ozvucnadeska.cz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voucher.iprp.cz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manual.iprpraha.cz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 xml:space="preserve">plan.iprpraha.cz 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 xml:space="preserve">spolupraze.iprpraha.cz 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spolupraze.cz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en.iprpraha.cz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moves.iprpraha.cz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uap.iprpraha.cz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strategie.iprpraha.cz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metropolitniplan.cz nová verze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itipraha.eu</w:t>
      </w:r>
    </w:p>
    <w:p w:rsid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3C6E">
        <w:rPr>
          <w:rFonts w:ascii="Arial" w:hAnsi="Arial" w:cs="Arial"/>
        </w:rPr>
        <w:t>kreativnipraha.eu</w:t>
      </w:r>
    </w:p>
    <w:p w:rsidR="007C3C6E" w:rsidRPr="007C3C6E" w:rsidRDefault="007C3C6E" w:rsidP="007C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praha.camp</w:t>
      </w:r>
      <w:proofErr w:type="spellEnd"/>
    </w:p>
    <w:sectPr w:rsidR="007C3C6E" w:rsidRPr="007C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6E"/>
    <w:rsid w:val="007C3C6E"/>
    <w:rsid w:val="009572A1"/>
    <w:rsid w:val="00D7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8AB6-A7C6-4901-AD57-CC03282E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Útvar rozvoje hl. m. Prahy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Lébr Lukáš Ing. (IPR/SPI)</dc:creator>
  <cp:keywords/>
  <dc:description/>
  <cp:lastModifiedBy>Lébr Lukáš Ing. (IPR/SPI)</cp:lastModifiedBy>
  <cp:revision>1</cp:revision>
  <cp:lastPrinted>2018-03-29T08:51:00Z</cp:lastPrinted>
  <dcterms:created xsi:type="dcterms:W3CDTF">2018-03-29T08:39:00Z</dcterms:created>
  <dcterms:modified xsi:type="dcterms:W3CDTF">2018-03-29T08:53:00Z</dcterms:modified>
</cp:coreProperties>
</file>