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58B" w:rsidRDefault="0095158B" w:rsidP="0095158B">
      <w:pPr>
        <w:pStyle w:val="Nadpis30"/>
        <w:keepNext/>
        <w:keepLines/>
        <w:shd w:val="clear" w:color="auto" w:fill="auto"/>
        <w:spacing w:after="500" w:line="240" w:lineRule="auto"/>
        <w:ind w:left="0" w:firstLine="0"/>
        <w:jc w:val="left"/>
      </w:pPr>
      <w:bookmarkStart w:id="0" w:name="bookmark19"/>
      <w:r>
        <w:t>Příloha č. 1: Technická specifikace ze zadávací dokumentace zadávacího řízení</w:t>
      </w:r>
      <w:bookmarkEnd w:id="0"/>
    </w:p>
    <w:p w:rsidR="0095158B" w:rsidRDefault="0095158B" w:rsidP="0095158B">
      <w:pPr>
        <w:pStyle w:val="Zkladntext1"/>
        <w:shd w:val="clear" w:color="auto" w:fill="auto"/>
        <w:spacing w:after="300" w:line="269" w:lineRule="auto"/>
        <w:jc w:val="left"/>
      </w:pPr>
      <w:r>
        <w:t>Část E - Servery</w:t>
      </w:r>
    </w:p>
    <w:p w:rsidR="0095158B" w:rsidRDefault="0095158B" w:rsidP="0095158B">
      <w:pPr>
        <w:pStyle w:val="Nadpis30"/>
        <w:keepNext/>
        <w:keepLines/>
        <w:shd w:val="clear" w:color="auto" w:fill="auto"/>
        <w:spacing w:after="0" w:line="269" w:lineRule="auto"/>
        <w:ind w:left="0" w:firstLine="0"/>
        <w:jc w:val="left"/>
      </w:pPr>
      <w:bookmarkStart w:id="1" w:name="bookmark20"/>
      <w:r>
        <w:t>KOMODITA 2:</w:t>
      </w:r>
      <w:bookmarkEnd w:id="1"/>
    </w:p>
    <w:p w:rsidR="0095158B" w:rsidRDefault="0095158B" w:rsidP="0095158B">
      <w:pPr>
        <w:pStyle w:val="Zkladntext1"/>
        <w:numPr>
          <w:ilvl w:val="0"/>
          <w:numId w:val="1"/>
        </w:numPr>
        <w:shd w:val="clear" w:color="auto" w:fill="auto"/>
        <w:tabs>
          <w:tab w:val="left" w:pos="1082"/>
        </w:tabs>
        <w:spacing w:line="269" w:lineRule="auto"/>
        <w:ind w:left="1080" w:hanging="360"/>
      </w:pPr>
      <w:r>
        <w:t xml:space="preserve">Provedení: </w:t>
      </w:r>
      <w:r>
        <w:rPr>
          <w:lang w:val="en-US" w:bidi="en-US"/>
        </w:rPr>
        <w:t xml:space="preserve">rack </w:t>
      </w:r>
      <w:r>
        <w:t xml:space="preserve">19“, výška </w:t>
      </w:r>
      <w:r>
        <w:rPr>
          <w:lang w:val="en-US" w:bidi="en-US"/>
        </w:rPr>
        <w:t xml:space="preserve">max. </w:t>
      </w:r>
      <w:r>
        <w:t xml:space="preserve">2U, </w:t>
      </w:r>
      <w:proofErr w:type="spellStart"/>
      <w:r>
        <w:t>plnovýsuvné</w:t>
      </w:r>
      <w:proofErr w:type="spellEnd"/>
      <w:r>
        <w:t xml:space="preserve"> ližiny včetně ramena pro vedení kabeláže</w:t>
      </w:r>
    </w:p>
    <w:p w:rsidR="0095158B" w:rsidRDefault="0095158B" w:rsidP="0095158B">
      <w:pPr>
        <w:pStyle w:val="Zkladntext1"/>
        <w:numPr>
          <w:ilvl w:val="0"/>
          <w:numId w:val="1"/>
        </w:numPr>
        <w:shd w:val="clear" w:color="auto" w:fill="auto"/>
        <w:tabs>
          <w:tab w:val="left" w:pos="1082"/>
        </w:tabs>
        <w:spacing w:line="269" w:lineRule="auto"/>
        <w:ind w:left="1080" w:hanging="360"/>
      </w:pPr>
      <w:r>
        <w:t xml:space="preserve">CPU architektura x86 s 10 plnohodnotnými jádry. Taktovací frekvence min. 2,4 </w:t>
      </w:r>
      <w:r>
        <w:rPr>
          <w:lang w:val="en-US" w:bidi="en-US"/>
        </w:rPr>
        <w:t xml:space="preserve">GHz, </w:t>
      </w:r>
      <w:r>
        <w:t xml:space="preserve">FSB min. 2133 MHz, min. 25 </w:t>
      </w:r>
      <w:r>
        <w:rPr>
          <w:lang w:val="en-US" w:bidi="en-US"/>
        </w:rPr>
        <w:t xml:space="preserve">MB </w:t>
      </w:r>
      <w:r>
        <w:t xml:space="preserve">L </w:t>
      </w:r>
      <w:r>
        <w:rPr>
          <w:lang w:val="en-US" w:bidi="en-US"/>
        </w:rPr>
        <w:t xml:space="preserve">cache </w:t>
      </w:r>
      <w:r>
        <w:t xml:space="preserve">celkem, nebo v testu na </w:t>
      </w:r>
      <w:r>
        <w:rPr>
          <w:lang w:val="en-US" w:bidi="en-US"/>
        </w:rPr>
        <w:t xml:space="preserve">cpubenchmark.net </w:t>
      </w:r>
      <w:r>
        <w:t>minimálně 15750 bodů</w:t>
      </w:r>
    </w:p>
    <w:p w:rsidR="0095158B" w:rsidRDefault="0095158B" w:rsidP="0095158B">
      <w:pPr>
        <w:pStyle w:val="Zkladntext1"/>
        <w:numPr>
          <w:ilvl w:val="0"/>
          <w:numId w:val="1"/>
        </w:numPr>
        <w:shd w:val="clear" w:color="auto" w:fill="auto"/>
        <w:tabs>
          <w:tab w:val="left" w:pos="1082"/>
        </w:tabs>
        <w:spacing w:line="269" w:lineRule="auto"/>
        <w:ind w:left="1080" w:hanging="360"/>
      </w:pPr>
      <w:r>
        <w:t>1CPU osazeno a jeden volný slot na dodatečnou instalaci dalšího CPU</w:t>
      </w:r>
    </w:p>
    <w:p w:rsidR="0095158B" w:rsidRDefault="0095158B" w:rsidP="0095158B">
      <w:pPr>
        <w:pStyle w:val="Zkladntext1"/>
        <w:numPr>
          <w:ilvl w:val="0"/>
          <w:numId w:val="1"/>
        </w:numPr>
        <w:shd w:val="clear" w:color="auto" w:fill="auto"/>
        <w:tabs>
          <w:tab w:val="left" w:pos="1085"/>
        </w:tabs>
        <w:spacing w:line="269" w:lineRule="auto"/>
        <w:ind w:left="1080" w:hanging="360"/>
      </w:pPr>
      <w:r>
        <w:t>RAM 128 GB, DDR4-2133, ECC, pro možné budoucí použití zůstávají volné ještě min. 2 sloty při využití jednoho procesoru</w:t>
      </w:r>
    </w:p>
    <w:p w:rsidR="0095158B" w:rsidRDefault="0095158B" w:rsidP="0095158B">
      <w:pPr>
        <w:pStyle w:val="Zkladntext1"/>
        <w:numPr>
          <w:ilvl w:val="0"/>
          <w:numId w:val="1"/>
        </w:numPr>
        <w:shd w:val="clear" w:color="auto" w:fill="auto"/>
        <w:tabs>
          <w:tab w:val="left" w:pos="1085"/>
        </w:tabs>
        <w:spacing w:line="269" w:lineRule="auto"/>
        <w:ind w:left="1080" w:hanging="360"/>
      </w:pPr>
      <w:r>
        <w:t>Min. 4x LAN 10/100/1000 1</w:t>
      </w:r>
      <w:r>
        <w:rPr>
          <w:lang w:val="en-US" w:bidi="en-US"/>
        </w:rPr>
        <w:t xml:space="preserve">000BASE-T, </w:t>
      </w:r>
      <w:r>
        <w:t>síťové karty (</w:t>
      </w:r>
      <w:proofErr w:type="spellStart"/>
      <w:r>
        <w:t>chipsety</w:t>
      </w:r>
      <w:proofErr w:type="spellEnd"/>
      <w:r>
        <w:t>) od stejného výrobce</w:t>
      </w:r>
    </w:p>
    <w:p w:rsidR="0095158B" w:rsidRDefault="0095158B" w:rsidP="0095158B">
      <w:pPr>
        <w:pStyle w:val="Zkladntext1"/>
        <w:numPr>
          <w:ilvl w:val="0"/>
          <w:numId w:val="1"/>
        </w:numPr>
        <w:shd w:val="clear" w:color="auto" w:fill="auto"/>
        <w:tabs>
          <w:tab w:val="left" w:pos="1085"/>
        </w:tabs>
        <w:spacing w:line="269" w:lineRule="auto"/>
        <w:ind w:left="1080" w:hanging="360"/>
      </w:pPr>
      <w:r>
        <w:t>Min 2x 10Gbps SFP+ porty včetně 2ks MM zářičů, síťové karty (</w:t>
      </w:r>
      <w:proofErr w:type="spellStart"/>
      <w:r>
        <w:t>chipsety</w:t>
      </w:r>
      <w:proofErr w:type="spellEnd"/>
      <w:r>
        <w:t>) od stejného výrobce</w:t>
      </w:r>
    </w:p>
    <w:p w:rsidR="0095158B" w:rsidRDefault="0095158B" w:rsidP="0095158B">
      <w:pPr>
        <w:pStyle w:val="Zkladntext1"/>
        <w:numPr>
          <w:ilvl w:val="0"/>
          <w:numId w:val="1"/>
        </w:numPr>
        <w:shd w:val="clear" w:color="auto" w:fill="auto"/>
        <w:tabs>
          <w:tab w:val="left" w:pos="1085"/>
        </w:tabs>
        <w:spacing w:line="269" w:lineRule="auto"/>
        <w:ind w:left="1080" w:hanging="360"/>
      </w:pPr>
      <w:r>
        <w:t xml:space="preserve">Diskový řadič s podporou </w:t>
      </w:r>
      <w:r>
        <w:rPr>
          <w:lang w:val="en-US" w:bidi="en-US"/>
        </w:rPr>
        <w:t xml:space="preserve">RAID-1, </w:t>
      </w:r>
      <w:r>
        <w:t xml:space="preserve">RAID-5 zálohovaný </w:t>
      </w:r>
      <w:r>
        <w:rPr>
          <w:lang w:val="en-US" w:bidi="en-US"/>
        </w:rPr>
        <w:t xml:space="preserve">pro </w:t>
      </w:r>
      <w:proofErr w:type="spellStart"/>
      <w:r>
        <w:rPr>
          <w:lang w:val="en-US" w:bidi="en-US"/>
        </w:rPr>
        <w:t>vFLASH</w:t>
      </w:r>
      <w:proofErr w:type="spellEnd"/>
      <w:r>
        <w:rPr>
          <w:lang w:val="en-US" w:bidi="en-US"/>
        </w:rPr>
        <w:t xml:space="preserve"> read Cache </w:t>
      </w:r>
      <w:r>
        <w:t xml:space="preserve">disky, vytvoření 3 RAID skupin, velikost </w:t>
      </w:r>
      <w:r>
        <w:rPr>
          <w:lang w:val="en-US" w:bidi="en-US"/>
        </w:rPr>
        <w:t xml:space="preserve">cache </w:t>
      </w:r>
      <w:r>
        <w:t>min. 2GB, rychlost 12Gbit/s</w:t>
      </w:r>
    </w:p>
    <w:p w:rsidR="0095158B" w:rsidRDefault="0095158B" w:rsidP="0095158B">
      <w:pPr>
        <w:pStyle w:val="Zkladntext1"/>
        <w:numPr>
          <w:ilvl w:val="0"/>
          <w:numId w:val="1"/>
        </w:numPr>
        <w:shd w:val="clear" w:color="auto" w:fill="auto"/>
        <w:tabs>
          <w:tab w:val="left" w:pos="1085"/>
        </w:tabs>
        <w:spacing w:line="269" w:lineRule="auto"/>
        <w:ind w:left="1080" w:hanging="360"/>
      </w:pPr>
      <w:r>
        <w:t>2 ks SSD disků o kapacitě min. 70GB pro instalaci operačního systému, vzájemné zálohování - synchronní zrcadlo (RAID 1)</w:t>
      </w:r>
    </w:p>
    <w:p w:rsidR="0095158B" w:rsidRDefault="0095158B" w:rsidP="0095158B">
      <w:pPr>
        <w:pStyle w:val="Zkladntext1"/>
        <w:numPr>
          <w:ilvl w:val="0"/>
          <w:numId w:val="1"/>
        </w:numPr>
        <w:shd w:val="clear" w:color="auto" w:fill="auto"/>
        <w:tabs>
          <w:tab w:val="left" w:pos="1085"/>
        </w:tabs>
        <w:spacing w:line="269" w:lineRule="auto"/>
        <w:ind w:left="1080" w:hanging="360"/>
      </w:pPr>
      <w:r>
        <w:t xml:space="preserve">Server musí být </w:t>
      </w:r>
      <w:proofErr w:type="spellStart"/>
      <w:r>
        <w:t>osaditelný</w:t>
      </w:r>
      <w:proofErr w:type="spellEnd"/>
      <w:r>
        <w:t xml:space="preserve"> min. 8x </w:t>
      </w:r>
      <w:proofErr w:type="gramStart"/>
      <w:r>
        <w:t>2,5-palcovými</w:t>
      </w:r>
      <w:proofErr w:type="gramEnd"/>
      <w:r>
        <w:t xml:space="preserve"> disky v libovolné kombinaci disků SAS, </w:t>
      </w:r>
      <w:r>
        <w:rPr>
          <w:lang w:val="en-US" w:bidi="en-US"/>
        </w:rPr>
        <w:t xml:space="preserve">Near </w:t>
      </w:r>
      <w:r>
        <w:t>Line SAS, ŠATA i SSD zároveň - veškeré potřebné komponenty (řadič, diskové pozice, kabeláž, napájecí zdroje apod.) musí být již nyní osazeny tak, aby server bylo možné funkčně osadit plným počtem až. 8x HDD pouhým dodatečným vložením disků</w:t>
      </w:r>
    </w:p>
    <w:p w:rsidR="0095158B" w:rsidRDefault="0095158B" w:rsidP="0095158B">
      <w:pPr>
        <w:pStyle w:val="Zkladntext1"/>
        <w:numPr>
          <w:ilvl w:val="0"/>
          <w:numId w:val="1"/>
        </w:numPr>
        <w:shd w:val="clear" w:color="auto" w:fill="auto"/>
        <w:tabs>
          <w:tab w:val="left" w:pos="1186"/>
        </w:tabs>
        <w:spacing w:line="269" w:lineRule="auto"/>
        <w:ind w:left="1080" w:hanging="360"/>
      </w:pPr>
      <w:r>
        <w:t xml:space="preserve">V serveru musí zůstat 1 volný </w:t>
      </w:r>
      <w:proofErr w:type="spellStart"/>
      <w:r>
        <w:t>PCIe</w:t>
      </w:r>
      <w:proofErr w:type="spellEnd"/>
      <w:r>
        <w:t xml:space="preserve"> slot při využití jednoho procesoru 2 ks hot- swap zdroje napájení dimenzované pro plné osazení serveru disky, účinnost min. 94%</w:t>
      </w:r>
    </w:p>
    <w:p w:rsidR="0095158B" w:rsidRDefault="0095158B" w:rsidP="0095158B">
      <w:pPr>
        <w:pStyle w:val="Zkladntext1"/>
        <w:numPr>
          <w:ilvl w:val="0"/>
          <w:numId w:val="1"/>
        </w:numPr>
        <w:shd w:val="clear" w:color="auto" w:fill="auto"/>
        <w:tabs>
          <w:tab w:val="left" w:pos="1186"/>
        </w:tabs>
        <w:spacing w:line="269" w:lineRule="auto"/>
        <w:ind w:left="1080" w:hanging="360"/>
      </w:pPr>
      <w:r>
        <w:t xml:space="preserve">IPMI 2.0 popř. obdoba, možnost vzdáleného převzetí grafické konsole bez závislosti na </w:t>
      </w:r>
      <w:proofErr w:type="gramStart"/>
      <w:r>
        <w:t>OS</w:t>
      </w:r>
      <w:proofErr w:type="gramEnd"/>
      <w:r>
        <w:t xml:space="preserve">, webový klient, vzdálený </w:t>
      </w:r>
      <w:r>
        <w:rPr>
          <w:lang w:val="en-US" w:bidi="en-US"/>
        </w:rPr>
        <w:t xml:space="preserve">mount </w:t>
      </w:r>
      <w:r>
        <w:t xml:space="preserve">DVD media, USB, dedikovaný port (není součástí požadovaného počtu </w:t>
      </w:r>
      <w:proofErr w:type="spellStart"/>
      <w:r>
        <w:t>ethernet</w:t>
      </w:r>
      <w:proofErr w:type="spellEnd"/>
      <w:r>
        <w:t xml:space="preserve"> portů)</w:t>
      </w:r>
    </w:p>
    <w:p w:rsidR="0095158B" w:rsidRDefault="0095158B" w:rsidP="0095158B">
      <w:pPr>
        <w:pStyle w:val="Zkladntext1"/>
        <w:numPr>
          <w:ilvl w:val="0"/>
          <w:numId w:val="1"/>
        </w:numPr>
        <w:shd w:val="clear" w:color="auto" w:fill="auto"/>
        <w:tabs>
          <w:tab w:val="left" w:pos="1191"/>
        </w:tabs>
        <w:spacing w:line="269" w:lineRule="auto"/>
        <w:ind w:left="1080" w:hanging="360"/>
      </w:pPr>
      <w:r>
        <w:t>Vyčítání přes SNMP celkového zdraví serveru bez nutnosti instalovat OS - jeden parametr v MIB</w:t>
      </w:r>
    </w:p>
    <w:p w:rsidR="0095158B" w:rsidRDefault="0095158B" w:rsidP="0095158B">
      <w:pPr>
        <w:pStyle w:val="Zkladntext1"/>
        <w:numPr>
          <w:ilvl w:val="0"/>
          <w:numId w:val="1"/>
        </w:numPr>
        <w:shd w:val="clear" w:color="auto" w:fill="auto"/>
        <w:tabs>
          <w:tab w:val="left" w:pos="1191"/>
        </w:tabs>
        <w:spacing w:line="269" w:lineRule="auto"/>
        <w:ind w:left="1080" w:hanging="360"/>
      </w:pPr>
      <w:r>
        <w:t>Kompatibilita s OS Windows 2012R2 a novější, VMWARE ESX 6 a vyšší dle veřejně dostupného seznamu</w:t>
      </w:r>
    </w:p>
    <w:p w:rsidR="0095158B" w:rsidRDefault="0095158B" w:rsidP="0095158B">
      <w:pPr>
        <w:pStyle w:val="Zkladntext1"/>
        <w:shd w:val="clear" w:color="auto" w:fill="auto"/>
        <w:spacing w:line="269" w:lineRule="auto"/>
        <w:ind w:left="1080"/>
        <w:jc w:val="left"/>
      </w:pPr>
      <w:r>
        <w:t>(např.</w:t>
      </w:r>
    </w:p>
    <w:p w:rsidR="0095158B" w:rsidRDefault="0095158B" w:rsidP="0095158B">
      <w:pPr>
        <w:pStyle w:val="Zkladntext1"/>
        <w:shd w:val="clear" w:color="auto" w:fill="auto"/>
        <w:spacing w:line="269" w:lineRule="auto"/>
        <w:ind w:left="1080"/>
        <w:jc w:val="left"/>
      </w:pPr>
      <w:hyperlink r:id="rId6" w:history="1">
        <w:r>
          <w:t>http://www.vmware.com/resources/compatibility/search.php?deviceCategory=serv</w:t>
        </w:r>
      </w:hyperlink>
    </w:p>
    <w:p w:rsidR="0095158B" w:rsidRDefault="0095158B" w:rsidP="0095158B">
      <w:pPr>
        <w:pStyle w:val="Zkladntext1"/>
        <w:shd w:val="clear" w:color="auto" w:fill="auto"/>
        <w:spacing w:line="269" w:lineRule="auto"/>
        <w:ind w:left="1080"/>
        <w:jc w:val="left"/>
      </w:pPr>
      <w:proofErr w:type="spellStart"/>
      <w:r>
        <w:t>er</w:t>
      </w:r>
      <w:proofErr w:type="spellEnd"/>
      <w:r>
        <w:t>)</w:t>
      </w:r>
    </w:p>
    <w:p w:rsidR="0095158B" w:rsidRDefault="0095158B" w:rsidP="0095158B">
      <w:pPr>
        <w:pStyle w:val="Zkladntext1"/>
        <w:numPr>
          <w:ilvl w:val="0"/>
          <w:numId w:val="1"/>
        </w:numPr>
        <w:shd w:val="clear" w:color="auto" w:fill="auto"/>
        <w:tabs>
          <w:tab w:val="left" w:pos="1191"/>
        </w:tabs>
        <w:spacing w:after="400" w:line="269" w:lineRule="auto"/>
        <w:ind w:left="1080" w:hanging="360"/>
        <w:sectPr w:rsidR="0095158B">
          <w:footerReference w:type="default" r:id="rId7"/>
          <w:pgSz w:w="11900" w:h="16840"/>
          <w:pgMar w:top="1556" w:right="1411" w:bottom="1556" w:left="1388" w:header="0" w:footer="3" w:gutter="0"/>
          <w:cols w:space="720"/>
          <w:noEndnote/>
          <w:docGrid w:linePitch="360"/>
        </w:sectPr>
      </w:pPr>
      <w:r>
        <w:t>Záruční a servisní požadavky dle rámcové smlouvy</w:t>
      </w:r>
    </w:p>
    <w:p w:rsidR="0095158B" w:rsidRDefault="0095158B" w:rsidP="0095158B">
      <w:pPr>
        <w:pStyle w:val="Zkladntext30"/>
        <w:shd w:val="clear" w:color="auto" w:fill="auto"/>
      </w:pPr>
      <w:r>
        <w:lastRenderedPageBreak/>
        <w:t>Příloha výzvy - položkový seznam požadovaného plnění</w:t>
      </w:r>
    </w:p>
    <w:p w:rsidR="0095158B" w:rsidRDefault="0095158B" w:rsidP="0095158B">
      <w:pPr>
        <w:pStyle w:val="Zkladntext30"/>
        <w:shd w:val="clear" w:color="auto" w:fill="auto"/>
        <w:spacing w:after="160"/>
      </w:pPr>
      <w:r>
        <w:t>Veřejná zakázka: Rámcové smlouvy na dodávky ICT komponent, část E-servery</w:t>
      </w:r>
    </w:p>
    <w:p w:rsidR="0095158B" w:rsidRDefault="0095158B" w:rsidP="0095158B">
      <w:pPr>
        <w:pStyle w:val="Zkladntext30"/>
        <w:shd w:val="clear" w:color="auto" w:fill="auto"/>
        <w:tabs>
          <w:tab w:val="left" w:pos="996"/>
        </w:tabs>
      </w:pPr>
      <w:r>
        <w:t>Prodávající:</w:t>
      </w:r>
      <w:r>
        <w:tab/>
        <w:t>AUTOCONT a.s.</w:t>
      </w:r>
    </w:p>
    <w:p w:rsidR="0095158B" w:rsidRDefault="0095158B" w:rsidP="0095158B">
      <w:pPr>
        <w:pStyle w:val="Zkladntext30"/>
        <w:shd w:val="clear" w:color="auto" w:fill="auto"/>
        <w:tabs>
          <w:tab w:val="left" w:pos="996"/>
        </w:tabs>
      </w:pPr>
      <w:r>
        <w:t>Část E</w:t>
      </w:r>
      <w:r>
        <w:tab/>
        <w:t>Servery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2"/>
        <w:gridCol w:w="3442"/>
        <w:gridCol w:w="840"/>
        <w:gridCol w:w="1042"/>
        <w:gridCol w:w="1094"/>
        <w:gridCol w:w="1219"/>
        <w:gridCol w:w="1152"/>
        <w:gridCol w:w="1234"/>
        <w:gridCol w:w="1502"/>
        <w:gridCol w:w="648"/>
        <w:gridCol w:w="672"/>
        <w:gridCol w:w="730"/>
      </w:tblGrid>
      <w:tr w:rsidR="0095158B" w:rsidTr="008967D4">
        <w:trPr>
          <w:trHeight w:hRule="exact" w:val="173"/>
          <w:jc w:val="center"/>
        </w:trPr>
        <w:tc>
          <w:tcPr>
            <w:tcW w:w="1042" w:type="dxa"/>
            <w:vMerge w:val="restart"/>
            <w:tcBorders>
              <w:top w:val="single" w:sz="4" w:space="0" w:color="auto"/>
              <w:left w:val="single" w:sz="4" w:space="0" w:color="auto"/>
            </w:tcBorders>
            <w:shd w:val="clear" w:color="auto" w:fill="FFFFFF"/>
            <w:vAlign w:val="center"/>
          </w:tcPr>
          <w:p w:rsidR="0095158B" w:rsidRDefault="0095158B" w:rsidP="008967D4">
            <w:pPr>
              <w:pStyle w:val="Jin0"/>
              <w:shd w:val="clear" w:color="auto" w:fill="auto"/>
              <w:spacing w:line="240" w:lineRule="auto"/>
              <w:jc w:val="center"/>
              <w:rPr>
                <w:sz w:val="12"/>
                <w:szCs w:val="12"/>
              </w:rPr>
            </w:pPr>
            <w:r>
              <w:rPr>
                <w:sz w:val="12"/>
                <w:szCs w:val="12"/>
              </w:rPr>
              <w:t>Položka</w:t>
            </w:r>
          </w:p>
          <w:p w:rsidR="0095158B" w:rsidRDefault="0095158B" w:rsidP="008967D4">
            <w:pPr>
              <w:pStyle w:val="Jin0"/>
              <w:shd w:val="clear" w:color="auto" w:fill="auto"/>
              <w:spacing w:line="240" w:lineRule="auto"/>
              <w:jc w:val="center"/>
              <w:rPr>
                <w:sz w:val="12"/>
                <w:szCs w:val="12"/>
              </w:rPr>
            </w:pPr>
            <w:r>
              <w:rPr>
                <w:sz w:val="12"/>
                <w:szCs w:val="12"/>
              </w:rPr>
              <w:t>(komodita)</w:t>
            </w:r>
          </w:p>
        </w:tc>
        <w:tc>
          <w:tcPr>
            <w:tcW w:w="3442" w:type="dxa"/>
            <w:vMerge w:val="restart"/>
            <w:tcBorders>
              <w:top w:val="single" w:sz="4" w:space="0" w:color="auto"/>
              <w:left w:val="single" w:sz="4" w:space="0" w:color="auto"/>
            </w:tcBorders>
            <w:shd w:val="clear" w:color="auto" w:fill="FFFFFF"/>
            <w:vAlign w:val="center"/>
          </w:tcPr>
          <w:p w:rsidR="0095158B" w:rsidRDefault="0095158B" w:rsidP="008967D4">
            <w:pPr>
              <w:pStyle w:val="Jin0"/>
              <w:shd w:val="clear" w:color="auto" w:fill="auto"/>
              <w:spacing w:line="240" w:lineRule="auto"/>
              <w:jc w:val="center"/>
              <w:rPr>
                <w:sz w:val="12"/>
                <w:szCs w:val="12"/>
              </w:rPr>
            </w:pPr>
            <w:r>
              <w:rPr>
                <w:sz w:val="12"/>
                <w:szCs w:val="12"/>
              </w:rPr>
              <w:t>Popis</w:t>
            </w:r>
            <w:r>
              <w:rPr>
                <w:sz w:val="12"/>
                <w:szCs w:val="12"/>
                <w:vertAlign w:val="superscript"/>
              </w:rPr>
              <w:t>1</w:t>
            </w:r>
          </w:p>
        </w:tc>
        <w:tc>
          <w:tcPr>
            <w:tcW w:w="840" w:type="dxa"/>
            <w:vMerge w:val="restart"/>
            <w:tcBorders>
              <w:top w:val="single" w:sz="4" w:space="0" w:color="auto"/>
              <w:left w:val="single" w:sz="4" w:space="0" w:color="auto"/>
            </w:tcBorders>
            <w:shd w:val="clear" w:color="auto" w:fill="FFFFFF"/>
            <w:vAlign w:val="center"/>
          </w:tcPr>
          <w:p w:rsidR="0095158B" w:rsidRDefault="0095158B" w:rsidP="008967D4">
            <w:pPr>
              <w:pStyle w:val="Jin0"/>
              <w:shd w:val="clear" w:color="auto" w:fill="auto"/>
              <w:spacing w:line="240" w:lineRule="auto"/>
              <w:jc w:val="center"/>
              <w:rPr>
                <w:sz w:val="12"/>
                <w:szCs w:val="12"/>
              </w:rPr>
            </w:pPr>
            <w:r>
              <w:rPr>
                <w:sz w:val="12"/>
                <w:szCs w:val="12"/>
              </w:rPr>
              <w:t>Počet kusů</w:t>
            </w:r>
          </w:p>
        </w:tc>
        <w:tc>
          <w:tcPr>
            <w:tcW w:w="1042" w:type="dxa"/>
            <w:vMerge w:val="restart"/>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83" w:lineRule="auto"/>
              <w:jc w:val="center"/>
              <w:rPr>
                <w:sz w:val="12"/>
                <w:szCs w:val="12"/>
              </w:rPr>
            </w:pPr>
            <w:r>
              <w:rPr>
                <w:sz w:val="12"/>
                <w:szCs w:val="12"/>
              </w:rPr>
              <w:t xml:space="preserve">Maximální </w:t>
            </w:r>
            <w:proofErr w:type="spellStart"/>
            <w:r>
              <w:rPr>
                <w:sz w:val="12"/>
                <w:szCs w:val="12"/>
              </w:rPr>
              <w:t>jednoková</w:t>
            </w:r>
            <w:proofErr w:type="spellEnd"/>
            <w:r>
              <w:rPr>
                <w:sz w:val="12"/>
                <w:szCs w:val="12"/>
              </w:rPr>
              <w:t xml:space="preserve"> cena dle RS</w:t>
            </w:r>
          </w:p>
        </w:tc>
        <w:tc>
          <w:tcPr>
            <w:tcW w:w="1094" w:type="dxa"/>
            <w:vMerge w:val="restart"/>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88" w:lineRule="auto"/>
              <w:jc w:val="center"/>
              <w:rPr>
                <w:sz w:val="12"/>
                <w:szCs w:val="12"/>
              </w:rPr>
            </w:pPr>
            <w:r>
              <w:rPr>
                <w:sz w:val="12"/>
                <w:szCs w:val="12"/>
              </w:rPr>
              <w:t>Cena Kč bez DPH za jeden kus</w:t>
            </w:r>
          </w:p>
        </w:tc>
        <w:tc>
          <w:tcPr>
            <w:tcW w:w="1219" w:type="dxa"/>
            <w:vMerge w:val="restart"/>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76" w:lineRule="auto"/>
              <w:jc w:val="center"/>
              <w:rPr>
                <w:sz w:val="12"/>
                <w:szCs w:val="12"/>
              </w:rPr>
            </w:pPr>
            <w:r>
              <w:rPr>
                <w:sz w:val="12"/>
                <w:szCs w:val="12"/>
              </w:rPr>
              <w:t>Cena celkem Kč bez DPH (počet ks x JC)</w:t>
            </w:r>
          </w:p>
        </w:tc>
        <w:tc>
          <w:tcPr>
            <w:tcW w:w="115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left"/>
              <w:rPr>
                <w:sz w:val="12"/>
                <w:szCs w:val="12"/>
              </w:rPr>
            </w:pPr>
            <w:r>
              <w:rPr>
                <w:sz w:val="12"/>
                <w:szCs w:val="12"/>
              </w:rPr>
              <w:t>Sazba DPH %</w:t>
            </w:r>
          </w:p>
        </w:tc>
        <w:tc>
          <w:tcPr>
            <w:tcW w:w="1234" w:type="dxa"/>
            <w:vMerge w:val="restart"/>
            <w:tcBorders>
              <w:top w:val="single" w:sz="4" w:space="0" w:color="auto"/>
              <w:left w:val="single" w:sz="4" w:space="0" w:color="auto"/>
            </w:tcBorders>
            <w:shd w:val="clear" w:color="auto" w:fill="FFFFFF"/>
            <w:vAlign w:val="center"/>
          </w:tcPr>
          <w:p w:rsidR="0095158B" w:rsidRDefault="0095158B" w:rsidP="008967D4">
            <w:pPr>
              <w:pStyle w:val="Jin0"/>
              <w:shd w:val="clear" w:color="auto" w:fill="auto"/>
              <w:spacing w:line="240" w:lineRule="auto"/>
              <w:jc w:val="center"/>
              <w:rPr>
                <w:sz w:val="12"/>
                <w:szCs w:val="12"/>
              </w:rPr>
            </w:pPr>
            <w:r>
              <w:rPr>
                <w:sz w:val="12"/>
                <w:szCs w:val="12"/>
              </w:rPr>
              <w:t>Cena celkem Kč s</w:t>
            </w:r>
          </w:p>
          <w:p w:rsidR="0095158B" w:rsidRDefault="0095158B" w:rsidP="008967D4">
            <w:pPr>
              <w:pStyle w:val="Jin0"/>
              <w:shd w:val="clear" w:color="auto" w:fill="auto"/>
              <w:spacing w:line="240" w:lineRule="auto"/>
              <w:jc w:val="center"/>
              <w:rPr>
                <w:sz w:val="12"/>
                <w:szCs w:val="12"/>
              </w:rPr>
            </w:pPr>
            <w:r>
              <w:rPr>
                <w:sz w:val="12"/>
                <w:szCs w:val="12"/>
              </w:rPr>
              <w:t>DPH</w:t>
            </w:r>
          </w:p>
        </w:tc>
        <w:tc>
          <w:tcPr>
            <w:tcW w:w="1502" w:type="dxa"/>
            <w:vMerge w:val="restart"/>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83" w:lineRule="auto"/>
              <w:jc w:val="center"/>
              <w:rPr>
                <w:sz w:val="12"/>
                <w:szCs w:val="12"/>
              </w:rPr>
            </w:pPr>
            <w:r>
              <w:rPr>
                <w:sz w:val="12"/>
                <w:szCs w:val="12"/>
              </w:rPr>
              <w:t>Název nabízeného výrobku a označení výrobce</w:t>
            </w:r>
          </w:p>
        </w:tc>
        <w:tc>
          <w:tcPr>
            <w:tcW w:w="2050" w:type="dxa"/>
            <w:gridSpan w:val="3"/>
            <w:tcBorders>
              <w:top w:val="single" w:sz="4" w:space="0" w:color="auto"/>
              <w:left w:val="single" w:sz="4" w:space="0" w:color="auto"/>
              <w:right w:val="single" w:sz="4" w:space="0" w:color="auto"/>
            </w:tcBorders>
            <w:shd w:val="clear" w:color="auto" w:fill="FFFFFF"/>
            <w:vAlign w:val="bottom"/>
          </w:tcPr>
          <w:p w:rsidR="0095158B" w:rsidRDefault="0095158B" w:rsidP="008967D4">
            <w:pPr>
              <w:pStyle w:val="Jin0"/>
              <w:shd w:val="clear" w:color="auto" w:fill="auto"/>
              <w:spacing w:line="240" w:lineRule="auto"/>
              <w:jc w:val="center"/>
              <w:rPr>
                <w:sz w:val="12"/>
                <w:szCs w:val="12"/>
              </w:rPr>
            </w:pPr>
            <w:r>
              <w:rPr>
                <w:sz w:val="12"/>
                <w:szCs w:val="12"/>
              </w:rPr>
              <w:t>součást položky dle ZD a</w:t>
            </w:r>
          </w:p>
        </w:tc>
      </w:tr>
      <w:tr w:rsidR="0095158B" w:rsidTr="008967D4">
        <w:trPr>
          <w:trHeight w:hRule="exact" w:val="317"/>
          <w:jc w:val="center"/>
        </w:trPr>
        <w:tc>
          <w:tcPr>
            <w:tcW w:w="1042" w:type="dxa"/>
            <w:vMerge/>
            <w:tcBorders>
              <w:left w:val="single" w:sz="4" w:space="0" w:color="auto"/>
            </w:tcBorders>
            <w:shd w:val="clear" w:color="auto" w:fill="FFFFFF"/>
            <w:vAlign w:val="center"/>
          </w:tcPr>
          <w:p w:rsidR="0095158B" w:rsidRDefault="0095158B" w:rsidP="008967D4"/>
        </w:tc>
        <w:tc>
          <w:tcPr>
            <w:tcW w:w="3442" w:type="dxa"/>
            <w:vMerge/>
            <w:tcBorders>
              <w:left w:val="single" w:sz="4" w:space="0" w:color="auto"/>
            </w:tcBorders>
            <w:shd w:val="clear" w:color="auto" w:fill="FFFFFF"/>
            <w:vAlign w:val="center"/>
          </w:tcPr>
          <w:p w:rsidR="0095158B" w:rsidRDefault="0095158B" w:rsidP="008967D4"/>
        </w:tc>
        <w:tc>
          <w:tcPr>
            <w:tcW w:w="840" w:type="dxa"/>
            <w:vMerge/>
            <w:tcBorders>
              <w:left w:val="single" w:sz="4" w:space="0" w:color="auto"/>
            </w:tcBorders>
            <w:shd w:val="clear" w:color="auto" w:fill="FFFFFF"/>
            <w:vAlign w:val="center"/>
          </w:tcPr>
          <w:p w:rsidR="0095158B" w:rsidRDefault="0095158B" w:rsidP="008967D4"/>
        </w:tc>
        <w:tc>
          <w:tcPr>
            <w:tcW w:w="1042" w:type="dxa"/>
            <w:vMerge/>
            <w:tcBorders>
              <w:left w:val="single" w:sz="4" w:space="0" w:color="auto"/>
            </w:tcBorders>
            <w:shd w:val="clear" w:color="auto" w:fill="FFFFFF"/>
            <w:vAlign w:val="bottom"/>
          </w:tcPr>
          <w:p w:rsidR="0095158B" w:rsidRDefault="0095158B" w:rsidP="008967D4"/>
        </w:tc>
        <w:tc>
          <w:tcPr>
            <w:tcW w:w="1094" w:type="dxa"/>
            <w:vMerge/>
            <w:tcBorders>
              <w:left w:val="single" w:sz="4" w:space="0" w:color="auto"/>
            </w:tcBorders>
            <w:shd w:val="clear" w:color="auto" w:fill="FFFFFF"/>
            <w:vAlign w:val="bottom"/>
          </w:tcPr>
          <w:p w:rsidR="0095158B" w:rsidRDefault="0095158B" w:rsidP="008967D4"/>
        </w:tc>
        <w:tc>
          <w:tcPr>
            <w:tcW w:w="1219" w:type="dxa"/>
            <w:vMerge/>
            <w:tcBorders>
              <w:left w:val="single" w:sz="4" w:space="0" w:color="auto"/>
            </w:tcBorders>
            <w:shd w:val="clear" w:color="auto" w:fill="FFFFFF"/>
            <w:vAlign w:val="bottom"/>
          </w:tcPr>
          <w:p w:rsidR="0095158B" w:rsidRDefault="0095158B" w:rsidP="008967D4"/>
        </w:tc>
        <w:tc>
          <w:tcPr>
            <w:tcW w:w="1152" w:type="dxa"/>
            <w:tcBorders>
              <w:top w:val="single" w:sz="4" w:space="0" w:color="auto"/>
              <w:left w:val="single" w:sz="4" w:space="0" w:color="auto"/>
            </w:tcBorders>
            <w:shd w:val="clear" w:color="auto" w:fill="FFFFFF"/>
            <w:vAlign w:val="center"/>
          </w:tcPr>
          <w:p w:rsidR="0095158B" w:rsidRDefault="0095158B" w:rsidP="008967D4">
            <w:pPr>
              <w:pStyle w:val="Jin0"/>
              <w:shd w:val="clear" w:color="auto" w:fill="auto"/>
              <w:spacing w:line="240" w:lineRule="auto"/>
              <w:jc w:val="right"/>
              <w:rPr>
                <w:sz w:val="12"/>
                <w:szCs w:val="12"/>
              </w:rPr>
            </w:pPr>
            <w:r>
              <w:rPr>
                <w:sz w:val="12"/>
                <w:szCs w:val="12"/>
              </w:rPr>
              <w:t>21</w:t>
            </w:r>
          </w:p>
        </w:tc>
        <w:tc>
          <w:tcPr>
            <w:tcW w:w="1234" w:type="dxa"/>
            <w:vMerge/>
            <w:tcBorders>
              <w:left w:val="single" w:sz="4" w:space="0" w:color="auto"/>
            </w:tcBorders>
            <w:shd w:val="clear" w:color="auto" w:fill="FFFFFF"/>
            <w:vAlign w:val="center"/>
          </w:tcPr>
          <w:p w:rsidR="0095158B" w:rsidRDefault="0095158B" w:rsidP="008967D4"/>
        </w:tc>
        <w:tc>
          <w:tcPr>
            <w:tcW w:w="1502" w:type="dxa"/>
            <w:vMerge/>
            <w:tcBorders>
              <w:left w:val="single" w:sz="4" w:space="0" w:color="auto"/>
            </w:tcBorders>
            <w:shd w:val="clear" w:color="auto" w:fill="FFFFFF"/>
            <w:vAlign w:val="bottom"/>
          </w:tcPr>
          <w:p w:rsidR="0095158B" w:rsidRDefault="0095158B" w:rsidP="008967D4"/>
        </w:tc>
        <w:tc>
          <w:tcPr>
            <w:tcW w:w="648" w:type="dxa"/>
            <w:tcBorders>
              <w:top w:val="single" w:sz="4" w:space="0" w:color="auto"/>
              <w:left w:val="single" w:sz="4" w:space="0" w:color="auto"/>
            </w:tcBorders>
            <w:shd w:val="clear" w:color="auto" w:fill="FFFFFF"/>
            <w:vAlign w:val="center"/>
          </w:tcPr>
          <w:p w:rsidR="0095158B" w:rsidRDefault="0095158B" w:rsidP="008967D4">
            <w:pPr>
              <w:pStyle w:val="Jin0"/>
              <w:shd w:val="clear" w:color="auto" w:fill="auto"/>
              <w:spacing w:line="240" w:lineRule="auto"/>
              <w:jc w:val="center"/>
              <w:rPr>
                <w:sz w:val="12"/>
                <w:szCs w:val="12"/>
              </w:rPr>
            </w:pPr>
            <w:r>
              <w:rPr>
                <w:sz w:val="12"/>
                <w:szCs w:val="12"/>
              </w:rPr>
              <w:t>Doprava</w:t>
            </w:r>
          </w:p>
        </w:tc>
        <w:tc>
          <w:tcPr>
            <w:tcW w:w="672" w:type="dxa"/>
            <w:tcBorders>
              <w:top w:val="single" w:sz="4" w:space="0" w:color="auto"/>
              <w:left w:val="single" w:sz="4" w:space="0" w:color="auto"/>
            </w:tcBorders>
            <w:shd w:val="clear" w:color="auto" w:fill="FFFFFF"/>
            <w:vAlign w:val="center"/>
          </w:tcPr>
          <w:p w:rsidR="0095158B" w:rsidRDefault="0095158B" w:rsidP="008967D4">
            <w:pPr>
              <w:pStyle w:val="Jin0"/>
              <w:shd w:val="clear" w:color="auto" w:fill="auto"/>
              <w:spacing w:line="240" w:lineRule="auto"/>
              <w:jc w:val="left"/>
              <w:rPr>
                <w:sz w:val="12"/>
                <w:szCs w:val="12"/>
              </w:rPr>
            </w:pPr>
            <w:r>
              <w:rPr>
                <w:sz w:val="12"/>
                <w:szCs w:val="12"/>
              </w:rPr>
              <w:t>Instalace</w:t>
            </w:r>
          </w:p>
        </w:tc>
        <w:tc>
          <w:tcPr>
            <w:tcW w:w="730" w:type="dxa"/>
            <w:tcBorders>
              <w:top w:val="single" w:sz="4" w:space="0" w:color="auto"/>
              <w:left w:val="single" w:sz="4" w:space="0" w:color="auto"/>
              <w:right w:val="single" w:sz="4" w:space="0" w:color="auto"/>
            </w:tcBorders>
            <w:shd w:val="clear" w:color="auto" w:fill="FFFFFF"/>
            <w:vAlign w:val="bottom"/>
          </w:tcPr>
          <w:p w:rsidR="0095158B" w:rsidRDefault="0095158B" w:rsidP="008967D4">
            <w:pPr>
              <w:pStyle w:val="Jin0"/>
              <w:shd w:val="clear" w:color="auto" w:fill="auto"/>
              <w:spacing w:line="240" w:lineRule="auto"/>
              <w:jc w:val="left"/>
              <w:rPr>
                <w:sz w:val="12"/>
                <w:szCs w:val="12"/>
              </w:rPr>
            </w:pPr>
            <w:r>
              <w:rPr>
                <w:sz w:val="12"/>
                <w:szCs w:val="12"/>
              </w:rPr>
              <w:t>Technický</w:t>
            </w:r>
          </w:p>
          <w:p w:rsidR="0095158B" w:rsidRDefault="0095158B" w:rsidP="008967D4">
            <w:pPr>
              <w:pStyle w:val="Jin0"/>
              <w:shd w:val="clear" w:color="auto" w:fill="auto"/>
              <w:spacing w:line="240" w:lineRule="auto"/>
              <w:jc w:val="center"/>
              <w:rPr>
                <w:sz w:val="12"/>
                <w:szCs w:val="12"/>
              </w:rPr>
            </w:pPr>
            <w:r>
              <w:rPr>
                <w:sz w:val="12"/>
                <w:szCs w:val="12"/>
              </w:rPr>
              <w:t>list</w:t>
            </w:r>
          </w:p>
        </w:tc>
      </w:tr>
      <w:tr w:rsidR="0095158B" w:rsidTr="008967D4">
        <w:trPr>
          <w:trHeight w:hRule="exact" w:val="158"/>
          <w:jc w:val="center"/>
        </w:trPr>
        <w:tc>
          <w:tcPr>
            <w:tcW w:w="104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left"/>
              <w:rPr>
                <w:sz w:val="12"/>
                <w:szCs w:val="12"/>
              </w:rPr>
            </w:pPr>
            <w:r>
              <w:rPr>
                <w:sz w:val="12"/>
                <w:szCs w:val="12"/>
              </w:rPr>
              <w:t>1.</w:t>
            </w:r>
          </w:p>
        </w:tc>
        <w:tc>
          <w:tcPr>
            <w:tcW w:w="344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left"/>
              <w:rPr>
                <w:sz w:val="12"/>
                <w:szCs w:val="12"/>
              </w:rPr>
            </w:pPr>
            <w:r>
              <w:rPr>
                <w:sz w:val="12"/>
                <w:szCs w:val="12"/>
              </w:rPr>
              <w:t>konfigurace komodita 1 dle specifikace</w:t>
            </w:r>
          </w:p>
        </w:tc>
        <w:tc>
          <w:tcPr>
            <w:tcW w:w="840" w:type="dxa"/>
            <w:tcBorders>
              <w:top w:val="single" w:sz="4" w:space="0" w:color="auto"/>
              <w:left w:val="single" w:sz="4" w:space="0" w:color="auto"/>
            </w:tcBorders>
            <w:shd w:val="clear" w:color="auto" w:fill="FFFFFF"/>
          </w:tcPr>
          <w:p w:rsidR="0095158B" w:rsidRDefault="0095158B" w:rsidP="008967D4">
            <w:pPr>
              <w:rPr>
                <w:sz w:val="10"/>
                <w:szCs w:val="10"/>
              </w:rPr>
            </w:pPr>
          </w:p>
        </w:tc>
        <w:tc>
          <w:tcPr>
            <w:tcW w:w="104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225 900,00 Kč</w:t>
            </w:r>
          </w:p>
        </w:tc>
        <w:tc>
          <w:tcPr>
            <w:tcW w:w="1094" w:type="dxa"/>
            <w:tcBorders>
              <w:top w:val="single" w:sz="4" w:space="0" w:color="auto"/>
              <w:left w:val="single" w:sz="4" w:space="0" w:color="auto"/>
            </w:tcBorders>
            <w:shd w:val="clear" w:color="auto" w:fill="FFFFFF"/>
          </w:tcPr>
          <w:p w:rsidR="0095158B" w:rsidRDefault="0095158B" w:rsidP="008967D4">
            <w:pPr>
              <w:rPr>
                <w:sz w:val="10"/>
                <w:szCs w:val="10"/>
              </w:rPr>
            </w:pPr>
          </w:p>
        </w:tc>
        <w:tc>
          <w:tcPr>
            <w:tcW w:w="1219"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0,00 Kč</w:t>
            </w:r>
          </w:p>
        </w:tc>
        <w:tc>
          <w:tcPr>
            <w:tcW w:w="115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0,00 Kč</w:t>
            </w:r>
          </w:p>
        </w:tc>
        <w:tc>
          <w:tcPr>
            <w:tcW w:w="1234"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0,00 Kč</w:t>
            </w:r>
          </w:p>
        </w:tc>
        <w:tc>
          <w:tcPr>
            <w:tcW w:w="150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left"/>
              <w:rPr>
                <w:sz w:val="12"/>
                <w:szCs w:val="12"/>
              </w:rPr>
            </w:pPr>
            <w:r>
              <w:rPr>
                <w:sz w:val="12"/>
                <w:szCs w:val="12"/>
              </w:rPr>
              <w:t xml:space="preserve">Dell </w:t>
            </w:r>
            <w:r>
              <w:rPr>
                <w:sz w:val="12"/>
                <w:szCs w:val="12"/>
                <w:lang w:val="en-US" w:bidi="en-US"/>
              </w:rPr>
              <w:t xml:space="preserve">PowerEdge </w:t>
            </w:r>
            <w:r>
              <w:rPr>
                <w:sz w:val="12"/>
                <w:szCs w:val="12"/>
              </w:rPr>
              <w:t>R730</w:t>
            </w:r>
          </w:p>
        </w:tc>
        <w:tc>
          <w:tcPr>
            <w:tcW w:w="648"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ano</w:t>
            </w:r>
          </w:p>
        </w:tc>
        <w:tc>
          <w:tcPr>
            <w:tcW w:w="67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ano</w:t>
            </w:r>
          </w:p>
        </w:tc>
        <w:tc>
          <w:tcPr>
            <w:tcW w:w="730" w:type="dxa"/>
            <w:tcBorders>
              <w:top w:val="single" w:sz="4" w:space="0" w:color="auto"/>
              <w:left w:val="single" w:sz="4" w:space="0" w:color="auto"/>
              <w:righ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ano</w:t>
            </w:r>
          </w:p>
        </w:tc>
      </w:tr>
      <w:tr w:rsidR="0095158B" w:rsidTr="008967D4">
        <w:trPr>
          <w:trHeight w:hRule="exact" w:val="163"/>
          <w:jc w:val="center"/>
        </w:trPr>
        <w:tc>
          <w:tcPr>
            <w:tcW w:w="104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left"/>
              <w:rPr>
                <w:sz w:val="12"/>
                <w:szCs w:val="12"/>
              </w:rPr>
            </w:pPr>
            <w:r>
              <w:rPr>
                <w:sz w:val="12"/>
                <w:szCs w:val="12"/>
              </w:rPr>
              <w:t>2.</w:t>
            </w:r>
          </w:p>
        </w:tc>
        <w:tc>
          <w:tcPr>
            <w:tcW w:w="344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left"/>
              <w:rPr>
                <w:sz w:val="12"/>
                <w:szCs w:val="12"/>
              </w:rPr>
            </w:pPr>
            <w:r>
              <w:rPr>
                <w:sz w:val="12"/>
                <w:szCs w:val="12"/>
              </w:rPr>
              <w:t>konfigurace komodita 2 dle specifikace</w:t>
            </w:r>
          </w:p>
        </w:tc>
        <w:tc>
          <w:tcPr>
            <w:tcW w:w="840"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1</w:t>
            </w:r>
          </w:p>
        </w:tc>
        <w:tc>
          <w:tcPr>
            <w:tcW w:w="104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95 300,00 Kč</w:t>
            </w:r>
          </w:p>
        </w:tc>
        <w:tc>
          <w:tcPr>
            <w:tcW w:w="1094"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95 300,00 Kč</w:t>
            </w:r>
          </w:p>
        </w:tc>
        <w:tc>
          <w:tcPr>
            <w:tcW w:w="1219"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95 300,00 Kč</w:t>
            </w:r>
          </w:p>
        </w:tc>
        <w:tc>
          <w:tcPr>
            <w:tcW w:w="115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20 013,00 Kč</w:t>
            </w:r>
          </w:p>
        </w:tc>
        <w:tc>
          <w:tcPr>
            <w:tcW w:w="1234"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115 313,00 Kč</w:t>
            </w:r>
          </w:p>
        </w:tc>
        <w:tc>
          <w:tcPr>
            <w:tcW w:w="150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left"/>
              <w:rPr>
                <w:sz w:val="12"/>
                <w:szCs w:val="12"/>
              </w:rPr>
            </w:pPr>
            <w:r>
              <w:rPr>
                <w:sz w:val="12"/>
                <w:szCs w:val="12"/>
              </w:rPr>
              <w:t xml:space="preserve">Dell </w:t>
            </w:r>
            <w:proofErr w:type="spellStart"/>
            <w:r>
              <w:rPr>
                <w:sz w:val="12"/>
                <w:szCs w:val="12"/>
              </w:rPr>
              <w:t>PowerEdge</w:t>
            </w:r>
            <w:proofErr w:type="spellEnd"/>
            <w:r>
              <w:rPr>
                <w:sz w:val="12"/>
                <w:szCs w:val="12"/>
              </w:rPr>
              <w:t xml:space="preserve"> R430</w:t>
            </w:r>
          </w:p>
        </w:tc>
        <w:tc>
          <w:tcPr>
            <w:tcW w:w="648"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ano</w:t>
            </w:r>
          </w:p>
        </w:tc>
        <w:tc>
          <w:tcPr>
            <w:tcW w:w="672" w:type="dxa"/>
            <w:tcBorders>
              <w:top w:val="single" w:sz="4" w:space="0" w:color="auto"/>
              <w:lef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ano</w:t>
            </w:r>
          </w:p>
        </w:tc>
        <w:tc>
          <w:tcPr>
            <w:tcW w:w="730" w:type="dxa"/>
            <w:tcBorders>
              <w:top w:val="single" w:sz="4" w:space="0" w:color="auto"/>
              <w:left w:val="single" w:sz="4" w:space="0" w:color="auto"/>
              <w:right w:val="single" w:sz="4" w:space="0" w:color="auto"/>
            </w:tcBorders>
            <w:shd w:val="clear" w:color="auto" w:fill="FFFFFF"/>
            <w:vAlign w:val="bottom"/>
          </w:tcPr>
          <w:p w:rsidR="0095158B" w:rsidRDefault="0095158B" w:rsidP="008967D4">
            <w:pPr>
              <w:pStyle w:val="Jin0"/>
              <w:shd w:val="clear" w:color="auto" w:fill="auto"/>
              <w:spacing w:line="240" w:lineRule="auto"/>
              <w:jc w:val="right"/>
              <w:rPr>
                <w:sz w:val="12"/>
                <w:szCs w:val="12"/>
              </w:rPr>
            </w:pPr>
            <w:r>
              <w:rPr>
                <w:sz w:val="12"/>
                <w:szCs w:val="12"/>
              </w:rPr>
              <w:t>ano</w:t>
            </w:r>
          </w:p>
        </w:tc>
      </w:tr>
      <w:tr w:rsidR="0095158B" w:rsidTr="008967D4">
        <w:trPr>
          <w:trHeight w:hRule="exact" w:val="163"/>
          <w:jc w:val="center"/>
        </w:trPr>
        <w:tc>
          <w:tcPr>
            <w:tcW w:w="1042" w:type="dxa"/>
            <w:tcBorders>
              <w:top w:val="single" w:sz="4" w:space="0" w:color="auto"/>
              <w:left w:val="single" w:sz="4" w:space="0" w:color="auto"/>
            </w:tcBorders>
            <w:shd w:val="clear" w:color="auto" w:fill="FFFFFF"/>
          </w:tcPr>
          <w:p w:rsidR="0095158B" w:rsidRDefault="0095158B" w:rsidP="008967D4">
            <w:pPr>
              <w:pStyle w:val="Jin0"/>
              <w:shd w:val="clear" w:color="auto" w:fill="auto"/>
              <w:spacing w:line="240" w:lineRule="auto"/>
              <w:jc w:val="left"/>
              <w:rPr>
                <w:sz w:val="12"/>
                <w:szCs w:val="12"/>
              </w:rPr>
            </w:pPr>
            <w:r>
              <w:rPr>
                <w:sz w:val="12"/>
                <w:szCs w:val="12"/>
              </w:rPr>
              <w:t>3.</w:t>
            </w:r>
          </w:p>
        </w:tc>
        <w:tc>
          <w:tcPr>
            <w:tcW w:w="3442" w:type="dxa"/>
            <w:tcBorders>
              <w:top w:val="single" w:sz="4" w:space="0" w:color="auto"/>
              <w:left w:val="single" w:sz="4" w:space="0" w:color="auto"/>
            </w:tcBorders>
            <w:shd w:val="clear" w:color="auto" w:fill="FFFFFF"/>
          </w:tcPr>
          <w:p w:rsidR="0095158B" w:rsidRDefault="0095158B" w:rsidP="008967D4">
            <w:pPr>
              <w:pStyle w:val="Jin0"/>
              <w:shd w:val="clear" w:color="auto" w:fill="auto"/>
              <w:spacing w:line="240" w:lineRule="auto"/>
              <w:jc w:val="left"/>
              <w:rPr>
                <w:sz w:val="12"/>
                <w:szCs w:val="12"/>
              </w:rPr>
            </w:pPr>
            <w:r>
              <w:rPr>
                <w:sz w:val="12"/>
                <w:szCs w:val="12"/>
              </w:rPr>
              <w:t>konfigurace komodita 3 dle specifikace</w:t>
            </w:r>
          </w:p>
        </w:tc>
        <w:tc>
          <w:tcPr>
            <w:tcW w:w="840" w:type="dxa"/>
            <w:tcBorders>
              <w:top w:val="single" w:sz="4" w:space="0" w:color="auto"/>
              <w:left w:val="single" w:sz="4" w:space="0" w:color="auto"/>
            </w:tcBorders>
            <w:shd w:val="clear" w:color="auto" w:fill="FFFFFF"/>
          </w:tcPr>
          <w:p w:rsidR="0095158B" w:rsidRDefault="0095158B" w:rsidP="008967D4">
            <w:pPr>
              <w:rPr>
                <w:sz w:val="10"/>
                <w:szCs w:val="10"/>
              </w:rPr>
            </w:pPr>
          </w:p>
        </w:tc>
        <w:tc>
          <w:tcPr>
            <w:tcW w:w="1042" w:type="dxa"/>
            <w:tcBorders>
              <w:top w:val="single" w:sz="4" w:space="0" w:color="auto"/>
              <w:left w:val="single" w:sz="4" w:space="0" w:color="auto"/>
            </w:tcBorders>
            <w:shd w:val="clear" w:color="auto" w:fill="FFFFFF"/>
          </w:tcPr>
          <w:p w:rsidR="0095158B" w:rsidRDefault="0095158B" w:rsidP="008967D4">
            <w:pPr>
              <w:pStyle w:val="Jin0"/>
              <w:shd w:val="clear" w:color="auto" w:fill="auto"/>
              <w:spacing w:line="240" w:lineRule="auto"/>
              <w:jc w:val="right"/>
              <w:rPr>
                <w:sz w:val="12"/>
                <w:szCs w:val="12"/>
              </w:rPr>
            </w:pPr>
            <w:r>
              <w:rPr>
                <w:sz w:val="12"/>
                <w:szCs w:val="12"/>
              </w:rPr>
              <w:t>116 500,00 Kč</w:t>
            </w:r>
          </w:p>
        </w:tc>
        <w:tc>
          <w:tcPr>
            <w:tcW w:w="1094" w:type="dxa"/>
            <w:tcBorders>
              <w:top w:val="single" w:sz="4" w:space="0" w:color="auto"/>
              <w:left w:val="single" w:sz="4" w:space="0" w:color="auto"/>
            </w:tcBorders>
            <w:shd w:val="clear" w:color="auto" w:fill="FFFFFF"/>
          </w:tcPr>
          <w:p w:rsidR="0095158B" w:rsidRDefault="0095158B" w:rsidP="008967D4">
            <w:pPr>
              <w:rPr>
                <w:sz w:val="10"/>
                <w:szCs w:val="10"/>
              </w:rPr>
            </w:pPr>
          </w:p>
        </w:tc>
        <w:tc>
          <w:tcPr>
            <w:tcW w:w="1219" w:type="dxa"/>
            <w:tcBorders>
              <w:top w:val="single" w:sz="4" w:space="0" w:color="auto"/>
              <w:left w:val="single" w:sz="4" w:space="0" w:color="auto"/>
            </w:tcBorders>
            <w:shd w:val="clear" w:color="auto" w:fill="FFFFFF"/>
          </w:tcPr>
          <w:p w:rsidR="0095158B" w:rsidRDefault="0095158B" w:rsidP="008967D4">
            <w:pPr>
              <w:pStyle w:val="Jin0"/>
              <w:shd w:val="clear" w:color="auto" w:fill="auto"/>
              <w:spacing w:line="240" w:lineRule="auto"/>
              <w:jc w:val="right"/>
              <w:rPr>
                <w:sz w:val="12"/>
                <w:szCs w:val="12"/>
              </w:rPr>
            </w:pPr>
            <w:r>
              <w:rPr>
                <w:sz w:val="12"/>
                <w:szCs w:val="12"/>
              </w:rPr>
              <w:t>0,00 Kč</w:t>
            </w:r>
          </w:p>
        </w:tc>
        <w:tc>
          <w:tcPr>
            <w:tcW w:w="1152" w:type="dxa"/>
            <w:tcBorders>
              <w:top w:val="single" w:sz="4" w:space="0" w:color="auto"/>
              <w:left w:val="single" w:sz="4" w:space="0" w:color="auto"/>
            </w:tcBorders>
            <w:shd w:val="clear" w:color="auto" w:fill="FFFFFF"/>
          </w:tcPr>
          <w:p w:rsidR="0095158B" w:rsidRDefault="0095158B" w:rsidP="008967D4">
            <w:pPr>
              <w:pStyle w:val="Jin0"/>
              <w:shd w:val="clear" w:color="auto" w:fill="auto"/>
              <w:spacing w:line="240" w:lineRule="auto"/>
              <w:jc w:val="right"/>
              <w:rPr>
                <w:sz w:val="12"/>
                <w:szCs w:val="12"/>
              </w:rPr>
            </w:pPr>
            <w:r>
              <w:rPr>
                <w:sz w:val="12"/>
                <w:szCs w:val="12"/>
              </w:rPr>
              <w:t>0,00 Kč</w:t>
            </w:r>
          </w:p>
        </w:tc>
        <w:tc>
          <w:tcPr>
            <w:tcW w:w="1234" w:type="dxa"/>
            <w:tcBorders>
              <w:top w:val="single" w:sz="4" w:space="0" w:color="auto"/>
              <w:left w:val="single" w:sz="4" w:space="0" w:color="auto"/>
            </w:tcBorders>
            <w:shd w:val="clear" w:color="auto" w:fill="FFFFFF"/>
          </w:tcPr>
          <w:p w:rsidR="0095158B" w:rsidRDefault="0095158B" w:rsidP="008967D4">
            <w:pPr>
              <w:pStyle w:val="Jin0"/>
              <w:shd w:val="clear" w:color="auto" w:fill="auto"/>
              <w:spacing w:line="240" w:lineRule="auto"/>
              <w:jc w:val="right"/>
              <w:rPr>
                <w:sz w:val="12"/>
                <w:szCs w:val="12"/>
              </w:rPr>
            </w:pPr>
            <w:r>
              <w:rPr>
                <w:sz w:val="12"/>
                <w:szCs w:val="12"/>
              </w:rPr>
              <w:t>0,00 Kč</w:t>
            </w:r>
          </w:p>
        </w:tc>
        <w:tc>
          <w:tcPr>
            <w:tcW w:w="1502" w:type="dxa"/>
            <w:tcBorders>
              <w:top w:val="single" w:sz="4" w:space="0" w:color="auto"/>
              <w:left w:val="single" w:sz="4" w:space="0" w:color="auto"/>
            </w:tcBorders>
            <w:shd w:val="clear" w:color="auto" w:fill="FFFFFF"/>
          </w:tcPr>
          <w:p w:rsidR="0095158B" w:rsidRDefault="0095158B" w:rsidP="008967D4">
            <w:pPr>
              <w:pStyle w:val="Jin0"/>
              <w:shd w:val="clear" w:color="auto" w:fill="auto"/>
              <w:spacing w:line="240" w:lineRule="auto"/>
              <w:jc w:val="left"/>
              <w:rPr>
                <w:sz w:val="12"/>
                <w:szCs w:val="12"/>
              </w:rPr>
            </w:pPr>
            <w:r>
              <w:rPr>
                <w:sz w:val="12"/>
                <w:szCs w:val="12"/>
              </w:rPr>
              <w:t xml:space="preserve">Dell </w:t>
            </w:r>
            <w:proofErr w:type="spellStart"/>
            <w:r>
              <w:rPr>
                <w:sz w:val="12"/>
                <w:szCs w:val="12"/>
              </w:rPr>
              <w:t>PowerEdge</w:t>
            </w:r>
            <w:proofErr w:type="spellEnd"/>
            <w:r>
              <w:rPr>
                <w:sz w:val="12"/>
                <w:szCs w:val="12"/>
              </w:rPr>
              <w:t xml:space="preserve"> R430</w:t>
            </w:r>
          </w:p>
        </w:tc>
        <w:tc>
          <w:tcPr>
            <w:tcW w:w="648" w:type="dxa"/>
            <w:tcBorders>
              <w:top w:val="single" w:sz="4" w:space="0" w:color="auto"/>
              <w:left w:val="single" w:sz="4" w:space="0" w:color="auto"/>
            </w:tcBorders>
            <w:shd w:val="clear" w:color="auto" w:fill="FFFFFF"/>
          </w:tcPr>
          <w:p w:rsidR="0095158B" w:rsidRDefault="0095158B" w:rsidP="008967D4">
            <w:pPr>
              <w:pStyle w:val="Jin0"/>
              <w:shd w:val="clear" w:color="auto" w:fill="auto"/>
              <w:spacing w:line="240" w:lineRule="auto"/>
              <w:jc w:val="right"/>
              <w:rPr>
                <w:sz w:val="12"/>
                <w:szCs w:val="12"/>
              </w:rPr>
            </w:pPr>
            <w:r>
              <w:rPr>
                <w:sz w:val="12"/>
                <w:szCs w:val="12"/>
              </w:rPr>
              <w:t>ano</w:t>
            </w:r>
          </w:p>
        </w:tc>
        <w:tc>
          <w:tcPr>
            <w:tcW w:w="672" w:type="dxa"/>
            <w:tcBorders>
              <w:top w:val="single" w:sz="4" w:space="0" w:color="auto"/>
              <w:left w:val="single" w:sz="4" w:space="0" w:color="auto"/>
            </w:tcBorders>
            <w:shd w:val="clear" w:color="auto" w:fill="FFFFFF"/>
          </w:tcPr>
          <w:p w:rsidR="0095158B" w:rsidRDefault="0095158B" w:rsidP="008967D4">
            <w:pPr>
              <w:pStyle w:val="Jin0"/>
              <w:shd w:val="clear" w:color="auto" w:fill="auto"/>
              <w:spacing w:line="240" w:lineRule="auto"/>
              <w:jc w:val="right"/>
              <w:rPr>
                <w:sz w:val="12"/>
                <w:szCs w:val="12"/>
              </w:rPr>
            </w:pPr>
            <w:r>
              <w:rPr>
                <w:sz w:val="12"/>
                <w:szCs w:val="12"/>
              </w:rPr>
              <w:t>ano</w:t>
            </w:r>
          </w:p>
        </w:tc>
        <w:tc>
          <w:tcPr>
            <w:tcW w:w="730" w:type="dxa"/>
            <w:tcBorders>
              <w:top w:val="single" w:sz="4" w:space="0" w:color="auto"/>
              <w:left w:val="single" w:sz="4" w:space="0" w:color="auto"/>
              <w:right w:val="single" w:sz="4" w:space="0" w:color="auto"/>
            </w:tcBorders>
            <w:shd w:val="clear" w:color="auto" w:fill="FFFFFF"/>
          </w:tcPr>
          <w:p w:rsidR="0095158B" w:rsidRDefault="0095158B" w:rsidP="008967D4">
            <w:pPr>
              <w:pStyle w:val="Jin0"/>
              <w:shd w:val="clear" w:color="auto" w:fill="auto"/>
              <w:spacing w:line="240" w:lineRule="auto"/>
              <w:jc w:val="right"/>
              <w:rPr>
                <w:sz w:val="12"/>
                <w:szCs w:val="12"/>
              </w:rPr>
            </w:pPr>
            <w:r>
              <w:rPr>
                <w:sz w:val="12"/>
                <w:szCs w:val="12"/>
              </w:rPr>
              <w:t>ano</w:t>
            </w:r>
          </w:p>
        </w:tc>
      </w:tr>
      <w:tr w:rsidR="0095158B" w:rsidTr="008967D4">
        <w:trPr>
          <w:trHeight w:hRule="exact" w:val="182"/>
          <w:jc w:val="center"/>
        </w:trPr>
        <w:tc>
          <w:tcPr>
            <w:tcW w:w="4484" w:type="dxa"/>
            <w:gridSpan w:val="2"/>
            <w:tcBorders>
              <w:top w:val="single" w:sz="4" w:space="0" w:color="auto"/>
              <w:left w:val="single" w:sz="4" w:space="0" w:color="auto"/>
              <w:bottom w:val="single" w:sz="4" w:space="0" w:color="auto"/>
            </w:tcBorders>
            <w:shd w:val="clear" w:color="auto" w:fill="FFFFFF"/>
          </w:tcPr>
          <w:p w:rsidR="0095158B" w:rsidRDefault="0095158B" w:rsidP="008967D4">
            <w:pPr>
              <w:pStyle w:val="Jin0"/>
              <w:shd w:val="clear" w:color="auto" w:fill="auto"/>
              <w:spacing w:line="240" w:lineRule="auto"/>
              <w:jc w:val="left"/>
              <w:rPr>
                <w:sz w:val="12"/>
                <w:szCs w:val="12"/>
              </w:rPr>
            </w:pPr>
            <w:r>
              <w:rPr>
                <w:sz w:val="12"/>
                <w:szCs w:val="12"/>
              </w:rPr>
              <w:t>Celkem</w:t>
            </w:r>
          </w:p>
        </w:tc>
        <w:tc>
          <w:tcPr>
            <w:tcW w:w="2976" w:type="dxa"/>
            <w:gridSpan w:val="3"/>
            <w:tcBorders>
              <w:top w:val="single" w:sz="4" w:space="0" w:color="auto"/>
              <w:left w:val="single" w:sz="4" w:space="0" w:color="auto"/>
              <w:bottom w:val="single" w:sz="4" w:space="0" w:color="auto"/>
            </w:tcBorders>
            <w:shd w:val="clear" w:color="auto" w:fill="FFFFFF"/>
          </w:tcPr>
          <w:p w:rsidR="0095158B" w:rsidRDefault="0095158B" w:rsidP="008967D4">
            <w:pPr>
              <w:rPr>
                <w:sz w:val="10"/>
                <w:szCs w:val="10"/>
              </w:rPr>
            </w:pPr>
          </w:p>
        </w:tc>
        <w:tc>
          <w:tcPr>
            <w:tcW w:w="1219" w:type="dxa"/>
            <w:tcBorders>
              <w:top w:val="single" w:sz="4" w:space="0" w:color="auto"/>
              <w:left w:val="single" w:sz="4" w:space="0" w:color="auto"/>
              <w:bottom w:val="single" w:sz="4" w:space="0" w:color="auto"/>
            </w:tcBorders>
            <w:shd w:val="clear" w:color="auto" w:fill="FFFFFF"/>
          </w:tcPr>
          <w:p w:rsidR="0095158B" w:rsidRDefault="0095158B" w:rsidP="008967D4">
            <w:pPr>
              <w:pStyle w:val="Jin0"/>
              <w:shd w:val="clear" w:color="auto" w:fill="auto"/>
              <w:spacing w:line="240" w:lineRule="auto"/>
              <w:jc w:val="right"/>
              <w:rPr>
                <w:sz w:val="12"/>
                <w:szCs w:val="12"/>
              </w:rPr>
            </w:pPr>
            <w:r>
              <w:rPr>
                <w:sz w:val="12"/>
                <w:szCs w:val="12"/>
              </w:rPr>
              <w:t>95 300,00 Kč</w:t>
            </w:r>
          </w:p>
        </w:tc>
        <w:tc>
          <w:tcPr>
            <w:tcW w:w="1152" w:type="dxa"/>
            <w:tcBorders>
              <w:top w:val="single" w:sz="4" w:space="0" w:color="auto"/>
              <w:left w:val="single" w:sz="4" w:space="0" w:color="auto"/>
              <w:bottom w:val="single" w:sz="4" w:space="0" w:color="auto"/>
            </w:tcBorders>
            <w:shd w:val="clear" w:color="auto" w:fill="FFFFFF"/>
          </w:tcPr>
          <w:p w:rsidR="0095158B" w:rsidRDefault="0095158B" w:rsidP="008967D4">
            <w:pPr>
              <w:pStyle w:val="Jin0"/>
              <w:shd w:val="clear" w:color="auto" w:fill="auto"/>
              <w:spacing w:line="240" w:lineRule="auto"/>
              <w:jc w:val="right"/>
              <w:rPr>
                <w:sz w:val="12"/>
                <w:szCs w:val="12"/>
              </w:rPr>
            </w:pPr>
            <w:r>
              <w:rPr>
                <w:sz w:val="12"/>
                <w:szCs w:val="12"/>
              </w:rPr>
              <w:t>20 013,00 Kč</w:t>
            </w:r>
          </w:p>
        </w:tc>
        <w:tc>
          <w:tcPr>
            <w:tcW w:w="1234" w:type="dxa"/>
            <w:tcBorders>
              <w:top w:val="single" w:sz="4" w:space="0" w:color="auto"/>
              <w:left w:val="single" w:sz="4" w:space="0" w:color="auto"/>
              <w:bottom w:val="single" w:sz="4" w:space="0" w:color="auto"/>
            </w:tcBorders>
            <w:shd w:val="clear" w:color="auto" w:fill="FFFFFF"/>
          </w:tcPr>
          <w:p w:rsidR="0095158B" w:rsidRDefault="0095158B" w:rsidP="008967D4">
            <w:pPr>
              <w:pStyle w:val="Jin0"/>
              <w:shd w:val="clear" w:color="auto" w:fill="auto"/>
              <w:spacing w:line="240" w:lineRule="auto"/>
              <w:jc w:val="right"/>
              <w:rPr>
                <w:sz w:val="12"/>
                <w:szCs w:val="12"/>
              </w:rPr>
            </w:pPr>
            <w:r>
              <w:rPr>
                <w:sz w:val="12"/>
                <w:szCs w:val="12"/>
              </w:rPr>
              <w:t>115 313,00 Kč</w:t>
            </w:r>
          </w:p>
        </w:tc>
        <w:tc>
          <w:tcPr>
            <w:tcW w:w="3552" w:type="dxa"/>
            <w:gridSpan w:val="4"/>
            <w:tcBorders>
              <w:top w:val="single" w:sz="4" w:space="0" w:color="auto"/>
              <w:left w:val="single" w:sz="4" w:space="0" w:color="auto"/>
            </w:tcBorders>
            <w:shd w:val="clear" w:color="auto" w:fill="FFFFFF"/>
          </w:tcPr>
          <w:p w:rsidR="0095158B" w:rsidRDefault="0095158B" w:rsidP="008967D4">
            <w:pPr>
              <w:rPr>
                <w:sz w:val="10"/>
                <w:szCs w:val="10"/>
              </w:rPr>
            </w:pPr>
          </w:p>
        </w:tc>
      </w:tr>
    </w:tbl>
    <w:p w:rsidR="0095158B" w:rsidRDefault="0095158B" w:rsidP="0095158B">
      <w:pPr>
        <w:pStyle w:val="Titulektabulky0"/>
        <w:shd w:val="clear" w:color="auto" w:fill="auto"/>
        <w:ind w:left="1037"/>
      </w:pPr>
      <w:r>
        <w:t>detailní technická specifikace je samostatnou přílohou ZD</w:t>
      </w:r>
    </w:p>
    <w:p w:rsidR="0095158B" w:rsidRDefault="0095158B" w:rsidP="0095158B">
      <w:pPr>
        <w:spacing w:after="126" w:line="14" w:lineRule="exact"/>
      </w:pPr>
    </w:p>
    <w:p w:rsidR="0095158B" w:rsidRDefault="0095158B" w:rsidP="0095158B">
      <w:pPr>
        <w:pStyle w:val="Zkladntext30"/>
        <w:shd w:val="clear" w:color="auto" w:fill="auto"/>
      </w:pPr>
      <w:r>
        <w:rPr>
          <w:u w:val="single"/>
        </w:rPr>
        <w:t>Pokyny:</w:t>
      </w:r>
    </w:p>
    <w:p w:rsidR="0095158B" w:rsidRDefault="0095158B" w:rsidP="0095158B">
      <w:pPr>
        <w:pStyle w:val="Zkladntext30"/>
        <w:shd w:val="clear" w:color="auto" w:fill="auto"/>
      </w:pPr>
      <w:r>
        <w:t xml:space="preserve">Dodavatel vyplní u každé položky cenu za jednotku bez DPH </w:t>
      </w:r>
      <w:proofErr w:type="spellStart"/>
      <w:r>
        <w:t>Gednotková</w:t>
      </w:r>
      <w:proofErr w:type="spellEnd"/>
      <w:r>
        <w:t xml:space="preserve"> cena)</w:t>
      </w:r>
    </w:p>
    <w:p w:rsidR="0095158B" w:rsidRDefault="0095158B" w:rsidP="0095158B">
      <w:pPr>
        <w:pStyle w:val="Zkladntext30"/>
        <w:shd w:val="clear" w:color="auto" w:fill="auto"/>
        <w:spacing w:after="80"/>
        <w:sectPr w:rsidR="0095158B">
          <w:pgSz w:w="16840" w:h="11900" w:orient="landscape"/>
          <w:pgMar w:top="1127" w:right="1391" w:bottom="1127" w:left="834" w:header="0" w:footer="3" w:gutter="0"/>
          <w:cols w:space="720"/>
          <w:noEndnote/>
          <w:docGrid w:linePitch="360"/>
        </w:sectPr>
      </w:pPr>
      <w:r>
        <w:t>Dodavatel vyplní sazbu DPH v % (např. 21). Dodavatel neplátce vyplní sazbu "0". Jednotkové ceny jsou v takovém případě konečnými (víz podrobně v ZD)</w:t>
      </w:r>
    </w:p>
    <w:p w:rsidR="0095158B" w:rsidRDefault="0095158B" w:rsidP="0095158B">
      <w:pPr>
        <w:pStyle w:val="Nadpis30"/>
        <w:keepNext/>
        <w:keepLines/>
        <w:shd w:val="clear" w:color="auto" w:fill="auto"/>
        <w:spacing w:after="500" w:line="240" w:lineRule="auto"/>
        <w:ind w:left="0" w:firstLine="0"/>
        <w:jc w:val="left"/>
      </w:pPr>
      <w:bookmarkStart w:id="2" w:name="bookmark21"/>
      <w:r>
        <w:lastRenderedPageBreak/>
        <w:t>Příloha č. 3: Akceptační testy</w:t>
      </w:r>
      <w:bookmarkEnd w:id="2"/>
    </w:p>
    <w:p w:rsidR="0095158B" w:rsidRDefault="0095158B" w:rsidP="0095158B">
      <w:pPr>
        <w:pStyle w:val="Zkladntext1"/>
        <w:numPr>
          <w:ilvl w:val="0"/>
          <w:numId w:val="2"/>
        </w:numPr>
        <w:shd w:val="clear" w:color="auto" w:fill="auto"/>
        <w:tabs>
          <w:tab w:val="left" w:pos="720"/>
        </w:tabs>
        <w:spacing w:after="160" w:line="276" w:lineRule="auto"/>
        <w:ind w:left="700" w:hanging="340"/>
      </w:pPr>
      <w:r>
        <w:t>ukázka nastavení a přístupu ke správě serveru bez instalace OS na serveru</w:t>
      </w:r>
    </w:p>
    <w:p w:rsidR="0095158B" w:rsidRDefault="0095158B" w:rsidP="0095158B">
      <w:pPr>
        <w:pStyle w:val="Zkladntext1"/>
        <w:numPr>
          <w:ilvl w:val="0"/>
          <w:numId w:val="2"/>
        </w:numPr>
        <w:shd w:val="clear" w:color="auto" w:fill="auto"/>
        <w:tabs>
          <w:tab w:val="left" w:pos="720"/>
        </w:tabs>
        <w:spacing w:after="160" w:line="276" w:lineRule="auto"/>
        <w:ind w:left="700" w:hanging="340"/>
      </w:pPr>
      <w:r>
        <w:t xml:space="preserve">nastavení </w:t>
      </w:r>
      <w:r>
        <w:rPr>
          <w:lang w:val="en-US" w:bidi="en-US"/>
        </w:rPr>
        <w:t xml:space="preserve">SNMP </w:t>
      </w:r>
      <w:r>
        <w:t xml:space="preserve">pro management serveru bez instalace OS na serveru a ukázka změny hodnoty SNMP </w:t>
      </w:r>
      <w:proofErr w:type="spellStart"/>
      <w:r>
        <w:t>oid</w:t>
      </w:r>
      <w:proofErr w:type="spellEnd"/>
      <w:r>
        <w:t xml:space="preserve"> popř. vygenerování SNMP trapu v případě nefunkčního napájecího zdroje (odpojení napájení)</w:t>
      </w:r>
    </w:p>
    <w:p w:rsidR="0095158B" w:rsidRDefault="0095158B" w:rsidP="0095158B">
      <w:pPr>
        <w:pStyle w:val="Zkladntext1"/>
        <w:numPr>
          <w:ilvl w:val="0"/>
          <w:numId w:val="2"/>
        </w:numPr>
        <w:shd w:val="clear" w:color="auto" w:fill="auto"/>
        <w:tabs>
          <w:tab w:val="left" w:pos="720"/>
        </w:tabs>
        <w:spacing w:after="340" w:line="276" w:lineRule="auto"/>
        <w:ind w:left="700" w:hanging="340"/>
        <w:sectPr w:rsidR="0095158B">
          <w:pgSz w:w="11900" w:h="16840"/>
          <w:pgMar w:top="1634" w:right="1469" w:bottom="1634" w:left="1331" w:header="0" w:footer="3" w:gutter="0"/>
          <w:cols w:space="720"/>
          <w:noEndnote/>
          <w:docGrid w:linePitch="360"/>
        </w:sectPr>
      </w:pPr>
      <w:r>
        <w:t>ukázka konfigurace diskové skupiny RAID v nastavení (typu RAID) dle zadání</w:t>
      </w:r>
    </w:p>
    <w:p w:rsidR="0095158B" w:rsidRDefault="0095158B" w:rsidP="0095158B">
      <w:pPr>
        <w:pStyle w:val="Zkladntext20"/>
        <w:framePr w:w="946" w:h="274" w:wrap="none" w:vAnchor="text" w:hAnchor="margin" w:x="4187" w:y="764"/>
        <w:shd w:val="clear" w:color="auto" w:fill="auto"/>
        <w:spacing w:after="0" w:line="240" w:lineRule="auto"/>
        <w:jc w:val="left"/>
      </w:pPr>
      <w:r>
        <w:rPr>
          <w:b/>
          <w:bCs/>
        </w:rPr>
        <w:lastRenderedPageBreak/>
        <w:t>PLNÁ MOC</w:t>
      </w:r>
    </w:p>
    <w:p w:rsidR="0095158B" w:rsidRDefault="0095158B" w:rsidP="0095158B">
      <w:pPr>
        <w:pStyle w:val="Nadpis10"/>
        <w:keepNext/>
        <w:keepLines/>
        <w:framePr w:w="1925" w:h="586" w:wrap="none" w:vAnchor="text" w:hAnchor="margin" w:x="7235" w:y="21"/>
        <w:pBdr>
          <w:top w:val="single" w:sz="0" w:space="0" w:color="FA465A"/>
          <w:left w:val="single" w:sz="0" w:space="0" w:color="FA465A"/>
          <w:bottom w:val="single" w:sz="0" w:space="0" w:color="FA465A"/>
          <w:right w:val="single" w:sz="0" w:space="0" w:color="FA465A"/>
        </w:pBdr>
        <w:shd w:val="clear" w:color="auto" w:fill="FA465A"/>
        <w:ind w:left="0"/>
      </w:pPr>
      <w:bookmarkStart w:id="3" w:name="bookmark22"/>
      <w:r>
        <w:rPr>
          <w:color w:val="FFFFFF"/>
          <w:lang w:val="en-US" w:bidi="en-US"/>
        </w:rPr>
        <w:t>AUTOCONT</w:t>
      </w:r>
      <w:bookmarkEnd w:id="3"/>
    </w:p>
    <w:p w:rsidR="0095158B" w:rsidRDefault="0095158B" w:rsidP="0095158B">
      <w:pPr>
        <w:spacing w:line="408" w:lineRule="exact"/>
      </w:pPr>
    </w:p>
    <w:p w:rsidR="0095158B" w:rsidRDefault="0095158B" w:rsidP="0095158B">
      <w:pPr>
        <w:spacing w:line="408" w:lineRule="exact"/>
      </w:pPr>
    </w:p>
    <w:p w:rsidR="0095158B" w:rsidRDefault="0095158B" w:rsidP="0095158B">
      <w:pPr>
        <w:spacing w:line="408" w:lineRule="exact"/>
      </w:pPr>
    </w:p>
    <w:p w:rsidR="0095158B" w:rsidRDefault="0095158B" w:rsidP="0095158B">
      <w:pPr>
        <w:spacing w:line="408" w:lineRule="exact"/>
      </w:pPr>
    </w:p>
    <w:p w:rsidR="0095158B" w:rsidRDefault="0095158B" w:rsidP="0095158B">
      <w:pPr>
        <w:spacing w:line="408" w:lineRule="exact"/>
      </w:pPr>
    </w:p>
    <w:p w:rsidR="0095158B" w:rsidRDefault="0095158B" w:rsidP="0095158B">
      <w:pPr>
        <w:spacing w:line="408" w:lineRule="exact"/>
      </w:pPr>
      <w:r>
        <w:t>ANONYMIZOVÁNO</w:t>
      </w:r>
    </w:p>
    <w:p w:rsidR="0095158B" w:rsidRDefault="0095158B" w:rsidP="0095158B">
      <w:pPr>
        <w:spacing w:line="14" w:lineRule="exact"/>
      </w:pPr>
    </w:p>
    <w:p w:rsidR="00F374AE" w:rsidRDefault="00F374AE">
      <w:bookmarkStart w:id="4" w:name="_GoBack"/>
      <w:bookmarkEnd w:id="4"/>
    </w:p>
    <w:sectPr w:rsidR="00F374AE">
      <w:pgSz w:w="11900" w:h="16840"/>
      <w:pgMar w:top="877" w:right="1154" w:bottom="594" w:left="154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88" w:rsidRDefault="0095158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689"/>
    <w:multiLevelType w:val="multilevel"/>
    <w:tmpl w:val="B68E17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755081"/>
    <w:multiLevelType w:val="multilevel"/>
    <w:tmpl w:val="3E9A13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4A"/>
    <w:rsid w:val="0095158B"/>
    <w:rsid w:val="00EE054A"/>
    <w:rsid w:val="00F37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5158B"/>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95158B"/>
    <w:rPr>
      <w:rFonts w:ascii="Arial" w:eastAsia="Arial" w:hAnsi="Arial" w:cs="Arial"/>
      <w:sz w:val="20"/>
      <w:szCs w:val="20"/>
      <w:shd w:val="clear" w:color="auto" w:fill="FFFFFF"/>
    </w:rPr>
  </w:style>
  <w:style w:type="character" w:customStyle="1" w:styleId="Nadpis3">
    <w:name w:val="Nadpis #3_"/>
    <w:basedOn w:val="Standardnpsmoodstavce"/>
    <w:link w:val="Nadpis30"/>
    <w:rsid w:val="0095158B"/>
    <w:rPr>
      <w:rFonts w:ascii="Arial" w:eastAsia="Arial" w:hAnsi="Arial" w:cs="Arial"/>
      <w:b/>
      <w:bCs/>
      <w:sz w:val="20"/>
      <w:szCs w:val="20"/>
      <w:shd w:val="clear" w:color="auto" w:fill="FFFFFF"/>
    </w:rPr>
  </w:style>
  <w:style w:type="character" w:customStyle="1" w:styleId="Nadpis1">
    <w:name w:val="Nadpis #1_"/>
    <w:basedOn w:val="Standardnpsmoodstavce"/>
    <w:link w:val="Nadpis10"/>
    <w:rsid w:val="0095158B"/>
    <w:rPr>
      <w:rFonts w:ascii="Arial" w:eastAsia="Arial" w:hAnsi="Arial" w:cs="Arial"/>
      <w:b/>
      <w:bCs/>
      <w:w w:val="70"/>
      <w:sz w:val="42"/>
      <w:szCs w:val="42"/>
      <w:shd w:val="clear" w:color="auto" w:fill="FFFFFF"/>
    </w:rPr>
  </w:style>
  <w:style w:type="character" w:customStyle="1" w:styleId="Zkladntext3">
    <w:name w:val="Základní text (3)_"/>
    <w:basedOn w:val="Standardnpsmoodstavce"/>
    <w:link w:val="Zkladntext30"/>
    <w:rsid w:val="0095158B"/>
    <w:rPr>
      <w:rFonts w:ascii="Arial" w:eastAsia="Arial" w:hAnsi="Arial" w:cs="Arial"/>
      <w:sz w:val="12"/>
      <w:szCs w:val="12"/>
      <w:shd w:val="clear" w:color="auto" w:fill="FFFFFF"/>
    </w:rPr>
  </w:style>
  <w:style w:type="character" w:customStyle="1" w:styleId="Titulektabulky">
    <w:name w:val="Titulek tabulky_"/>
    <w:basedOn w:val="Standardnpsmoodstavce"/>
    <w:link w:val="Titulektabulky0"/>
    <w:rsid w:val="0095158B"/>
    <w:rPr>
      <w:rFonts w:ascii="Arial" w:eastAsia="Arial" w:hAnsi="Arial" w:cs="Arial"/>
      <w:sz w:val="9"/>
      <w:szCs w:val="9"/>
      <w:shd w:val="clear" w:color="auto" w:fill="FFFFFF"/>
    </w:rPr>
  </w:style>
  <w:style w:type="character" w:customStyle="1" w:styleId="Jin">
    <w:name w:val="Jiné_"/>
    <w:basedOn w:val="Standardnpsmoodstavce"/>
    <w:link w:val="Jin0"/>
    <w:rsid w:val="0095158B"/>
    <w:rPr>
      <w:rFonts w:ascii="Arial" w:eastAsia="Arial" w:hAnsi="Arial" w:cs="Arial"/>
      <w:sz w:val="20"/>
      <w:szCs w:val="20"/>
      <w:shd w:val="clear" w:color="auto" w:fill="FFFFFF"/>
    </w:rPr>
  </w:style>
  <w:style w:type="character" w:customStyle="1" w:styleId="Zkladntext2">
    <w:name w:val="Základní text (2)_"/>
    <w:basedOn w:val="Standardnpsmoodstavce"/>
    <w:link w:val="Zkladntext20"/>
    <w:rsid w:val="0095158B"/>
    <w:rPr>
      <w:rFonts w:ascii="Calibri" w:eastAsia="Calibri" w:hAnsi="Calibri" w:cs="Calibri"/>
      <w:sz w:val="19"/>
      <w:szCs w:val="19"/>
      <w:shd w:val="clear" w:color="auto" w:fill="FFFFFF"/>
    </w:rPr>
  </w:style>
  <w:style w:type="paragraph" w:customStyle="1" w:styleId="Zkladntext1">
    <w:name w:val="Základní text1"/>
    <w:basedOn w:val="Normln"/>
    <w:link w:val="Zkladntext"/>
    <w:rsid w:val="0095158B"/>
    <w:pPr>
      <w:shd w:val="clear" w:color="auto" w:fill="FFFFFF"/>
      <w:spacing w:line="305" w:lineRule="auto"/>
      <w:jc w:val="both"/>
    </w:pPr>
    <w:rPr>
      <w:rFonts w:ascii="Arial" w:eastAsia="Arial" w:hAnsi="Arial" w:cs="Arial"/>
      <w:color w:val="auto"/>
      <w:sz w:val="20"/>
      <w:szCs w:val="20"/>
      <w:lang w:eastAsia="en-US" w:bidi="ar-SA"/>
    </w:rPr>
  </w:style>
  <w:style w:type="paragraph" w:customStyle="1" w:styleId="Nadpis30">
    <w:name w:val="Nadpis #3"/>
    <w:basedOn w:val="Normln"/>
    <w:link w:val="Nadpis3"/>
    <w:rsid w:val="0095158B"/>
    <w:pPr>
      <w:shd w:val="clear" w:color="auto" w:fill="FFFFFF"/>
      <w:spacing w:after="280" w:line="305" w:lineRule="auto"/>
      <w:ind w:left="560" w:hanging="560"/>
      <w:jc w:val="both"/>
      <w:outlineLvl w:val="2"/>
    </w:pPr>
    <w:rPr>
      <w:rFonts w:ascii="Arial" w:eastAsia="Arial" w:hAnsi="Arial" w:cs="Arial"/>
      <w:b/>
      <w:bCs/>
      <w:color w:val="auto"/>
      <w:sz w:val="20"/>
      <w:szCs w:val="20"/>
      <w:lang w:eastAsia="en-US" w:bidi="ar-SA"/>
    </w:rPr>
  </w:style>
  <w:style w:type="paragraph" w:customStyle="1" w:styleId="Nadpis10">
    <w:name w:val="Nadpis #1"/>
    <w:basedOn w:val="Normln"/>
    <w:link w:val="Nadpis1"/>
    <w:rsid w:val="0095158B"/>
    <w:pPr>
      <w:shd w:val="clear" w:color="auto" w:fill="FFFFFF"/>
      <w:ind w:left="240"/>
      <w:outlineLvl w:val="0"/>
    </w:pPr>
    <w:rPr>
      <w:rFonts w:ascii="Arial" w:eastAsia="Arial" w:hAnsi="Arial" w:cs="Arial"/>
      <w:b/>
      <w:bCs/>
      <w:color w:val="auto"/>
      <w:w w:val="70"/>
      <w:sz w:val="42"/>
      <w:szCs w:val="42"/>
      <w:lang w:eastAsia="en-US" w:bidi="ar-SA"/>
    </w:rPr>
  </w:style>
  <w:style w:type="paragraph" w:customStyle="1" w:styleId="Zkladntext30">
    <w:name w:val="Základní text (3)"/>
    <w:basedOn w:val="Normln"/>
    <w:link w:val="Zkladntext3"/>
    <w:rsid w:val="0095158B"/>
    <w:pPr>
      <w:shd w:val="clear" w:color="auto" w:fill="FFFFFF"/>
      <w:jc w:val="both"/>
    </w:pPr>
    <w:rPr>
      <w:rFonts w:ascii="Arial" w:eastAsia="Arial" w:hAnsi="Arial" w:cs="Arial"/>
      <w:color w:val="auto"/>
      <w:sz w:val="12"/>
      <w:szCs w:val="12"/>
      <w:lang w:eastAsia="en-US" w:bidi="ar-SA"/>
    </w:rPr>
  </w:style>
  <w:style w:type="paragraph" w:customStyle="1" w:styleId="Titulektabulky0">
    <w:name w:val="Titulek tabulky"/>
    <w:basedOn w:val="Normln"/>
    <w:link w:val="Titulektabulky"/>
    <w:rsid w:val="0095158B"/>
    <w:pPr>
      <w:shd w:val="clear" w:color="auto" w:fill="FFFFFF"/>
    </w:pPr>
    <w:rPr>
      <w:rFonts w:ascii="Arial" w:eastAsia="Arial" w:hAnsi="Arial" w:cs="Arial"/>
      <w:color w:val="auto"/>
      <w:sz w:val="9"/>
      <w:szCs w:val="9"/>
      <w:lang w:eastAsia="en-US" w:bidi="ar-SA"/>
    </w:rPr>
  </w:style>
  <w:style w:type="paragraph" w:customStyle="1" w:styleId="Jin0">
    <w:name w:val="Jiné"/>
    <w:basedOn w:val="Normln"/>
    <w:link w:val="Jin"/>
    <w:rsid w:val="0095158B"/>
    <w:pPr>
      <w:shd w:val="clear" w:color="auto" w:fill="FFFFFF"/>
      <w:spacing w:line="305" w:lineRule="auto"/>
      <w:jc w:val="both"/>
    </w:pPr>
    <w:rPr>
      <w:rFonts w:ascii="Arial" w:eastAsia="Arial" w:hAnsi="Arial" w:cs="Arial"/>
      <w:color w:val="auto"/>
      <w:sz w:val="20"/>
      <w:szCs w:val="20"/>
      <w:lang w:eastAsia="en-US" w:bidi="ar-SA"/>
    </w:rPr>
  </w:style>
  <w:style w:type="paragraph" w:customStyle="1" w:styleId="Zkladntext20">
    <w:name w:val="Základní text (2)"/>
    <w:basedOn w:val="Normln"/>
    <w:link w:val="Zkladntext2"/>
    <w:rsid w:val="0095158B"/>
    <w:pPr>
      <w:shd w:val="clear" w:color="auto" w:fill="FFFFFF"/>
      <w:spacing w:after="40" w:line="266" w:lineRule="auto"/>
      <w:jc w:val="both"/>
    </w:pPr>
    <w:rPr>
      <w:rFonts w:ascii="Calibri" w:eastAsia="Calibri" w:hAnsi="Calibri" w:cs="Calibri"/>
      <w:color w:val="auto"/>
      <w:sz w:val="19"/>
      <w:szCs w:val="19"/>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5158B"/>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95158B"/>
    <w:rPr>
      <w:rFonts w:ascii="Arial" w:eastAsia="Arial" w:hAnsi="Arial" w:cs="Arial"/>
      <w:sz w:val="20"/>
      <w:szCs w:val="20"/>
      <w:shd w:val="clear" w:color="auto" w:fill="FFFFFF"/>
    </w:rPr>
  </w:style>
  <w:style w:type="character" w:customStyle="1" w:styleId="Nadpis3">
    <w:name w:val="Nadpis #3_"/>
    <w:basedOn w:val="Standardnpsmoodstavce"/>
    <w:link w:val="Nadpis30"/>
    <w:rsid w:val="0095158B"/>
    <w:rPr>
      <w:rFonts w:ascii="Arial" w:eastAsia="Arial" w:hAnsi="Arial" w:cs="Arial"/>
      <w:b/>
      <w:bCs/>
      <w:sz w:val="20"/>
      <w:szCs w:val="20"/>
      <w:shd w:val="clear" w:color="auto" w:fill="FFFFFF"/>
    </w:rPr>
  </w:style>
  <w:style w:type="character" w:customStyle="1" w:styleId="Nadpis1">
    <w:name w:val="Nadpis #1_"/>
    <w:basedOn w:val="Standardnpsmoodstavce"/>
    <w:link w:val="Nadpis10"/>
    <w:rsid w:val="0095158B"/>
    <w:rPr>
      <w:rFonts w:ascii="Arial" w:eastAsia="Arial" w:hAnsi="Arial" w:cs="Arial"/>
      <w:b/>
      <w:bCs/>
      <w:w w:val="70"/>
      <w:sz w:val="42"/>
      <w:szCs w:val="42"/>
      <w:shd w:val="clear" w:color="auto" w:fill="FFFFFF"/>
    </w:rPr>
  </w:style>
  <w:style w:type="character" w:customStyle="1" w:styleId="Zkladntext3">
    <w:name w:val="Základní text (3)_"/>
    <w:basedOn w:val="Standardnpsmoodstavce"/>
    <w:link w:val="Zkladntext30"/>
    <w:rsid w:val="0095158B"/>
    <w:rPr>
      <w:rFonts w:ascii="Arial" w:eastAsia="Arial" w:hAnsi="Arial" w:cs="Arial"/>
      <w:sz w:val="12"/>
      <w:szCs w:val="12"/>
      <w:shd w:val="clear" w:color="auto" w:fill="FFFFFF"/>
    </w:rPr>
  </w:style>
  <w:style w:type="character" w:customStyle="1" w:styleId="Titulektabulky">
    <w:name w:val="Titulek tabulky_"/>
    <w:basedOn w:val="Standardnpsmoodstavce"/>
    <w:link w:val="Titulektabulky0"/>
    <w:rsid w:val="0095158B"/>
    <w:rPr>
      <w:rFonts w:ascii="Arial" w:eastAsia="Arial" w:hAnsi="Arial" w:cs="Arial"/>
      <w:sz w:val="9"/>
      <w:szCs w:val="9"/>
      <w:shd w:val="clear" w:color="auto" w:fill="FFFFFF"/>
    </w:rPr>
  </w:style>
  <w:style w:type="character" w:customStyle="1" w:styleId="Jin">
    <w:name w:val="Jiné_"/>
    <w:basedOn w:val="Standardnpsmoodstavce"/>
    <w:link w:val="Jin0"/>
    <w:rsid w:val="0095158B"/>
    <w:rPr>
      <w:rFonts w:ascii="Arial" w:eastAsia="Arial" w:hAnsi="Arial" w:cs="Arial"/>
      <w:sz w:val="20"/>
      <w:szCs w:val="20"/>
      <w:shd w:val="clear" w:color="auto" w:fill="FFFFFF"/>
    </w:rPr>
  </w:style>
  <w:style w:type="character" w:customStyle="1" w:styleId="Zkladntext2">
    <w:name w:val="Základní text (2)_"/>
    <w:basedOn w:val="Standardnpsmoodstavce"/>
    <w:link w:val="Zkladntext20"/>
    <w:rsid w:val="0095158B"/>
    <w:rPr>
      <w:rFonts w:ascii="Calibri" w:eastAsia="Calibri" w:hAnsi="Calibri" w:cs="Calibri"/>
      <w:sz w:val="19"/>
      <w:szCs w:val="19"/>
      <w:shd w:val="clear" w:color="auto" w:fill="FFFFFF"/>
    </w:rPr>
  </w:style>
  <w:style w:type="paragraph" w:customStyle="1" w:styleId="Zkladntext1">
    <w:name w:val="Základní text1"/>
    <w:basedOn w:val="Normln"/>
    <w:link w:val="Zkladntext"/>
    <w:rsid w:val="0095158B"/>
    <w:pPr>
      <w:shd w:val="clear" w:color="auto" w:fill="FFFFFF"/>
      <w:spacing w:line="305" w:lineRule="auto"/>
      <w:jc w:val="both"/>
    </w:pPr>
    <w:rPr>
      <w:rFonts w:ascii="Arial" w:eastAsia="Arial" w:hAnsi="Arial" w:cs="Arial"/>
      <w:color w:val="auto"/>
      <w:sz w:val="20"/>
      <w:szCs w:val="20"/>
      <w:lang w:eastAsia="en-US" w:bidi="ar-SA"/>
    </w:rPr>
  </w:style>
  <w:style w:type="paragraph" w:customStyle="1" w:styleId="Nadpis30">
    <w:name w:val="Nadpis #3"/>
    <w:basedOn w:val="Normln"/>
    <w:link w:val="Nadpis3"/>
    <w:rsid w:val="0095158B"/>
    <w:pPr>
      <w:shd w:val="clear" w:color="auto" w:fill="FFFFFF"/>
      <w:spacing w:after="280" w:line="305" w:lineRule="auto"/>
      <w:ind w:left="560" w:hanging="560"/>
      <w:jc w:val="both"/>
      <w:outlineLvl w:val="2"/>
    </w:pPr>
    <w:rPr>
      <w:rFonts w:ascii="Arial" w:eastAsia="Arial" w:hAnsi="Arial" w:cs="Arial"/>
      <w:b/>
      <w:bCs/>
      <w:color w:val="auto"/>
      <w:sz w:val="20"/>
      <w:szCs w:val="20"/>
      <w:lang w:eastAsia="en-US" w:bidi="ar-SA"/>
    </w:rPr>
  </w:style>
  <w:style w:type="paragraph" w:customStyle="1" w:styleId="Nadpis10">
    <w:name w:val="Nadpis #1"/>
    <w:basedOn w:val="Normln"/>
    <w:link w:val="Nadpis1"/>
    <w:rsid w:val="0095158B"/>
    <w:pPr>
      <w:shd w:val="clear" w:color="auto" w:fill="FFFFFF"/>
      <w:ind w:left="240"/>
      <w:outlineLvl w:val="0"/>
    </w:pPr>
    <w:rPr>
      <w:rFonts w:ascii="Arial" w:eastAsia="Arial" w:hAnsi="Arial" w:cs="Arial"/>
      <w:b/>
      <w:bCs/>
      <w:color w:val="auto"/>
      <w:w w:val="70"/>
      <w:sz w:val="42"/>
      <w:szCs w:val="42"/>
      <w:lang w:eastAsia="en-US" w:bidi="ar-SA"/>
    </w:rPr>
  </w:style>
  <w:style w:type="paragraph" w:customStyle="1" w:styleId="Zkladntext30">
    <w:name w:val="Základní text (3)"/>
    <w:basedOn w:val="Normln"/>
    <w:link w:val="Zkladntext3"/>
    <w:rsid w:val="0095158B"/>
    <w:pPr>
      <w:shd w:val="clear" w:color="auto" w:fill="FFFFFF"/>
      <w:jc w:val="both"/>
    </w:pPr>
    <w:rPr>
      <w:rFonts w:ascii="Arial" w:eastAsia="Arial" w:hAnsi="Arial" w:cs="Arial"/>
      <w:color w:val="auto"/>
      <w:sz w:val="12"/>
      <w:szCs w:val="12"/>
      <w:lang w:eastAsia="en-US" w:bidi="ar-SA"/>
    </w:rPr>
  </w:style>
  <w:style w:type="paragraph" w:customStyle="1" w:styleId="Titulektabulky0">
    <w:name w:val="Titulek tabulky"/>
    <w:basedOn w:val="Normln"/>
    <w:link w:val="Titulektabulky"/>
    <w:rsid w:val="0095158B"/>
    <w:pPr>
      <w:shd w:val="clear" w:color="auto" w:fill="FFFFFF"/>
    </w:pPr>
    <w:rPr>
      <w:rFonts w:ascii="Arial" w:eastAsia="Arial" w:hAnsi="Arial" w:cs="Arial"/>
      <w:color w:val="auto"/>
      <w:sz w:val="9"/>
      <w:szCs w:val="9"/>
      <w:lang w:eastAsia="en-US" w:bidi="ar-SA"/>
    </w:rPr>
  </w:style>
  <w:style w:type="paragraph" w:customStyle="1" w:styleId="Jin0">
    <w:name w:val="Jiné"/>
    <w:basedOn w:val="Normln"/>
    <w:link w:val="Jin"/>
    <w:rsid w:val="0095158B"/>
    <w:pPr>
      <w:shd w:val="clear" w:color="auto" w:fill="FFFFFF"/>
      <w:spacing w:line="305" w:lineRule="auto"/>
      <w:jc w:val="both"/>
    </w:pPr>
    <w:rPr>
      <w:rFonts w:ascii="Arial" w:eastAsia="Arial" w:hAnsi="Arial" w:cs="Arial"/>
      <w:color w:val="auto"/>
      <w:sz w:val="20"/>
      <w:szCs w:val="20"/>
      <w:lang w:eastAsia="en-US" w:bidi="ar-SA"/>
    </w:rPr>
  </w:style>
  <w:style w:type="paragraph" w:customStyle="1" w:styleId="Zkladntext20">
    <w:name w:val="Základní text (2)"/>
    <w:basedOn w:val="Normln"/>
    <w:link w:val="Zkladntext2"/>
    <w:rsid w:val="0095158B"/>
    <w:pPr>
      <w:shd w:val="clear" w:color="auto" w:fill="FFFFFF"/>
      <w:spacing w:after="40" w:line="266" w:lineRule="auto"/>
      <w:jc w:val="both"/>
    </w:pPr>
    <w:rPr>
      <w:rFonts w:ascii="Calibri" w:eastAsia="Calibri" w:hAnsi="Calibri" w:cs="Calibri"/>
      <w:color w:val="auto"/>
      <w:sz w:val="19"/>
      <w:szCs w:val="19"/>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ware.com/resources/compatibility/search.php?deviceCategory=ser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3163</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2019-04-03T08:03:00Z</dcterms:created>
  <dcterms:modified xsi:type="dcterms:W3CDTF">2019-04-03T08:03:00Z</dcterms:modified>
</cp:coreProperties>
</file>