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0" w:name="par1746"/>
      <w:r w:rsidRPr="00BB7528">
        <w:rPr>
          <w:bCs/>
          <w:sz w:val="20"/>
          <w:szCs w:val="20"/>
        </w:rPr>
        <w:t>uzavřená podle § 1746</w:t>
      </w:r>
      <w:bookmarkEnd w:id="0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 xml:space="preserve">Pedagogicko-psychologická poradna Brno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>Hybešova 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DIČ: </w:t>
      </w:r>
      <w:r w:rsidRPr="00BB7528">
        <w:rPr>
          <w:sz w:val="22"/>
          <w:szCs w:val="22"/>
        </w:rPr>
        <w:tab/>
        <w:t>CZ70843155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Zástupce ve věcech smluvních:</w:t>
      </w:r>
      <w:r w:rsidR="009076F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Mgr. Libor Mikulášek, ředitel, ,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Objednávky: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>Hana Součková, hospodářka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adresa:</w:t>
      </w:r>
      <w:r w:rsidRPr="00BB7528">
        <w:rPr>
          <w:sz w:val="22"/>
          <w:szCs w:val="22"/>
        </w:rPr>
        <w:t xml:space="preserve"> </w:t>
      </w:r>
      <w:r w:rsidR="009B0624">
        <w:rPr>
          <w:sz w:val="22"/>
          <w:szCs w:val="22"/>
        </w:rPr>
        <w:t>mvasak@visusagency.cz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 xml:space="preserve">Bankovní spojení: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>Číslo účtu</w:t>
      </w:r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Pr="00BB7528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816A9D" w:rsidRPr="00816A9D" w:rsidRDefault="00275707" w:rsidP="00816A9D">
      <w:pPr>
        <w:numPr>
          <w:ilvl w:val="1"/>
          <w:numId w:val="1"/>
        </w:num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816A9D" w:rsidRDefault="00816A9D" w:rsidP="00816A9D">
      <w:pPr>
        <w:jc w:val="both"/>
        <w:rPr>
          <w:sz w:val="22"/>
          <w:szCs w:val="22"/>
          <w:u w:val="single"/>
        </w:rPr>
      </w:pPr>
      <w:bookmarkStart w:id="1" w:name="_GoBack"/>
      <w:bookmarkEnd w:id="1"/>
    </w:p>
    <w:p w:rsidR="00816A9D" w:rsidRDefault="00816A9D" w:rsidP="00816A9D">
      <w:pPr>
        <w:pStyle w:val="Odstavecseseznamem"/>
        <w:rPr>
          <w:sz w:val="22"/>
          <w:szCs w:val="22"/>
          <w:u w:val="single"/>
        </w:rPr>
      </w:pPr>
    </w:p>
    <w:p w:rsidR="00275707" w:rsidRPr="00F63F3E" w:rsidRDefault="00275707" w:rsidP="00504274">
      <w:pPr>
        <w:numPr>
          <w:ilvl w:val="1"/>
          <w:numId w:val="1"/>
        </w:numPr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lastRenderedPageBreak/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201</w:t>
      </w:r>
      <w:r w:rsidR="009E17DC">
        <w:rPr>
          <w:b/>
        </w:rPr>
        <w:t>9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horzAnchor="page" w:tblpX="585" w:tblpY="44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42"/>
        <w:gridCol w:w="2945"/>
        <w:gridCol w:w="1985"/>
        <w:gridCol w:w="1134"/>
        <w:gridCol w:w="850"/>
        <w:gridCol w:w="850"/>
      </w:tblGrid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název materiálu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Rozměr obálky, typ papíru, barva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obsah rozměr, typ papíru, barva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počet listů </w:t>
            </w: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jednostr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oboustr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Sluchové vnímání-Analýza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, 4 barvy + černá, potisk 4 str.,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Postřehovací slabiky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 + černá, potisk 3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86,30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Struktura čísla 1-10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61,80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Rozcvičovací listy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2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Kreslení před psaním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52,30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Čtení pro mne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Prostorová orientace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Zrakové rozlišování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Psaní s hraním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47,40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4 barva+ černá, potisk 4 str. lesk lamino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 -Měkčení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 g Bo,4  barvy+ černá, potisk 4 str.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Dysortografické tabulky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297x488,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76,10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Předčíselné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představy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67,10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8C1FD0" w:rsidRDefault="008C1FD0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tblpX="1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051"/>
        <w:gridCol w:w="2831"/>
        <w:gridCol w:w="1902"/>
        <w:gridCol w:w="604"/>
        <w:gridCol w:w="510"/>
        <w:gridCol w:w="1195"/>
      </w:tblGrid>
      <w:tr w:rsidR="009545FB" w:rsidRPr="00C11E3A" w:rsidTr="004036C5">
        <w:trPr>
          <w:trHeight w:hRule="exact" w:val="1292"/>
        </w:trPr>
        <w:tc>
          <w:tcPr>
            <w:tcW w:w="834" w:type="dxa"/>
          </w:tcPr>
          <w:p w:rsidR="009545FB" w:rsidRPr="00C11E3A" w:rsidRDefault="009545FB" w:rsidP="004036C5">
            <w:pPr>
              <w:spacing w:before="6" w:line="13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1" w:line="294" w:lineRule="auto"/>
              <w:ind w:left="84" w:right="59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školní</w:t>
            </w:r>
            <w:r w:rsidRPr="00C11E3A">
              <w:rPr>
                <w:rFonts w:eastAsia="Arial"/>
                <w:color w:val="000000" w:themeColor="text1"/>
                <w:w w:val="21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10"/>
                <w:w w:val="106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 xml:space="preserve"> varianta</w:t>
            </w:r>
            <w:r w:rsidRPr="00C11E3A">
              <w:rPr>
                <w:rFonts w:eastAsia="Arial"/>
                <w:color w:val="000000" w:themeColor="text1"/>
                <w:spacing w:val="1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45FB" w:rsidRPr="00C11E3A" w:rsidTr="004036C5">
        <w:trPr>
          <w:trHeight w:hRule="exact" w:val="1830"/>
        </w:trPr>
        <w:tc>
          <w:tcPr>
            <w:tcW w:w="834" w:type="dxa"/>
          </w:tcPr>
          <w:p w:rsidR="009545FB" w:rsidRPr="00C11E3A" w:rsidRDefault="009545FB" w:rsidP="004036C5">
            <w:pPr>
              <w:spacing w:before="3" w:line="14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5"/>
                <w:sz w:val="18"/>
                <w:szCs w:val="18"/>
              </w:rPr>
              <w:t>5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84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4" w:lineRule="auto"/>
              <w:ind w:left="75" w:right="22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1"/>
                <w:w w:val="108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ti</w:t>
            </w:r>
            <w:r w:rsidRPr="00C11E3A">
              <w:rPr>
                <w:rFonts w:eastAsia="Arial"/>
                <w:color w:val="000000" w:themeColor="text1"/>
                <w:spacing w:val="11"/>
                <w:w w:val="10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. </w:t>
            </w:r>
          </w:p>
          <w:p w:rsidR="009545FB" w:rsidRPr="00C11E3A" w:rsidRDefault="009545FB" w:rsidP="004036C5">
            <w:pPr>
              <w:spacing w:before="4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  <w:tr w:rsidR="009545FB" w:rsidRPr="00C11E3A" w:rsidTr="004036C5">
        <w:trPr>
          <w:trHeight w:hRule="exact" w:val="1846"/>
        </w:trPr>
        <w:tc>
          <w:tcPr>
            <w:tcW w:w="834" w:type="dxa"/>
          </w:tcPr>
          <w:p w:rsidR="009545FB" w:rsidRPr="00C11E3A" w:rsidRDefault="009545FB" w:rsidP="004036C5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2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6</w:t>
            </w:r>
            <w:r w:rsidRPr="00C11E3A">
              <w:rPr>
                <w:rFonts w:eastAsia="Arial"/>
                <w:color w:val="000000" w:themeColor="text1"/>
                <w:w w:val="157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1" w:lineRule="auto"/>
              <w:ind w:left="70" w:right="28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matema</w:t>
            </w:r>
            <w:r w:rsidRPr="00C11E3A">
              <w:rPr>
                <w:rFonts w:eastAsia="Arial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spacing w:val="-6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2"/>
                <w:sz w:val="18"/>
                <w:szCs w:val="18"/>
              </w:rPr>
              <w:t>ckých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dovednosti,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</w:p>
          <w:p w:rsidR="009545FB" w:rsidRPr="00C11E3A" w:rsidRDefault="009545FB" w:rsidP="004036C5">
            <w:pPr>
              <w:spacing w:before="1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  <w:tr w:rsidR="009545FB" w:rsidRPr="00C11E3A" w:rsidTr="004036C5">
        <w:trPr>
          <w:trHeight w:hRule="exact" w:val="182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6" w:right="23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6" w:line="296" w:lineRule="auto"/>
              <w:ind w:left="65" w:right="19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 xml:space="preserve">tí </w:t>
            </w:r>
            <w:r w:rsidRPr="00C11E3A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v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čte</w:t>
            </w:r>
            <w:r w:rsidRPr="00C11E3A">
              <w:rPr>
                <w:rFonts w:eastAsia="Arial"/>
                <w:color w:val="000000" w:themeColor="text1"/>
                <w:spacing w:val="2"/>
                <w:w w:val="108"/>
                <w:sz w:val="18"/>
                <w:szCs w:val="18"/>
              </w:rPr>
              <w:t>ní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pacing w:val="6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  <w:tr w:rsidR="009545FB" w:rsidRPr="00C11E3A" w:rsidTr="004036C5">
        <w:trPr>
          <w:trHeight w:hRule="exact" w:val="1426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29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8"/>
                <w:sz w:val="18"/>
                <w:szCs w:val="18"/>
              </w:rPr>
              <w:t>8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5"/>
              <w:ind w:left="7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dovedností v oblas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 xml:space="preserve">čtení 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7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ro 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  <w:tr w:rsidR="009545FB" w:rsidRPr="00C11E3A" w:rsidTr="004036C5">
        <w:trPr>
          <w:trHeight w:hRule="exact" w:val="1418"/>
        </w:trPr>
        <w:tc>
          <w:tcPr>
            <w:tcW w:w="834" w:type="dxa"/>
          </w:tcPr>
          <w:p w:rsidR="009545FB" w:rsidRPr="00C11E3A" w:rsidRDefault="009545FB" w:rsidP="004036C5">
            <w:pPr>
              <w:spacing w:line="15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30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2"/>
                <w:w w:val="108"/>
                <w:sz w:val="18"/>
                <w:szCs w:val="18"/>
              </w:rPr>
              <w:t>9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2"/>
                <w:w w:val="106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připravenost</w:t>
            </w:r>
            <w:r w:rsidRPr="00C11E3A">
              <w:rPr>
                <w:rFonts w:eastAsia="Arial"/>
                <w:color w:val="000000" w:themeColor="text1"/>
                <w:spacing w:val="-17"/>
                <w:w w:val="107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3"/>
              <w:ind w:left="6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  <w:tr w:rsidR="009545FB" w:rsidRPr="00C11E3A" w:rsidTr="004036C5">
        <w:trPr>
          <w:trHeight w:hRule="exact" w:val="26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9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2" w:right="24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4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4"/>
                <w:sz w:val="18"/>
                <w:szCs w:val="18"/>
              </w:rPr>
              <w:t>0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9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 xml:space="preserve">tí 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dovedností, 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5"/>
              <w:ind w:left="5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zařízení,</w:t>
            </w:r>
            <w:r w:rsidRPr="00C11E3A">
              <w:rPr>
                <w:rFonts w:eastAsia="Arial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87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ind w:left="6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71,20</w:t>
            </w:r>
          </w:p>
        </w:tc>
      </w:tr>
      <w:tr w:rsidR="009545FB" w:rsidRPr="00C11E3A" w:rsidTr="004036C5">
        <w:trPr>
          <w:trHeight w:hRule="exact" w:val="142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7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8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21.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8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2"/>
                <w:w w:val="91"/>
                <w:sz w:val="18"/>
                <w:szCs w:val="18"/>
              </w:rPr>
              <w:t>D</w:t>
            </w:r>
            <w:r w:rsidRPr="00C11E3A">
              <w:rPr>
                <w:rFonts w:eastAsia="Arial"/>
                <w:color w:val="000000" w:themeColor="text1"/>
                <w:spacing w:val="-5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9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>tí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2"/>
                <w:w w:val="105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21"/>
                <w:sz w:val="18"/>
                <w:szCs w:val="18"/>
              </w:rPr>
              <w:t>ti,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line="169" w:lineRule="exact"/>
              <w:ind w:left="51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  <w:tr w:rsidR="009545FB" w:rsidRPr="00C11E3A" w:rsidTr="004036C5">
        <w:trPr>
          <w:trHeight w:hRule="exact" w:val="130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9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6" w:line="22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1" w:line="293" w:lineRule="auto"/>
              <w:ind w:left="51" w:right="85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page" w:horzAnchor="margin" w:tblpX="147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4036C5">
        <w:trPr>
          <w:trHeight w:hRule="exact" w:val="1997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23.</w:t>
            </w:r>
          </w:p>
        </w:tc>
        <w:tc>
          <w:tcPr>
            <w:tcW w:w="212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3" w:line="293" w:lineRule="auto"/>
              <w:ind w:left="69" w:right="30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71,20</w:t>
            </w:r>
          </w:p>
        </w:tc>
      </w:tr>
    </w:tbl>
    <w:tbl>
      <w:tblPr>
        <w:tblpPr w:leftFromText="141" w:rightFromText="141" w:vertAnchor="text" w:horzAnchor="margin" w:tblpX="147" w:tblpY="1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9545FB">
        <w:trPr>
          <w:trHeight w:hRule="exact" w:val="1070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24.</w:t>
            </w:r>
          </w:p>
        </w:tc>
        <w:tc>
          <w:tcPr>
            <w:tcW w:w="212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Obrazová příloha ESS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297x445, 250 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barva+ černá, potisk 2 str. lesk lamino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barevné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606,00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lastRenderedPageBreak/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bez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0,80 Kč</w:t>
      </w:r>
      <w:r w:rsidRPr="009B0624">
        <w:rPr>
          <w:sz w:val="22"/>
          <w:szCs w:val="22"/>
        </w:rPr>
        <w:t xml:space="preserve">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7856AE">
        <w:rPr>
          <w:sz w:val="22"/>
          <w:szCs w:val="22"/>
        </w:rPr>
        <w:t>5,00</w:t>
      </w:r>
      <w:r w:rsidR="009B0624">
        <w:rPr>
          <w:sz w:val="22"/>
          <w:szCs w:val="22"/>
        </w:rPr>
        <w:t xml:space="preserve"> Kč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Práva a závazky touto smlouvou neupravené se řídí ustanoveními zákona č. </w:t>
      </w:r>
      <w:r w:rsidR="001D525C" w:rsidRPr="00BB7528">
        <w:t xml:space="preserve">89/2012, občanský zákoník, ve znění pozdějších předpisů a ustanoveními zákona č. 121/2000 Sb., o právu autorském, o právech souvisejících s právem autorským a o změně některých zákonů (autorský zákon). </w:t>
      </w:r>
    </w:p>
    <w:p w:rsidR="00F63F3E" w:rsidRPr="00BB7528" w:rsidRDefault="00F63F3E" w:rsidP="00F63F3E">
      <w:pPr>
        <w:pStyle w:val="Zkladntext"/>
        <w:keepLines/>
        <w:ind w:left="540"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Změny nebo doplnění smlouvy lze učinit výlučně písemně formou dodatků, potvrzených oprávněnými zástupci</w:t>
      </w:r>
      <w:r w:rsidR="00F63F3E">
        <w:t xml:space="preserve"> 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Smlouva nabývá platnosti a účinnosti dnem podpisu obou smluvních stran. </w:t>
      </w:r>
    </w:p>
    <w:p w:rsidR="00F63F3E" w:rsidRPr="00BB7528" w:rsidRDefault="00F63F3E" w:rsidP="00F63F3E">
      <w:pPr>
        <w:pStyle w:val="Zkladntext"/>
        <w:keepLines/>
        <w:jc w:val="both"/>
      </w:pPr>
    </w:p>
    <w:p w:rsidR="0055477B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Smlouva je vyhotovena ve dvou stejnopisech, z nichž po jednom obdrží každá ze 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F42C98" w:rsidRPr="009D1DFB" w:rsidRDefault="00F42C98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9D1DFB">
        <w:t xml:space="preserve">Dodavatel souhlasí se zveřejněním této rámcové smlouvy a faktur s ní souvisejících na protikorupčním portálu Jihomoravského kraje </w:t>
      </w:r>
      <w:hyperlink r:id="rId7" w:history="1">
        <w:r w:rsidRPr="009D1DFB">
          <w:t>https://zakazky.krajbezkorupce.cz</w:t>
        </w:r>
      </w:hyperlink>
      <w:r w:rsidRPr="009D1DFB"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275707" w:rsidRPr="00E15946" w:rsidRDefault="00DE1FBC" w:rsidP="00DE1FBC">
      <w:pPr>
        <w:ind w:left="5040" w:hanging="5040"/>
        <w:jc w:val="center"/>
        <w:rPr>
          <w:b/>
          <w:sz w:val="22"/>
          <w:szCs w:val="22"/>
        </w:rPr>
      </w:pPr>
      <w:r w:rsidRPr="00E15946">
        <w:rPr>
          <w:b/>
          <w:sz w:val="22"/>
          <w:szCs w:val="22"/>
        </w:rPr>
        <w:lastRenderedPageBreak/>
        <w:t>VIII.</w:t>
      </w:r>
    </w:p>
    <w:p w:rsidR="00242150" w:rsidRPr="009516E1" w:rsidRDefault="00242150" w:rsidP="00242150">
      <w:pPr>
        <w:spacing w:after="120"/>
        <w:ind w:left="540" w:hanging="540"/>
        <w:jc w:val="center"/>
        <w:rPr>
          <w:rFonts w:ascii="Calibri" w:hAnsi="Calibri"/>
          <w:b/>
        </w:rPr>
      </w:pPr>
      <w:r w:rsidRPr="009516E1">
        <w:rPr>
          <w:rFonts w:ascii="Calibri" w:hAnsi="Calibri"/>
          <w:b/>
        </w:rPr>
        <w:t>Ochrana obchodního tajemství</w:t>
      </w:r>
    </w:p>
    <w:p w:rsidR="00242150" w:rsidRPr="00E15946" w:rsidRDefault="00242150" w:rsidP="00242150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9516E1">
        <w:rPr>
          <w:rFonts w:ascii="Calibri" w:hAnsi="Calibri"/>
        </w:rPr>
        <w:t xml:space="preserve"> </w:t>
      </w:r>
      <w:r w:rsidRPr="00E15946">
        <w:rPr>
          <w:sz w:val="22"/>
          <w:szCs w:val="22"/>
        </w:rPr>
        <w:t>1.</w:t>
      </w:r>
      <w:r w:rsidRPr="00E15946">
        <w:rPr>
          <w:sz w:val="22"/>
          <w:szCs w:val="22"/>
        </w:rPr>
        <w:tab/>
      </w:r>
      <w:r w:rsidRPr="00E15946">
        <w:rPr>
          <w:color w:val="000000"/>
          <w:sz w:val="22"/>
          <w:szCs w:val="22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242150" w:rsidRPr="00E15946" w:rsidRDefault="00242150" w:rsidP="00242150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E15946">
        <w:rPr>
          <w:sz w:val="22"/>
          <w:szCs w:val="22"/>
        </w:rPr>
        <w:t xml:space="preserve">2. </w:t>
      </w:r>
      <w:r w:rsidRPr="00E15946">
        <w:rPr>
          <w:sz w:val="22"/>
          <w:szCs w:val="22"/>
        </w:rPr>
        <w:tab/>
      </w:r>
      <w:r w:rsidRPr="00E15946">
        <w:rPr>
          <w:color w:val="000000"/>
          <w:sz w:val="22"/>
          <w:szCs w:val="22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obchodního tajemství po dobu platnosti a účinnosti této smlouvy a další pět let po jejím ukončení. Smluvní strany se zavazují nejpozději při ukončení smlouvy vrátit druhé smluvní straně veškeré písemnosti, které jí náleží.</w:t>
      </w:r>
    </w:p>
    <w:p w:rsidR="00242150" w:rsidRPr="00E15946" w:rsidRDefault="00242150" w:rsidP="00242150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E15946">
        <w:rPr>
          <w:sz w:val="22"/>
          <w:szCs w:val="22"/>
        </w:rPr>
        <w:t>3.</w:t>
      </w:r>
      <w:r w:rsidRPr="00E15946">
        <w:rPr>
          <w:color w:val="000000"/>
          <w:sz w:val="22"/>
          <w:szCs w:val="22"/>
        </w:rPr>
        <w:t xml:space="preserve"> </w:t>
      </w:r>
      <w:r w:rsidRPr="00E15946">
        <w:rPr>
          <w:color w:val="000000"/>
          <w:sz w:val="22"/>
          <w:szCs w:val="22"/>
        </w:rPr>
        <w:tab/>
        <w:t xml:space="preserve">Dle zákona 101/2000 Sb. </w:t>
      </w:r>
      <w:r w:rsidRPr="00E15946">
        <w:rPr>
          <w:sz w:val="22"/>
          <w:szCs w:val="22"/>
        </w:rPr>
        <w:t xml:space="preserve">o ochraně osobních údajů </w:t>
      </w:r>
      <w:r w:rsidRPr="00E15946">
        <w:rPr>
          <w:color w:val="000000"/>
          <w:sz w:val="22"/>
          <w:szCs w:val="22"/>
        </w:rPr>
        <w:t>se zhotovitel zavazuje zachovávat mlčenlivost o všech skutečnostech, o nichž se dozvěděl v souvislosti s poskytováním plnění a služeb, které jsou předmětem této smlouvy.</w:t>
      </w:r>
    </w:p>
    <w:p w:rsidR="00DE1FBC" w:rsidRDefault="00DE1FBC" w:rsidP="00DE1FBC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F9681F">
        <w:rPr>
          <w:sz w:val="22"/>
          <w:szCs w:val="22"/>
        </w:rPr>
        <w:t>2</w:t>
      </w:r>
      <w:r w:rsidR="007D0AE6">
        <w:rPr>
          <w:sz w:val="22"/>
          <w:szCs w:val="22"/>
        </w:rPr>
        <w:t>9</w:t>
      </w:r>
      <w:r w:rsidR="00D658E7" w:rsidRPr="00776DB2">
        <w:rPr>
          <w:sz w:val="22"/>
          <w:szCs w:val="22"/>
        </w:rPr>
        <w:t>.</w:t>
      </w:r>
      <w:r w:rsidR="007D0AE6">
        <w:rPr>
          <w:sz w:val="22"/>
          <w:szCs w:val="22"/>
        </w:rPr>
        <w:t>3</w:t>
      </w:r>
      <w:r w:rsidR="00F9681F">
        <w:rPr>
          <w:sz w:val="22"/>
          <w:szCs w:val="22"/>
        </w:rPr>
        <w:t>. 201</w:t>
      </w:r>
      <w:r w:rsidR="007D0AE6">
        <w:rPr>
          <w:sz w:val="22"/>
          <w:szCs w:val="22"/>
        </w:rPr>
        <w:t>9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</w:p>
    <w:p w:rsidR="00275707" w:rsidRPr="00BB7528" w:rsidRDefault="00275707" w:rsidP="00F63F3E">
      <w:pPr>
        <w:pStyle w:val="Zkladntext2"/>
      </w:pPr>
    </w:p>
    <w:sectPr w:rsidR="00275707" w:rsidRPr="00BB7528" w:rsidSect="00F63F3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7F" w:rsidRDefault="000D327F">
      <w:r>
        <w:separator/>
      </w:r>
    </w:p>
  </w:endnote>
  <w:endnote w:type="continuationSeparator" w:id="0">
    <w:p w:rsidR="000D327F" w:rsidRDefault="000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6A9D">
      <w:rPr>
        <w:rStyle w:val="slostrnky"/>
        <w:noProof/>
      </w:rPr>
      <w:t>2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7F" w:rsidRDefault="000D327F">
      <w:r>
        <w:separator/>
      </w:r>
    </w:p>
  </w:footnote>
  <w:footnote w:type="continuationSeparator" w:id="0">
    <w:p w:rsidR="000D327F" w:rsidRDefault="000D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 w15:restartNumberingAfterBreak="0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B7D01"/>
    <w:rsid w:val="000C7A39"/>
    <w:rsid w:val="000D1E2C"/>
    <w:rsid w:val="000D327F"/>
    <w:rsid w:val="000F0DBE"/>
    <w:rsid w:val="000F7559"/>
    <w:rsid w:val="00101286"/>
    <w:rsid w:val="00101F7E"/>
    <w:rsid w:val="0012098E"/>
    <w:rsid w:val="00135A1D"/>
    <w:rsid w:val="00146765"/>
    <w:rsid w:val="00147F67"/>
    <w:rsid w:val="00151345"/>
    <w:rsid w:val="00180889"/>
    <w:rsid w:val="001C5724"/>
    <w:rsid w:val="001D525C"/>
    <w:rsid w:val="001E49CD"/>
    <w:rsid w:val="001F0EB4"/>
    <w:rsid w:val="001F4AC5"/>
    <w:rsid w:val="0022283F"/>
    <w:rsid w:val="00222B55"/>
    <w:rsid w:val="00235B9D"/>
    <w:rsid w:val="00242150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3DF8"/>
    <w:rsid w:val="002E5294"/>
    <w:rsid w:val="002F53B7"/>
    <w:rsid w:val="00315EFB"/>
    <w:rsid w:val="00316655"/>
    <w:rsid w:val="00351679"/>
    <w:rsid w:val="003571BA"/>
    <w:rsid w:val="00397DBE"/>
    <w:rsid w:val="003A5F15"/>
    <w:rsid w:val="003C6924"/>
    <w:rsid w:val="003D78AA"/>
    <w:rsid w:val="003E1AD9"/>
    <w:rsid w:val="003F42FC"/>
    <w:rsid w:val="003F4873"/>
    <w:rsid w:val="0041311B"/>
    <w:rsid w:val="00417D54"/>
    <w:rsid w:val="00431848"/>
    <w:rsid w:val="004339EF"/>
    <w:rsid w:val="00440A4B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504274"/>
    <w:rsid w:val="00505549"/>
    <w:rsid w:val="0051075F"/>
    <w:rsid w:val="005145FC"/>
    <w:rsid w:val="00523F36"/>
    <w:rsid w:val="0055477B"/>
    <w:rsid w:val="0056560D"/>
    <w:rsid w:val="00571CA0"/>
    <w:rsid w:val="00585D6F"/>
    <w:rsid w:val="00593A2E"/>
    <w:rsid w:val="005A6F8B"/>
    <w:rsid w:val="005B2F45"/>
    <w:rsid w:val="005B3435"/>
    <w:rsid w:val="005C353D"/>
    <w:rsid w:val="005D7A84"/>
    <w:rsid w:val="005E0D82"/>
    <w:rsid w:val="005E48E3"/>
    <w:rsid w:val="005E5BA8"/>
    <w:rsid w:val="00615103"/>
    <w:rsid w:val="006151F7"/>
    <w:rsid w:val="006242CE"/>
    <w:rsid w:val="006259E8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7572"/>
    <w:rsid w:val="006D0346"/>
    <w:rsid w:val="006D58CA"/>
    <w:rsid w:val="00713FC6"/>
    <w:rsid w:val="007146D1"/>
    <w:rsid w:val="00716077"/>
    <w:rsid w:val="00751383"/>
    <w:rsid w:val="0075753C"/>
    <w:rsid w:val="00765D15"/>
    <w:rsid w:val="00776DB2"/>
    <w:rsid w:val="007856AE"/>
    <w:rsid w:val="00785ACD"/>
    <w:rsid w:val="007A2E06"/>
    <w:rsid w:val="007A32C4"/>
    <w:rsid w:val="007A5B08"/>
    <w:rsid w:val="007C0E23"/>
    <w:rsid w:val="007C309C"/>
    <w:rsid w:val="007C4EE4"/>
    <w:rsid w:val="007D0AE6"/>
    <w:rsid w:val="007E6062"/>
    <w:rsid w:val="007E73C5"/>
    <w:rsid w:val="00811EBD"/>
    <w:rsid w:val="008169F5"/>
    <w:rsid w:val="00816A9D"/>
    <w:rsid w:val="00826DAB"/>
    <w:rsid w:val="00830F25"/>
    <w:rsid w:val="008572EF"/>
    <w:rsid w:val="0085795D"/>
    <w:rsid w:val="00864D94"/>
    <w:rsid w:val="00866226"/>
    <w:rsid w:val="00872A40"/>
    <w:rsid w:val="008973F5"/>
    <w:rsid w:val="008A0D4B"/>
    <w:rsid w:val="008A10EE"/>
    <w:rsid w:val="008C05AB"/>
    <w:rsid w:val="008C1FD0"/>
    <w:rsid w:val="008C3170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545FB"/>
    <w:rsid w:val="00964B4B"/>
    <w:rsid w:val="009654B7"/>
    <w:rsid w:val="00965AAA"/>
    <w:rsid w:val="009733E4"/>
    <w:rsid w:val="00981A85"/>
    <w:rsid w:val="00984925"/>
    <w:rsid w:val="00987D7A"/>
    <w:rsid w:val="00990C47"/>
    <w:rsid w:val="0099447E"/>
    <w:rsid w:val="009A3D73"/>
    <w:rsid w:val="009A6601"/>
    <w:rsid w:val="009A691C"/>
    <w:rsid w:val="009B0624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27A78"/>
    <w:rsid w:val="00A5626E"/>
    <w:rsid w:val="00A631E0"/>
    <w:rsid w:val="00A65C95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17BAB"/>
    <w:rsid w:val="00C239C6"/>
    <w:rsid w:val="00C24F4A"/>
    <w:rsid w:val="00C35965"/>
    <w:rsid w:val="00C41F50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4E0A"/>
    <w:rsid w:val="00D15069"/>
    <w:rsid w:val="00D155CC"/>
    <w:rsid w:val="00D17322"/>
    <w:rsid w:val="00D3319D"/>
    <w:rsid w:val="00D42222"/>
    <w:rsid w:val="00D509C3"/>
    <w:rsid w:val="00D6256F"/>
    <w:rsid w:val="00D64E24"/>
    <w:rsid w:val="00D658E7"/>
    <w:rsid w:val="00D7014D"/>
    <w:rsid w:val="00D74440"/>
    <w:rsid w:val="00D7451E"/>
    <w:rsid w:val="00D854EE"/>
    <w:rsid w:val="00D962AC"/>
    <w:rsid w:val="00DB1284"/>
    <w:rsid w:val="00DC01FB"/>
    <w:rsid w:val="00DC0764"/>
    <w:rsid w:val="00DC4339"/>
    <w:rsid w:val="00DD1DCB"/>
    <w:rsid w:val="00DE1FBC"/>
    <w:rsid w:val="00E00856"/>
    <w:rsid w:val="00E04C75"/>
    <w:rsid w:val="00E069E9"/>
    <w:rsid w:val="00E1109B"/>
    <w:rsid w:val="00E126F6"/>
    <w:rsid w:val="00E15946"/>
    <w:rsid w:val="00E34D94"/>
    <w:rsid w:val="00E359F3"/>
    <w:rsid w:val="00E41821"/>
    <w:rsid w:val="00E44308"/>
    <w:rsid w:val="00E53141"/>
    <w:rsid w:val="00E731C1"/>
    <w:rsid w:val="00E830EC"/>
    <w:rsid w:val="00E86600"/>
    <w:rsid w:val="00EB088E"/>
    <w:rsid w:val="00EF0939"/>
    <w:rsid w:val="00EF7DFD"/>
    <w:rsid w:val="00F0021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5290"/>
    <w:rsid w:val="00FF23E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1D6A4"/>
  <w15:docId w15:val="{E29D1C25-B544-40D0-B8BE-4CDAE2D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</cp:lastModifiedBy>
  <cp:revision>3</cp:revision>
  <cp:lastPrinted>2019-04-01T07:58:00Z</cp:lastPrinted>
  <dcterms:created xsi:type="dcterms:W3CDTF">2019-04-03T07:17:00Z</dcterms:created>
  <dcterms:modified xsi:type="dcterms:W3CDTF">2019-04-03T07:20:00Z</dcterms:modified>
</cp:coreProperties>
</file>