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F5A" w:rsidRDefault="00235ECE">
      <w:pPr>
        <w:spacing w:after="589" w:line="238" w:lineRule="auto"/>
        <w:ind w:left="2406" w:right="2435"/>
        <w:jc w:val="center"/>
      </w:pPr>
      <w:bookmarkStart w:id="0" w:name="_GoBack"/>
      <w:bookmarkEnd w:id="0"/>
      <w:r>
        <w:rPr>
          <w:sz w:val="38"/>
        </w:rPr>
        <w:t>Smlouva o poskytování právních služeb</w:t>
      </w:r>
    </w:p>
    <w:p w:rsidR="003D1F5A" w:rsidRDefault="00235ECE">
      <w:pPr>
        <w:ind w:right="67"/>
      </w:pPr>
      <w:r>
        <w:t>Školní statek, Opava, příspěvková organizace</w:t>
      </w:r>
    </w:p>
    <w:p w:rsidR="003D1F5A" w:rsidRDefault="00235ECE">
      <w:pPr>
        <w:spacing w:line="256" w:lineRule="auto"/>
        <w:ind w:left="115" w:hanging="10"/>
        <w:jc w:val="left"/>
      </w:pPr>
      <w:r>
        <w:rPr>
          <w:sz w:val="26"/>
        </w:rPr>
        <w:t>Se sídlem Englišova 526</w:t>
      </w:r>
    </w:p>
    <w:p w:rsidR="003D1F5A" w:rsidRDefault="00235ECE">
      <w:pPr>
        <w:ind w:left="134" w:right="67"/>
      </w:pPr>
      <w:r>
        <w:t>746 01 Opava</w:t>
      </w:r>
    </w:p>
    <w:p w:rsidR="003D1F5A" w:rsidRDefault="00235ECE">
      <w:pPr>
        <w:spacing w:after="1" w:line="261" w:lineRule="auto"/>
        <w:ind w:left="120" w:right="4086" w:hanging="10"/>
        <w:jc w:val="left"/>
      </w:pPr>
      <w:r>
        <w:rPr>
          <w:sz w:val="24"/>
        </w:rPr>
        <w:t>IČ : 00098752</w:t>
      </w:r>
    </w:p>
    <w:p w:rsidR="003D1F5A" w:rsidRDefault="00235ECE">
      <w:pPr>
        <w:spacing w:after="1" w:line="261" w:lineRule="auto"/>
        <w:ind w:left="120" w:right="4086" w:hanging="10"/>
        <w:jc w:val="left"/>
      </w:pPr>
      <w:r>
        <w:rPr>
          <w:sz w:val="24"/>
        </w:rPr>
        <w:t>DIČ : CZ00098752</w:t>
      </w:r>
    </w:p>
    <w:p w:rsidR="003D1F5A" w:rsidRDefault="00235ECE">
      <w:pPr>
        <w:ind w:left="120" w:right="67"/>
      </w:pPr>
      <w:r>
        <w:t>Zastoupena Ing.Arnošt Klein , ředitel školního statku</w:t>
      </w:r>
    </w:p>
    <w:p w:rsidR="003D1F5A" w:rsidRDefault="00235ECE">
      <w:pPr>
        <w:spacing w:line="256" w:lineRule="auto"/>
        <w:ind w:left="115" w:right="2915" w:hanging="10"/>
        <w:jc w:val="left"/>
      </w:pPr>
      <w:r>
        <w:rPr>
          <w:sz w:val="26"/>
        </w:rPr>
        <w:t>Zřizovací listina MS kraje Spisová značka : Č.j. ZL/216/2001 (dále jen klient) a</w:t>
      </w:r>
    </w:p>
    <w:p w:rsidR="003D1F5A" w:rsidRDefault="00235ECE">
      <w:pPr>
        <w:ind w:left="52" w:right="1863"/>
      </w:pPr>
      <w:r>
        <w:t>JUDr. Luděk Zakopal, tr. bytem, Rudná Pod Pradědem 197, advokát</w:t>
      </w:r>
    </w:p>
    <w:p w:rsidR="003D1F5A" w:rsidRDefault="00235ECE">
      <w:pPr>
        <w:spacing w:after="1" w:line="261" w:lineRule="auto"/>
        <w:ind w:left="120" w:right="4086" w:hanging="10"/>
        <w:jc w:val="left"/>
      </w:pPr>
      <w:r>
        <w:rPr>
          <w:sz w:val="24"/>
        </w:rPr>
        <w:t>r.č. 520303/001</w:t>
      </w:r>
    </w:p>
    <w:p w:rsidR="003D1F5A" w:rsidRDefault="00235ECE">
      <w:pPr>
        <w:spacing w:after="1" w:line="261" w:lineRule="auto"/>
        <w:ind w:left="120" w:right="4086" w:hanging="10"/>
        <w:jc w:val="left"/>
      </w:pPr>
      <w:r>
        <w:rPr>
          <w:sz w:val="24"/>
        </w:rPr>
        <w:t>1Č.66223610, DIČ: CZ520303001 se sídlem Bruntál, Nádražní 1987/44, PSČ 792 01</w:t>
      </w:r>
    </w:p>
    <w:p w:rsidR="003D1F5A" w:rsidRDefault="00235ECE">
      <w:pPr>
        <w:spacing w:line="256" w:lineRule="auto"/>
        <w:ind w:left="115" w:hanging="10"/>
        <w:jc w:val="left"/>
      </w:pPr>
      <w:r>
        <w:rPr>
          <w:sz w:val="26"/>
        </w:rPr>
        <w:t>č. osv. ČAK 3857</w:t>
      </w:r>
    </w:p>
    <w:p w:rsidR="003D1F5A" w:rsidRDefault="00235ECE">
      <w:pPr>
        <w:spacing w:line="455" w:lineRule="auto"/>
        <w:ind w:left="52" w:right="3971"/>
      </w:pPr>
      <w:r>
        <w:t>(dále jen právní kancelář, nebo advokát) uzavírají dnešního dne, měsíce a roku</w:t>
      </w:r>
    </w:p>
    <w:p w:rsidR="003D1F5A" w:rsidRDefault="00235ECE">
      <w:pPr>
        <w:spacing w:after="329" w:line="259" w:lineRule="auto"/>
        <w:ind w:left="269" w:hanging="10"/>
        <w:jc w:val="center"/>
      </w:pPr>
      <w:r>
        <w:t>smlouvu o poskytování právních služeb</w:t>
      </w:r>
    </w:p>
    <w:p w:rsidR="003D1F5A" w:rsidRDefault="00235ECE">
      <w:pPr>
        <w:spacing w:after="164" w:line="256" w:lineRule="auto"/>
        <w:ind w:left="115" w:hanging="10"/>
        <w:jc w:val="left"/>
      </w:pPr>
      <w:r>
        <w:rPr>
          <w:sz w:val="26"/>
        </w:rPr>
        <w:t>následujícího znění :</w:t>
      </w:r>
    </w:p>
    <w:p w:rsidR="003D1F5A" w:rsidRDefault="00235ECE">
      <w:pPr>
        <w:spacing w:after="0" w:line="259" w:lineRule="auto"/>
        <w:ind w:left="10" w:right="115" w:hanging="10"/>
        <w:jc w:val="center"/>
      </w:pPr>
      <w:r>
        <w:rPr>
          <w:sz w:val="26"/>
        </w:rPr>
        <w:t>1.</w:t>
      </w:r>
    </w:p>
    <w:p w:rsidR="003D1F5A" w:rsidRDefault="00235ECE">
      <w:pPr>
        <w:spacing w:after="4" w:line="259" w:lineRule="auto"/>
        <w:ind w:left="269" w:right="375" w:hanging="10"/>
        <w:jc w:val="center"/>
      </w:pPr>
      <w:r>
        <w:t>Preambule</w:t>
      </w:r>
    </w:p>
    <w:p w:rsidR="003D1F5A" w:rsidRDefault="00235ECE">
      <w:pPr>
        <w:spacing w:after="328" w:line="243" w:lineRule="auto"/>
        <w:ind w:left="81" w:right="226" w:hanging="10"/>
        <w:jc w:val="left"/>
      </w:pPr>
      <w:r>
        <w:t>Advokát je zapsán v seznamu advokátů Advokátní komory České republiky pod číslem 3857 a je oprávněn ve smyslu ustanovení S 1 zákona č. 86/1996 Sb., o advokacii poskytovat právní služby jako nezávislé povolání za úplatu.</w:t>
      </w:r>
    </w:p>
    <w:p w:rsidR="003D1F5A" w:rsidRDefault="00235ECE">
      <w:pPr>
        <w:spacing w:after="55" w:line="259" w:lineRule="auto"/>
        <w:ind w:left="10" w:right="134" w:hanging="10"/>
        <w:jc w:val="center"/>
      </w:pPr>
      <w:r>
        <w:rPr>
          <w:sz w:val="22"/>
        </w:rPr>
        <w:t>11.</w:t>
      </w:r>
    </w:p>
    <w:p w:rsidR="003D1F5A" w:rsidRDefault="00235ECE">
      <w:pPr>
        <w:spacing w:after="4" w:line="259" w:lineRule="auto"/>
        <w:ind w:left="269" w:right="394" w:hanging="10"/>
        <w:jc w:val="center"/>
      </w:pPr>
      <w:r>
        <w:t>Předmět právní služby</w:t>
      </w:r>
    </w:p>
    <w:p w:rsidR="003D1F5A" w:rsidRDefault="00235ECE">
      <w:pPr>
        <w:spacing w:after="4" w:line="259" w:lineRule="auto"/>
        <w:ind w:left="269" w:right="394" w:hanging="10"/>
        <w:jc w:val="center"/>
      </w:pPr>
      <w:r>
        <w:t xml:space="preserve">Předmětem </w:t>
      </w:r>
      <w:r>
        <w:t>této smlouvy je poskytování právních služeb ve smyslu zákona</w:t>
      </w:r>
    </w:p>
    <w:p w:rsidR="003D1F5A" w:rsidRDefault="00235ECE">
      <w:pPr>
        <w:spacing w:after="272" w:line="259" w:lineRule="auto"/>
        <w:ind w:left="269" w:right="403" w:hanging="10"/>
        <w:jc w:val="center"/>
      </w:pPr>
      <w:r>
        <w:t>č.86/1996 Sb., o advokacii v souladu s touto uzavřenou smlouvou.</w:t>
      </w:r>
    </w:p>
    <w:p w:rsidR="003D1F5A" w:rsidRDefault="00235ECE">
      <w:pPr>
        <w:spacing w:after="55" w:line="259" w:lineRule="auto"/>
        <w:ind w:left="10" w:right="154" w:hanging="10"/>
        <w:jc w:val="center"/>
      </w:pPr>
      <w:r>
        <w:rPr>
          <w:sz w:val="22"/>
        </w:rPr>
        <w:t>111.</w:t>
      </w:r>
    </w:p>
    <w:p w:rsidR="003D1F5A" w:rsidRDefault="00235ECE">
      <w:pPr>
        <w:spacing w:after="4" w:line="259" w:lineRule="auto"/>
        <w:ind w:left="269" w:right="403" w:hanging="10"/>
        <w:jc w:val="center"/>
      </w:pPr>
      <w:r>
        <w:t>Práva a povinnosti advokáta</w:t>
      </w:r>
    </w:p>
    <w:p w:rsidR="003D1F5A" w:rsidRDefault="00235ECE">
      <w:pPr>
        <w:numPr>
          <w:ilvl w:val="0"/>
          <w:numId w:val="1"/>
        </w:numPr>
        <w:ind w:right="67" w:hanging="240"/>
      </w:pPr>
      <w:r>
        <w:t>Advokát se zavazuje poskytovat právní služby prostřednictvím své osoby, resp. případnou substitucí.</w:t>
      </w:r>
    </w:p>
    <w:p w:rsidR="003D1F5A" w:rsidRDefault="00235ECE">
      <w:pPr>
        <w:numPr>
          <w:ilvl w:val="0"/>
          <w:numId w:val="1"/>
        </w:numPr>
        <w:ind w:right="67" w:hanging="240"/>
      </w:pPr>
      <w:r>
        <w:t>Advokát se zavazuje poskytovat právní služby ve všech právních věcech .</w:t>
      </w:r>
    </w:p>
    <w:p w:rsidR="003D1F5A" w:rsidRDefault="00235ECE">
      <w:pPr>
        <w:numPr>
          <w:ilvl w:val="0"/>
          <w:numId w:val="1"/>
        </w:numPr>
        <w:ind w:right="67" w:hanging="240"/>
      </w:pPr>
      <w:r>
        <w:t>Advokát je povinen zastupovat ve všech právních úkonech na základě vystavené plné mo</w:t>
      </w:r>
      <w:r>
        <w:t>ci.</w:t>
      </w:r>
    </w:p>
    <w:p w:rsidR="003D1F5A" w:rsidRDefault="00235ECE">
      <w:pPr>
        <w:numPr>
          <w:ilvl w:val="0"/>
          <w:numId w:val="1"/>
        </w:numPr>
        <w:ind w:right="67" w:hanging="240"/>
      </w:pPr>
      <w:r>
        <w:lastRenderedPageBreak/>
        <w:t xml:space="preserve">Advokát je povinen předávané podklady pro splnění úkonů právní služby </w:t>
      </w:r>
      <w:r>
        <w:t>přezkoumávat a upozornit klienta na jejich neúplnost, neprůkaznost nebo jinou vadu, která by mohla zapříčinit, že klient v soudním nebo jiném řízení neprokáže existenci pohledávky, p</w:t>
      </w:r>
      <w:r>
        <w:t>rodlení dlužníka nebo jinou skutečnost rozhodnou pro dosažení plného úspěchu ve věci. Stejnou povinnost má advokát i ohledně jiných skutečností než listinných důkazů.</w:t>
      </w:r>
    </w:p>
    <w:p w:rsidR="003D1F5A" w:rsidRDefault="00235ECE">
      <w:pPr>
        <w:ind w:left="187" w:right="67"/>
      </w:pPr>
      <w:r>
        <w:t>Po doručení upozornění klientovi podle předchozího odstavce je tento povinen ve lhůtě tří</w:t>
      </w:r>
      <w:r>
        <w:t xml:space="preserve"> kalendářních dnů od doručení upozornění sdělit písemně advokátovi, zda trvá na podání žaloby,resp. zastupování ve věci, kde není zaručen plný úspěch. Pokud tak klient neučiní nejpozději do 15ti dnů před zánikem zákonné lhůty pro uplatnění nároku na soudu,</w:t>
      </w:r>
      <w:r>
        <w:t xml:space="preserve"> popř. správního orgánu, je povinen advokát učinit právní úkon směřující k dosažení úspěchu ve věci. V tomto případě advokát nezodpovídá za eventuálně vzniklé škody.</w:t>
      </w:r>
    </w:p>
    <w:p w:rsidR="003D1F5A" w:rsidRDefault="00235ECE">
      <w:pPr>
        <w:numPr>
          <w:ilvl w:val="0"/>
          <w:numId w:val="1"/>
        </w:numPr>
        <w:ind w:right="67" w:hanging="240"/>
      </w:pPr>
      <w:r>
        <w:t xml:space="preserve">Advokát je v jednotlivých případech povinen poskytnout klientovi potřebnou součinnost pro </w:t>
      </w:r>
      <w:r>
        <w:t>zajištění písemných podkladů a informovat ji o požadavcích příslušných soudních a jiných orgánů na doplnění důkazního materiálu.</w:t>
      </w:r>
    </w:p>
    <w:p w:rsidR="003D1F5A" w:rsidRDefault="00235ECE">
      <w:pPr>
        <w:numPr>
          <w:ilvl w:val="0"/>
          <w:numId w:val="1"/>
        </w:numPr>
        <w:ind w:right="67" w:hanging="240"/>
      </w:pPr>
      <w:r>
        <w:t>Advokát se zavazuje poskytovat služby právní pomoci v rozsahu a lhůtách podle požadavku klienta, s přihlédnutím k jeho pracovní</w:t>
      </w:r>
      <w:r>
        <w:t>m povinnostem.</w:t>
      </w:r>
    </w:p>
    <w:p w:rsidR="003D1F5A" w:rsidRDefault="00235ECE">
      <w:pPr>
        <w:numPr>
          <w:ilvl w:val="0"/>
          <w:numId w:val="1"/>
        </w:numPr>
        <w:ind w:right="67" w:hanging="240"/>
      </w:pPr>
      <w:r>
        <w:t>Na základě požadavku klienta bude vždy advokátem potvrzen termín plnění.</w:t>
      </w:r>
    </w:p>
    <w:p w:rsidR="003D1F5A" w:rsidRDefault="00235ECE">
      <w:pPr>
        <w:numPr>
          <w:ilvl w:val="0"/>
          <w:numId w:val="1"/>
        </w:numPr>
        <w:spacing w:after="645"/>
        <w:ind w:right="67" w:hanging="240"/>
      </w:pPr>
      <w:r>
        <w:rPr>
          <w:noProof/>
        </w:rPr>
        <w:drawing>
          <wp:anchor distT="0" distB="0" distL="114300" distR="114300" simplePos="0" relativeHeight="251658240" behindDoc="0" locked="0" layoutInCell="1" allowOverlap="0">
            <wp:simplePos x="0" y="0"/>
            <wp:positionH relativeFrom="page">
              <wp:posOffset>6815109</wp:posOffset>
            </wp:positionH>
            <wp:positionV relativeFrom="page">
              <wp:posOffset>402336</wp:posOffset>
            </wp:positionV>
            <wp:extent cx="3049" cy="3048"/>
            <wp:effectExtent l="0" t="0" r="0" b="0"/>
            <wp:wrapSquare wrapText="bothSides"/>
            <wp:docPr id="3608" name="Picture 3608"/>
            <wp:cNvGraphicFramePr/>
            <a:graphic xmlns:a="http://schemas.openxmlformats.org/drawingml/2006/main">
              <a:graphicData uri="http://schemas.openxmlformats.org/drawingml/2006/picture">
                <pic:pic xmlns:pic="http://schemas.openxmlformats.org/drawingml/2006/picture">
                  <pic:nvPicPr>
                    <pic:cNvPr id="3608" name="Picture 3608"/>
                    <pic:cNvPicPr/>
                  </pic:nvPicPr>
                  <pic:blipFill>
                    <a:blip r:embed="rId7"/>
                    <a:stretch>
                      <a:fillRect/>
                    </a:stretch>
                  </pic:blipFill>
                  <pic:spPr>
                    <a:xfrm>
                      <a:off x="0" y="0"/>
                      <a:ext cx="3049" cy="3048"/>
                    </a:xfrm>
                    <a:prstGeom prst="rect">
                      <a:avLst/>
                    </a:prstGeom>
                  </pic:spPr>
                </pic:pic>
              </a:graphicData>
            </a:graphic>
          </wp:anchor>
        </w:drawing>
      </w:r>
      <w:r>
        <w:t>Advokát odpovídá klientovi za škodu, kterou způsobil v souvislosti s výkonem advokacie v případě, že jeho vinou vzniknou klientovi výdaje v souvislosti s neodborným vý</w:t>
      </w:r>
      <w:r>
        <w:t>konem advokacie. Advokát je v tomto případě případně popsten pro případ odpovědnosti za škodu způsobenou poskytováním právních služeb.</w:t>
      </w:r>
    </w:p>
    <w:p w:rsidR="003D1F5A" w:rsidRDefault="00235ECE">
      <w:pPr>
        <w:spacing w:after="330" w:line="259" w:lineRule="auto"/>
        <w:ind w:left="269" w:right="125" w:hanging="10"/>
        <w:jc w:val="center"/>
      </w:pPr>
      <w:r>
        <w:t>Práva a povinnosti klienta</w:t>
      </w:r>
    </w:p>
    <w:p w:rsidR="003D1F5A" w:rsidRDefault="00235ECE">
      <w:pPr>
        <w:numPr>
          <w:ilvl w:val="0"/>
          <w:numId w:val="2"/>
        </w:numPr>
        <w:ind w:right="67" w:hanging="10"/>
      </w:pPr>
      <w:r>
        <w:t>Klient se zavazuje poskytnout advokátní kanceláři veškeré potřebné originály písemných podklad</w:t>
      </w:r>
      <w:r>
        <w:t>ů resp. úředně ověřených kopií těchto dokladů pro vymáhání pohledávek jakéhokoliv charakteru nejpozději dva měsíce před termínem promlčení pohledávky.</w:t>
      </w:r>
    </w:p>
    <w:p w:rsidR="003D1F5A" w:rsidRDefault="00235ECE">
      <w:pPr>
        <w:numPr>
          <w:ilvl w:val="0"/>
          <w:numId w:val="2"/>
        </w:numPr>
        <w:ind w:right="67" w:hanging="10"/>
      </w:pPr>
      <w:r>
        <w:t>Klient tyto písemné podklady bude předávat kanceláři určenými zaměstnanci klienta a to v potřebném rozsah</w:t>
      </w:r>
      <w:r>
        <w:t>u a počtu dle požadavků kanceláře.</w:t>
      </w:r>
    </w:p>
    <w:p w:rsidR="003D1F5A" w:rsidRDefault="00235ECE">
      <w:pPr>
        <w:numPr>
          <w:ilvl w:val="0"/>
          <w:numId w:val="2"/>
        </w:numPr>
        <w:spacing w:line="256" w:lineRule="auto"/>
        <w:ind w:right="67" w:hanging="10"/>
      </w:pPr>
      <w:r>
        <w:rPr>
          <w:sz w:val="26"/>
        </w:rPr>
        <w:t>Klient má právo kdykoliv nahlížet do spisové agendy kanceláře týkající se právních služeb pro klienta.</w:t>
      </w:r>
    </w:p>
    <w:p w:rsidR="003D1F5A" w:rsidRDefault="00235ECE">
      <w:pPr>
        <w:numPr>
          <w:ilvl w:val="0"/>
          <w:numId w:val="2"/>
        </w:numPr>
        <w:ind w:right="67" w:hanging="10"/>
      </w:pPr>
      <w:r>
        <w:t>Klient se zavazuje umožnit přístup advokátovi a jeho zaměstnancům do všech objektů klienta, pokud je to nutné pro výkon činností spojených s plněním služeb dle této smlouvy.</w:t>
      </w:r>
    </w:p>
    <w:p w:rsidR="003D1F5A" w:rsidRDefault="00235ECE">
      <w:pPr>
        <w:numPr>
          <w:ilvl w:val="0"/>
          <w:numId w:val="2"/>
        </w:numPr>
        <w:spacing w:after="54" w:line="243" w:lineRule="auto"/>
        <w:ind w:right="67" w:hanging="10"/>
      </w:pPr>
      <w:r>
        <w:t>Klient se zavazuje poskytovat advokátovi v zájmu koordinace poskytování právních s</w:t>
      </w:r>
      <w:r>
        <w:t>lužeb všechny vnitropodnikové normy, předpisy a organizační řád klienta.</w:t>
      </w:r>
    </w:p>
    <w:p w:rsidR="003D1F5A" w:rsidRDefault="00235ECE">
      <w:pPr>
        <w:numPr>
          <w:ilvl w:val="0"/>
          <w:numId w:val="2"/>
        </w:numPr>
        <w:ind w:right="67" w:hanging="10"/>
      </w:pPr>
      <w:r>
        <w:t>Klient se zavazuje umožnit užívat advokátovi prostory v budově ředitelství s využíváním společných sociálních zařízení, chodeb a schodiště, případně movitý majetek v této kanceláři, p</w:t>
      </w:r>
      <w:r>
        <w:t>ro nezbytnou dobu k výkonu činnosti právního poradenství.</w:t>
      </w:r>
    </w:p>
    <w:p w:rsidR="003D1F5A" w:rsidRDefault="00235ECE">
      <w:pPr>
        <w:numPr>
          <w:ilvl w:val="0"/>
          <w:numId w:val="2"/>
        </w:numPr>
        <w:spacing w:line="256" w:lineRule="auto"/>
        <w:ind w:right="67" w:hanging="10"/>
      </w:pPr>
      <w:r>
        <w:rPr>
          <w:sz w:val="26"/>
        </w:rPr>
        <w:t>Klient zajistí informování útvarů klienta o poskytování právních služeb kanceláří a s rozsahem poskytovaných služeb.</w:t>
      </w:r>
    </w:p>
    <w:p w:rsidR="003D1F5A" w:rsidRDefault="00235ECE">
      <w:pPr>
        <w:spacing w:after="322" w:line="259" w:lineRule="auto"/>
        <w:ind w:left="269" w:right="384" w:hanging="10"/>
        <w:jc w:val="center"/>
      </w:pPr>
      <w:r>
        <w:t>Odměna za poskytování právní pomoci</w:t>
      </w:r>
    </w:p>
    <w:p w:rsidR="003D1F5A" w:rsidRDefault="00235ECE">
      <w:pPr>
        <w:ind w:left="52" w:right="211"/>
      </w:pPr>
      <w:r>
        <w:t>Tato smlouva stanovuje odměnu za poskytování služeb a zajišťování právní agendy na výši 10.000,- Kč, (tj. deset tisíc korun českých) za jeden kalendářní měsíc. K této odměněn bude připočtena zákonem stanovená DPH.</w:t>
      </w:r>
    </w:p>
    <w:p w:rsidR="003D1F5A" w:rsidRDefault="00235ECE">
      <w:pPr>
        <w:ind w:left="52" w:right="216"/>
      </w:pPr>
      <w:r>
        <w:t>Odměna bude měněna v závislosti na výši in</w:t>
      </w:r>
      <w:r>
        <w:t>flace vždy následující měsíc po vyhlášení výše míry inflace příslušným orgánem České republiky, nebo dohodou smluvních stran v závislosti na stanovení dalších úkolů právní služby.</w:t>
      </w:r>
    </w:p>
    <w:p w:rsidR="003D1F5A" w:rsidRDefault="00235ECE">
      <w:pPr>
        <w:ind w:left="52" w:right="216"/>
      </w:pPr>
      <w:r>
        <w:t xml:space="preserve">Platby budou poukazovány na účet advokáta vedeného u Komerční banky </w:t>
      </w:r>
      <w:r>
        <w:rPr>
          <w:noProof/>
        </w:rPr>
        <w:drawing>
          <wp:inline distT="0" distB="0" distL="0" distR="0">
            <wp:extent cx="51837" cy="18288"/>
            <wp:effectExtent l="0" t="0" r="0" b="0"/>
            <wp:docPr id="6002" name="Picture 6002"/>
            <wp:cNvGraphicFramePr/>
            <a:graphic xmlns:a="http://schemas.openxmlformats.org/drawingml/2006/main">
              <a:graphicData uri="http://schemas.openxmlformats.org/drawingml/2006/picture">
                <pic:pic xmlns:pic="http://schemas.openxmlformats.org/drawingml/2006/picture">
                  <pic:nvPicPr>
                    <pic:cNvPr id="6002" name="Picture 6002"/>
                    <pic:cNvPicPr/>
                  </pic:nvPicPr>
                  <pic:blipFill>
                    <a:blip r:embed="rId8"/>
                    <a:stretch>
                      <a:fillRect/>
                    </a:stretch>
                  </pic:blipFill>
                  <pic:spPr>
                    <a:xfrm>
                      <a:off x="0" y="0"/>
                      <a:ext cx="51837" cy="18288"/>
                    </a:xfrm>
                    <a:prstGeom prst="rect">
                      <a:avLst/>
                    </a:prstGeom>
                  </pic:spPr>
                </pic:pic>
              </a:graphicData>
            </a:graphic>
          </wp:inline>
        </w:drawing>
      </w:r>
      <w:r>
        <w:t>pobočka</w:t>
      </w:r>
      <w:r>
        <w:t xml:space="preserve"> Bruntál, č.ú. 190773930277/0100 dle vystavených faktur se splatností 10 dnů, nebo dle pokynu.</w:t>
      </w:r>
    </w:p>
    <w:p w:rsidR="003D1F5A" w:rsidRDefault="00235ECE">
      <w:pPr>
        <w:ind w:left="52" w:right="67"/>
      </w:pPr>
      <w:r>
        <w:t>Faktury budou vystavovány vždy k 5. dni kalendářního měsíce, ve kterém je služba provedena.</w:t>
      </w:r>
    </w:p>
    <w:p w:rsidR="003D1F5A" w:rsidRDefault="00235ECE">
      <w:pPr>
        <w:ind w:left="52" w:right="67"/>
      </w:pPr>
      <w:r>
        <w:t>Právní pomoc nad rámec této smlouvy bude odměňována na základě samost</w:t>
      </w:r>
      <w:r>
        <w:t>atné smlouvy, dle dohody smluvních stran.</w:t>
      </w:r>
    </w:p>
    <w:p w:rsidR="003D1F5A" w:rsidRDefault="00235ECE">
      <w:pPr>
        <w:ind w:left="52" w:right="67"/>
      </w:pPr>
      <w:r>
        <w:t>Náklady právního zastoupení, přiznané soudem, správním orgánem klientovi jsou vždy výlučně příjmem advokáta.</w:t>
      </w:r>
    </w:p>
    <w:p w:rsidR="003D1F5A" w:rsidRDefault="00235ECE">
      <w:pPr>
        <w:spacing w:after="644"/>
        <w:ind w:left="52" w:right="67"/>
      </w:pPr>
      <w:r>
        <w:t>V odměně advokáta nejsou zahrnuty výdaje dle čl.VI. této smlouvy.</w:t>
      </w:r>
    </w:p>
    <w:p w:rsidR="003D1F5A" w:rsidRDefault="00235ECE">
      <w:pPr>
        <w:spacing w:after="271" w:line="259" w:lineRule="auto"/>
        <w:ind w:left="269" w:right="461" w:hanging="10"/>
        <w:jc w:val="center"/>
      </w:pPr>
      <w:r>
        <w:t>Náklady spojené s poskytováním právních</w:t>
      </w:r>
      <w:r>
        <w:t xml:space="preserve"> služeb</w:t>
      </w:r>
    </w:p>
    <w:p w:rsidR="003D1F5A" w:rsidRDefault="00235ECE">
      <w:pPr>
        <w:ind w:left="52" w:right="67"/>
      </w:pPr>
      <w:r>
        <w:t>Pro poskytování právních služeb jsou nezbytné následující přímé náklady:</w:t>
      </w:r>
    </w:p>
    <w:p w:rsidR="003D1F5A" w:rsidRDefault="00235ECE">
      <w:pPr>
        <w:spacing w:line="312" w:lineRule="auto"/>
        <w:ind w:left="52" w:right="67"/>
      </w:pPr>
      <w:r>
        <w:t>l. soudní poplatky hrazené v kolkových známkách, nebo převodem z účtu na účet soudu,</w:t>
      </w:r>
    </w:p>
    <w:p w:rsidR="003D1F5A" w:rsidRDefault="00235ECE">
      <w:pPr>
        <w:spacing w:line="256" w:lineRule="auto"/>
        <w:ind w:left="48" w:hanging="10"/>
        <w:jc w:val="left"/>
      </w:pPr>
      <w:r>
        <w:rPr>
          <w:sz w:val="26"/>
        </w:rPr>
        <w:t>2.poplatky za zápisy a obnovy zápisů obchodních známek,</w:t>
      </w:r>
    </w:p>
    <w:p w:rsidR="003D1F5A" w:rsidRDefault="00235ECE">
      <w:pPr>
        <w:numPr>
          <w:ilvl w:val="0"/>
          <w:numId w:val="3"/>
        </w:numPr>
        <w:ind w:right="67" w:hanging="245"/>
      </w:pPr>
      <w:r>
        <w:t>správní a notářské poplatky,</w:t>
      </w:r>
    </w:p>
    <w:p w:rsidR="003D1F5A" w:rsidRDefault="00235ECE">
      <w:pPr>
        <w:numPr>
          <w:ilvl w:val="0"/>
          <w:numId w:val="3"/>
        </w:numPr>
        <w:ind w:right="67" w:hanging="245"/>
      </w:pPr>
      <w:r>
        <w:t>náklady na případné vypracovávání znaleckých posudků a výkon tlumočnické činnosti pro potřeby výkonu právních služeb,</w:t>
      </w:r>
    </w:p>
    <w:p w:rsidR="003D1F5A" w:rsidRDefault="00235ECE">
      <w:pPr>
        <w:numPr>
          <w:ilvl w:val="0"/>
          <w:numId w:val="3"/>
        </w:numPr>
        <w:ind w:right="67" w:hanging="245"/>
      </w:pPr>
      <w:r>
        <w:t>náklady na poštovné</w:t>
      </w:r>
    </w:p>
    <w:p w:rsidR="003D1F5A" w:rsidRDefault="00235ECE">
      <w:pPr>
        <w:spacing w:after="336"/>
        <w:ind w:left="52" w:right="67"/>
      </w:pPr>
      <w:r>
        <w:t>Výše uvedené finanční výdaje hradí ze svých prostředků klient na základě písemného dokladu kanceláře, nebo subjektu vy</w:t>
      </w:r>
      <w:r>
        <w:t>máhajícího shora uvedené náklady.</w:t>
      </w:r>
    </w:p>
    <w:p w:rsidR="003D1F5A" w:rsidRDefault="00235ECE">
      <w:pPr>
        <w:spacing w:after="310"/>
        <w:ind w:left="52" w:right="255"/>
      </w:pPr>
      <w:r>
        <w:t>Soudní poplatky hradí ze svých prostředků klient, na základě písemného dokladu kanceláře, nebo subjektu vymáhajícího shora uvedené náklady.V případě, že součástí vymožené pohledávky bude i úhrada soudního poplatku, je povi</w:t>
      </w:r>
      <w:r>
        <w:t>nností advokáta tuto částku uhrazenou klientem za soudní poplatek vrátit klientovi a to ve lhůtě bez zbytečného odkladu..</w:t>
      </w:r>
    </w:p>
    <w:p w:rsidR="003D1F5A" w:rsidRDefault="00235ECE">
      <w:pPr>
        <w:spacing w:after="4" w:line="259" w:lineRule="auto"/>
        <w:ind w:left="269" w:right="519" w:hanging="10"/>
        <w:jc w:val="center"/>
      </w:pPr>
      <w:r>
        <w:t>VII.</w:t>
      </w:r>
    </w:p>
    <w:p w:rsidR="003D1F5A" w:rsidRDefault="00235ECE">
      <w:pPr>
        <w:spacing w:after="4" w:line="259" w:lineRule="auto"/>
        <w:ind w:left="269" w:right="519" w:hanging="10"/>
        <w:jc w:val="center"/>
      </w:pPr>
      <w:r>
        <w:t>Další ujednání</w:t>
      </w:r>
    </w:p>
    <w:p w:rsidR="003D1F5A" w:rsidRDefault="00235ECE">
      <w:pPr>
        <w:numPr>
          <w:ilvl w:val="0"/>
          <w:numId w:val="4"/>
        </w:numPr>
        <w:spacing w:after="281"/>
        <w:ind w:right="67" w:hanging="10"/>
      </w:pPr>
      <w:r>
        <w:t>Při poskytování právních služeb je povinen advokát a jeho zaměstnanci zachovávat mlčenlivost o všech skutečnostech</w:t>
      </w:r>
      <w:r>
        <w:t>, s nimiž se v rámci své činnosti dle této smlouvy seznámí a to vůči všem dalším subjektům. Porušení mlčenlivosti může být důvodem pro vypovězení této smlouvy a náhrady vzniklé Škody ze strany advokáta.</w:t>
      </w:r>
    </w:p>
    <w:p w:rsidR="003D1F5A" w:rsidRDefault="00235ECE">
      <w:pPr>
        <w:numPr>
          <w:ilvl w:val="0"/>
          <w:numId w:val="4"/>
        </w:numPr>
        <w:spacing w:after="324"/>
        <w:ind w:right="67" w:hanging="10"/>
      </w:pPr>
      <w:r>
        <w:t>Smluvní strany souhlasí, že všechny informace a skute</w:t>
      </w:r>
      <w:r>
        <w:t xml:space="preserve">čnosti, které získali jakýmkoliv způsobem o druhé smluvní straně a její činnosti při uzavření a plnění této smlouvy, avšak nejen v souvislosti s ní, se považují za důvěrné a mají charakter obchodního tajemství ve smyslu S 504 a násl. zákona č. 89/2012 Sb. </w:t>
      </w:r>
      <w:r>
        <w:t>občanský zákoník ve znění pozdějších předpisů. Smluvní strany se zavazují takovéto informace a skutečnosti neposkytnout a nezpřístupnit jakýmkoliv třetím osobám a nevyužít jich na jiný účel, než je plnění předmětu této smlouvy.</w:t>
      </w:r>
    </w:p>
    <w:p w:rsidR="003D1F5A" w:rsidRDefault="00235ECE">
      <w:pPr>
        <w:numPr>
          <w:ilvl w:val="0"/>
          <w:numId w:val="4"/>
        </w:numPr>
        <w:spacing w:after="308"/>
        <w:ind w:right="67" w:hanging="10"/>
      </w:pPr>
      <w:r>
        <w:t>Smluvní strany se zavazují zachovávat vůči třetím osobám mlčenlivost o skutečnostech, které jsou předmětem smlouvy nebo smluv uzavřených na základě smlouvy o důvěrných informacích o druhé smluvní straně, které se dozvěděli při plnění smlouvy nebo v souvisl</w:t>
      </w:r>
      <w:r>
        <w:t>osti s ní. Za porušení tohoto ustanovení se nepovažuje poskytnutí takovýchto informací na základě zákonné povinnosti a též právním, finančním a daňovým poradcům.</w:t>
      </w:r>
    </w:p>
    <w:p w:rsidR="003D1F5A" w:rsidRDefault="00235ECE">
      <w:pPr>
        <w:numPr>
          <w:ilvl w:val="0"/>
          <w:numId w:val="4"/>
        </w:numPr>
        <w:spacing w:after="315"/>
        <w:ind w:right="67" w:hanging="10"/>
      </w:pPr>
      <w:r>
        <w:t>Závazek mlčenlivosti podle této smlouvy se vztahuje na důvěrné informace tvořící obchodní taje</w:t>
      </w:r>
      <w:r>
        <w:t>mství podle S 504 zák. č. 89/2012 Sb. občanský zákoník. Důvěrné informace jsou jakékoliv informace, které nejsou veřejně přístupné, a které některá ze smluvních stran označí jako důvěrné, nebo také informace, s kterými se má nakládat, vzhledem k okolnostem</w:t>
      </w:r>
      <w:r>
        <w:t xml:space="preserve"> známým druhé smluvní straně při poskytnutí informací, jako s důvěrnými. Důvěrné informace jsou zejména jakékoliv neveřejně přístupné informace obchodní, výrobní, technické nebo ekonomické povahy, informace o některé smluvní straně, informace o zaměstnancí</w:t>
      </w:r>
      <w:r>
        <w:t>ch a zákaznících smluvní strany, cenové dohody smluvních stran, know-how některé smluvní strany, specifikace, počítačové databáze, software nebo dokumentace v jakékoliv podobě ať už zachycené hmotně nebo ústně poskytnuté. Přijde-li kterákoliv smluvní stran</w:t>
      </w:r>
      <w:r>
        <w:t>a v souvislosti s plněním závazků dle této smlouvy do styku s osobními údaji pacientů jsou strany povinny postupovat v souladu se zákonem č. 101/2000 Sb., o ochraně osobních údajů a o změně některých zákonů, ve znění pozdějších předpisů a nařízením Evropsk</w:t>
      </w:r>
      <w:r>
        <w:t>ého parlamentu a Rady (EU) 2016/679 0 ochraně osobních údajů</w:t>
      </w:r>
    </w:p>
    <w:p w:rsidR="003D1F5A" w:rsidRDefault="00235ECE">
      <w:pPr>
        <w:numPr>
          <w:ilvl w:val="0"/>
          <w:numId w:val="4"/>
        </w:numPr>
        <w:spacing w:after="295"/>
        <w:ind w:right="67" w:hanging="10"/>
      </w:pPr>
      <w:r>
        <w:t>Smluvní strana nesmí poskytnout tyto důvěrné informace třetím osobám, kromě níže uvedených případů. Ani po ukončení účinnosti smlouvy však nesmí žádná smluvní strana použít důvěrné informace v ro</w:t>
      </w:r>
      <w:r>
        <w:t>zporu se smlouvou. Smluvní strany jsou zodpovědné za plnění závazku mlčenlivosti včetně konání svých zaměstnanců a spolupracovníků a zavazují se přijmout příslušné opatření vůči svým zaměstnancům a jiným spolupracujícím osobám na splnění závazku mlčenlivos</w:t>
      </w:r>
      <w:r>
        <w:t xml:space="preserve">ti vyplývajícího z této smlouvy. </w:t>
      </w:r>
      <w:r>
        <w:rPr>
          <w:noProof/>
        </w:rPr>
        <w:drawing>
          <wp:inline distT="0" distB="0" distL="0" distR="0">
            <wp:extent cx="12197" cy="18287"/>
            <wp:effectExtent l="0" t="0" r="0" b="0"/>
            <wp:docPr id="8608" name="Picture 8608"/>
            <wp:cNvGraphicFramePr/>
            <a:graphic xmlns:a="http://schemas.openxmlformats.org/drawingml/2006/main">
              <a:graphicData uri="http://schemas.openxmlformats.org/drawingml/2006/picture">
                <pic:pic xmlns:pic="http://schemas.openxmlformats.org/drawingml/2006/picture">
                  <pic:nvPicPr>
                    <pic:cNvPr id="8608" name="Picture 8608"/>
                    <pic:cNvPicPr/>
                  </pic:nvPicPr>
                  <pic:blipFill>
                    <a:blip r:embed="rId9"/>
                    <a:stretch>
                      <a:fillRect/>
                    </a:stretch>
                  </pic:blipFill>
                  <pic:spPr>
                    <a:xfrm>
                      <a:off x="0" y="0"/>
                      <a:ext cx="12197" cy="18287"/>
                    </a:xfrm>
                    <a:prstGeom prst="rect">
                      <a:avLst/>
                    </a:prstGeom>
                  </pic:spPr>
                </pic:pic>
              </a:graphicData>
            </a:graphic>
          </wp:inline>
        </w:drawing>
      </w:r>
    </w:p>
    <w:p w:rsidR="003D1F5A" w:rsidRDefault="00235ECE">
      <w:pPr>
        <w:numPr>
          <w:ilvl w:val="0"/>
          <w:numId w:val="4"/>
        </w:numPr>
        <w:spacing w:line="256" w:lineRule="auto"/>
        <w:ind w:right="67" w:hanging="10"/>
      </w:pPr>
      <w:r>
        <w:rPr>
          <w:sz w:val="26"/>
        </w:rPr>
        <w:t>Povinnost nezveřejňování informací se nevztahuje na informace a skutečnosti, které:</w:t>
      </w:r>
    </w:p>
    <w:p w:rsidR="003D1F5A" w:rsidRDefault="00235ECE">
      <w:pPr>
        <w:spacing w:after="30"/>
        <w:ind w:left="317"/>
      </w:pPr>
      <w:r>
        <w:t>a)jsou veřejně přístupné, nebo které se bez zavinění smluvní strany, která tyto získala, stanou veřejně přístupnými,</w:t>
      </w:r>
    </w:p>
    <w:p w:rsidR="003D1F5A" w:rsidRDefault="00235ECE">
      <w:pPr>
        <w:spacing w:after="284"/>
        <w:ind w:left="52" w:right="202"/>
      </w:pPr>
      <w:r>
        <w:t>b)byly druhé smluvní</w:t>
      </w:r>
      <w:r>
        <w:t xml:space="preserve"> straně prokazatelně známé před nabytím platnosti smlouvy, nebo smluvní strana tyto informace získala od třetí strany, která není vázaná povinností mlčenlivosti vůči smluvní straně, které se takovéto informace týkají, nebo se mají zpřístupnit a poskytnout </w:t>
      </w:r>
      <w:r>
        <w:t>ve smyslu platných všeobecně závazných právních předpisů ČR, anebo vyžádání oprávněných orgánů v rozsahu určeném platnými všeobecně závaznými právními předpisy ČR.</w:t>
      </w:r>
    </w:p>
    <w:p w:rsidR="003D1F5A" w:rsidRDefault="00235ECE">
      <w:pPr>
        <w:spacing w:after="4" w:line="259" w:lineRule="auto"/>
        <w:ind w:left="269" w:right="379" w:hanging="10"/>
        <w:jc w:val="center"/>
      </w:pPr>
      <w:r>
        <w:t>VIII.</w:t>
      </w:r>
    </w:p>
    <w:p w:rsidR="003D1F5A" w:rsidRDefault="00235ECE">
      <w:pPr>
        <w:spacing w:after="0" w:line="259" w:lineRule="auto"/>
        <w:ind w:left="10" w:right="115" w:hanging="10"/>
        <w:jc w:val="center"/>
      </w:pPr>
      <w:r>
        <w:rPr>
          <w:sz w:val="26"/>
        </w:rPr>
        <w:t>Závěrečná ustanovení</w:t>
      </w:r>
    </w:p>
    <w:p w:rsidR="003D1F5A" w:rsidRDefault="00235ECE">
      <w:pPr>
        <w:spacing w:after="295"/>
        <w:ind w:left="52" w:right="192"/>
      </w:pPr>
      <w:r>
        <w:t>l. Tato smlouva nabývá platnosti dnem podpisu smluvních stran a ú</w:t>
      </w:r>
      <w:r>
        <w:t>činnosti dnem 1.5.2019. Pokud je dána zákonem č. 340/2015 Sb., o zvláštních podmínkách účinnosti některých smluv, uveřejňování těchto smluv a o registru smluv (zákon o registru smluv) povinnost zveřejnění, nabude smlouva účinnosti dnem jejího vložení do re</w:t>
      </w:r>
      <w:r>
        <w:t>gistru smluv.</w:t>
      </w:r>
    </w:p>
    <w:p w:rsidR="003D1F5A" w:rsidRDefault="00235ECE">
      <w:pPr>
        <w:ind w:left="52" w:right="67"/>
      </w:pPr>
      <w:r>
        <w:t>2. Tato smlouva se uzavírá na dobu určitou ode dne 1.5.2019 do 30.4.2020.</w:t>
      </w:r>
    </w:p>
    <w:p w:rsidR="003D1F5A" w:rsidRDefault="00235ECE">
      <w:pPr>
        <w:ind w:left="52" w:right="182"/>
      </w:pPr>
      <w:r>
        <w:t>3.Tuto smlouvu je možno vypovědět a to i bez udání důvodů, kteroukoliv ze smluvních stran. Výpovědní lhůta činí dva měsíce a začíná plynout od prvního dne měsíce násled</w:t>
      </w:r>
      <w:r>
        <w:t>ujícího po doručení výpovědi.</w:t>
      </w:r>
    </w:p>
    <w:p w:rsidR="003D1F5A" w:rsidRDefault="00235ECE">
      <w:pPr>
        <w:ind w:left="52" w:right="67"/>
      </w:pPr>
      <w:r>
        <w:t>4.Tato smlouva je vypracována ve dvou vyhotoveních s platností originálu, z nichž každá ze smluvních stran obdrží jedno vyhotovení.</w:t>
      </w:r>
    </w:p>
    <w:p w:rsidR="003D1F5A" w:rsidRDefault="00235ECE">
      <w:pPr>
        <w:ind w:left="52" w:right="67"/>
      </w:pPr>
      <w:r>
        <w:t>5.Tato smlouva je výrazem svobodné a vážné vůle smluvních stran a tuto skutečnost potvrzují smluvní strany svým podpisem.</w:t>
      </w:r>
    </w:p>
    <w:p w:rsidR="003D1F5A" w:rsidRDefault="003D1F5A">
      <w:pPr>
        <w:sectPr w:rsidR="003D1F5A">
          <w:footerReference w:type="even" r:id="rId10"/>
          <w:footerReference w:type="default" r:id="rId11"/>
          <w:footerReference w:type="first" r:id="rId12"/>
          <w:pgSz w:w="11563" w:h="16488"/>
          <w:pgMar w:top="478" w:right="1104" w:bottom="778" w:left="1152" w:header="720" w:footer="394" w:gutter="0"/>
          <w:cols w:space="720"/>
        </w:sectPr>
      </w:pPr>
    </w:p>
    <w:p w:rsidR="003D1F5A" w:rsidRDefault="00235ECE">
      <w:pPr>
        <w:ind w:left="52" w:right="67"/>
      </w:pPr>
      <w:r>
        <w:t>V Opavě dne 2.4.2019</w:t>
      </w:r>
    </w:p>
    <w:p w:rsidR="003D1F5A" w:rsidRDefault="00235ECE">
      <w:pPr>
        <w:spacing w:after="427" w:line="259" w:lineRule="auto"/>
        <w:ind w:left="10" w:right="-351"/>
        <w:jc w:val="left"/>
      </w:pPr>
      <w:r>
        <w:rPr>
          <w:noProof/>
        </w:rPr>
        <w:drawing>
          <wp:inline distT="0" distB="0" distL="0" distR="0">
            <wp:extent cx="1936284" cy="359664"/>
            <wp:effectExtent l="0" t="0" r="0" b="0"/>
            <wp:docPr id="10622" name="Picture 10622"/>
            <wp:cNvGraphicFramePr/>
            <a:graphic xmlns:a="http://schemas.openxmlformats.org/drawingml/2006/main">
              <a:graphicData uri="http://schemas.openxmlformats.org/drawingml/2006/picture">
                <pic:pic xmlns:pic="http://schemas.openxmlformats.org/drawingml/2006/picture">
                  <pic:nvPicPr>
                    <pic:cNvPr id="10622" name="Picture 10622"/>
                    <pic:cNvPicPr/>
                  </pic:nvPicPr>
                  <pic:blipFill>
                    <a:blip r:embed="rId13"/>
                    <a:stretch>
                      <a:fillRect/>
                    </a:stretch>
                  </pic:blipFill>
                  <pic:spPr>
                    <a:xfrm>
                      <a:off x="0" y="0"/>
                      <a:ext cx="1936284" cy="359664"/>
                    </a:xfrm>
                    <a:prstGeom prst="rect">
                      <a:avLst/>
                    </a:prstGeom>
                  </pic:spPr>
                </pic:pic>
              </a:graphicData>
            </a:graphic>
          </wp:inline>
        </w:drawing>
      </w:r>
    </w:p>
    <w:p w:rsidR="003D1F5A" w:rsidRDefault="00235ECE">
      <w:pPr>
        <w:spacing w:line="259" w:lineRule="auto"/>
        <w:ind w:left="19" w:right="-5215"/>
        <w:jc w:val="left"/>
      </w:pPr>
      <w:r>
        <w:rPr>
          <w:noProof/>
        </w:rPr>
        <w:drawing>
          <wp:inline distT="0" distB="0" distL="0" distR="0">
            <wp:extent cx="5019092" cy="121920"/>
            <wp:effectExtent l="0" t="0" r="0" b="0"/>
            <wp:docPr id="19789" name="Picture 19789"/>
            <wp:cNvGraphicFramePr/>
            <a:graphic xmlns:a="http://schemas.openxmlformats.org/drawingml/2006/main">
              <a:graphicData uri="http://schemas.openxmlformats.org/drawingml/2006/picture">
                <pic:pic xmlns:pic="http://schemas.openxmlformats.org/drawingml/2006/picture">
                  <pic:nvPicPr>
                    <pic:cNvPr id="19789" name="Picture 19789"/>
                    <pic:cNvPicPr/>
                  </pic:nvPicPr>
                  <pic:blipFill>
                    <a:blip r:embed="rId14"/>
                    <a:stretch>
                      <a:fillRect/>
                    </a:stretch>
                  </pic:blipFill>
                  <pic:spPr>
                    <a:xfrm>
                      <a:off x="0" y="0"/>
                      <a:ext cx="5019092" cy="121920"/>
                    </a:xfrm>
                    <a:prstGeom prst="rect">
                      <a:avLst/>
                    </a:prstGeom>
                  </pic:spPr>
                </pic:pic>
              </a:graphicData>
            </a:graphic>
          </wp:inline>
        </w:drawing>
      </w:r>
    </w:p>
    <w:tbl>
      <w:tblPr>
        <w:tblStyle w:val="TableGrid"/>
        <w:tblW w:w="7059" w:type="dxa"/>
        <w:tblInd w:w="312" w:type="dxa"/>
        <w:tblCellMar>
          <w:top w:w="23" w:type="dxa"/>
          <w:left w:w="0" w:type="dxa"/>
          <w:bottom w:w="0" w:type="dxa"/>
          <w:right w:w="0" w:type="dxa"/>
        </w:tblCellMar>
        <w:tblLook w:val="04A0" w:firstRow="1" w:lastRow="0" w:firstColumn="1" w:lastColumn="0" w:noHBand="0" w:noVBand="1"/>
      </w:tblPr>
      <w:tblGrid>
        <w:gridCol w:w="4759"/>
        <w:gridCol w:w="2300"/>
      </w:tblGrid>
      <w:tr w:rsidR="003D1F5A">
        <w:trPr>
          <w:trHeight w:val="327"/>
        </w:trPr>
        <w:tc>
          <w:tcPr>
            <w:tcW w:w="4759" w:type="dxa"/>
            <w:tcBorders>
              <w:top w:val="nil"/>
              <w:left w:val="nil"/>
              <w:bottom w:val="nil"/>
              <w:right w:val="nil"/>
            </w:tcBorders>
          </w:tcPr>
          <w:p w:rsidR="003D1F5A" w:rsidRDefault="00235ECE">
            <w:pPr>
              <w:spacing w:after="0" w:line="259" w:lineRule="auto"/>
              <w:ind w:left="120"/>
              <w:jc w:val="left"/>
            </w:pPr>
            <w:r>
              <w:t>Školní statek, Opava,</w:t>
            </w:r>
          </w:p>
        </w:tc>
        <w:tc>
          <w:tcPr>
            <w:tcW w:w="2300" w:type="dxa"/>
            <w:tcBorders>
              <w:top w:val="nil"/>
              <w:left w:val="nil"/>
              <w:bottom w:val="nil"/>
              <w:right w:val="nil"/>
            </w:tcBorders>
          </w:tcPr>
          <w:p w:rsidR="003D1F5A" w:rsidRDefault="00235ECE">
            <w:pPr>
              <w:spacing w:after="0" w:line="259" w:lineRule="auto"/>
              <w:ind w:left="0"/>
            </w:pPr>
            <w:r>
              <w:t>JUDr. Luděk Zakopal</w:t>
            </w:r>
          </w:p>
        </w:tc>
      </w:tr>
      <w:tr w:rsidR="003D1F5A">
        <w:trPr>
          <w:trHeight w:val="628"/>
        </w:trPr>
        <w:tc>
          <w:tcPr>
            <w:tcW w:w="4759" w:type="dxa"/>
            <w:tcBorders>
              <w:top w:val="nil"/>
              <w:left w:val="nil"/>
              <w:bottom w:val="nil"/>
              <w:right w:val="nil"/>
            </w:tcBorders>
          </w:tcPr>
          <w:p w:rsidR="003D1F5A" w:rsidRDefault="00235ECE">
            <w:pPr>
              <w:spacing w:after="4" w:line="259" w:lineRule="auto"/>
              <w:ind w:left="0"/>
              <w:jc w:val="left"/>
            </w:pPr>
            <w:r>
              <w:rPr>
                <w:sz w:val="26"/>
              </w:rPr>
              <w:t>příspěvková organizace</w:t>
            </w:r>
          </w:p>
          <w:p w:rsidR="003D1F5A" w:rsidRDefault="00235ECE">
            <w:pPr>
              <w:spacing w:after="0" w:line="259" w:lineRule="auto"/>
              <w:ind w:left="0"/>
              <w:jc w:val="left"/>
            </w:pPr>
            <w:r>
              <w:rPr>
                <w:sz w:val="26"/>
              </w:rPr>
              <w:t>Ing.Arnošt Klein, ředitel</w:t>
            </w:r>
          </w:p>
        </w:tc>
        <w:tc>
          <w:tcPr>
            <w:tcW w:w="2300" w:type="dxa"/>
            <w:tcBorders>
              <w:top w:val="nil"/>
              <w:left w:val="nil"/>
              <w:bottom w:val="nil"/>
              <w:right w:val="nil"/>
            </w:tcBorders>
          </w:tcPr>
          <w:p w:rsidR="003D1F5A" w:rsidRDefault="00235ECE">
            <w:pPr>
              <w:spacing w:after="0" w:line="259" w:lineRule="auto"/>
              <w:ind w:left="130"/>
              <w:jc w:val="center"/>
            </w:pPr>
            <w:r>
              <w:t>advokát</w:t>
            </w:r>
          </w:p>
        </w:tc>
      </w:tr>
    </w:tbl>
    <w:p w:rsidR="003D1F5A" w:rsidRDefault="00235ECE">
      <w:pPr>
        <w:spacing w:after="7" w:line="216" w:lineRule="auto"/>
        <w:ind w:left="120" w:firstLine="86"/>
        <w:jc w:val="left"/>
      </w:pPr>
      <w:r>
        <w:rPr>
          <w:rFonts w:ascii="Calibri" w:eastAsia="Calibri" w:hAnsi="Calibri" w:cs="Calibri"/>
        </w:rPr>
        <w:t>Školní statek, Opava,</w:t>
      </w:r>
      <w:r>
        <w:rPr>
          <w:rFonts w:ascii="Calibri" w:eastAsia="Calibri" w:hAnsi="Calibri" w:cs="Calibri"/>
          <w:vertAlign w:val="superscript"/>
        </w:rPr>
        <w:t xml:space="preserve">2 </w:t>
      </w:r>
      <w:r>
        <w:rPr>
          <w:rFonts w:ascii="Calibri" w:eastAsia="Calibri" w:hAnsi="Calibri" w:cs="Calibri"/>
          <w:u w:val="single" w:color="000000"/>
        </w:rPr>
        <w:t>příspěvková organizace</w:t>
      </w:r>
    </w:p>
    <w:p w:rsidR="003D1F5A" w:rsidRDefault="00235ECE">
      <w:pPr>
        <w:spacing w:after="3" w:line="259" w:lineRule="auto"/>
        <w:ind w:left="129" w:hanging="10"/>
        <w:jc w:val="left"/>
      </w:pPr>
      <w:r>
        <w:rPr>
          <w:rFonts w:ascii="Calibri" w:eastAsia="Calibri" w:hAnsi="Calibri" w:cs="Calibri"/>
          <w:sz w:val="20"/>
        </w:rPr>
        <w:t>Englišova 526, 746 01 OPAVA</w:t>
      </w:r>
    </w:p>
    <w:p w:rsidR="003D1F5A" w:rsidRDefault="00235ECE">
      <w:pPr>
        <w:spacing w:after="3" w:line="259" w:lineRule="auto"/>
        <w:ind w:left="129" w:hanging="10"/>
        <w:jc w:val="left"/>
      </w:pPr>
      <w:r>
        <w:rPr>
          <w:rFonts w:ascii="Calibri" w:eastAsia="Calibri" w:hAnsi="Calibri" w:cs="Calibri"/>
          <w:sz w:val="20"/>
        </w:rPr>
        <w:t>IC: 00098752, DIC: czooog8752</w:t>
      </w:r>
    </w:p>
    <w:sectPr w:rsidR="003D1F5A">
      <w:type w:val="continuous"/>
      <w:pgSz w:w="11563" w:h="16488"/>
      <w:pgMar w:top="478" w:right="7597" w:bottom="3379" w:left="125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35ECE">
      <w:pPr>
        <w:spacing w:after="0" w:line="240" w:lineRule="auto"/>
      </w:pPr>
      <w:r>
        <w:separator/>
      </w:r>
    </w:p>
  </w:endnote>
  <w:endnote w:type="continuationSeparator" w:id="0">
    <w:p w:rsidR="00000000" w:rsidRDefault="00235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5A" w:rsidRDefault="00235ECE">
    <w:pPr>
      <w:spacing w:after="0" w:line="259" w:lineRule="auto"/>
      <w:ind w:left="0" w:right="106"/>
      <w:jc w:val="center"/>
    </w:pPr>
    <w:r>
      <w:rPr>
        <w:sz w:val="24"/>
      </w:rPr>
      <w:t xml:space="preserve">Strana </w:t>
    </w:r>
    <w:r>
      <w:fldChar w:fldCharType="begin"/>
    </w:r>
    <w:r>
      <w:instrText xml:space="preserve"> PAGE   \* MERGEFORMAT </w:instrText>
    </w:r>
    <w:r>
      <w:fldChar w:fldCharType="separate"/>
    </w:r>
    <w:r>
      <w:rPr>
        <w:sz w:val="26"/>
      </w:rPr>
      <w:t>1</w:t>
    </w:r>
    <w:r>
      <w:rPr>
        <w:sz w:val="26"/>
      </w:rPr>
      <w:fldChar w:fldCharType="end"/>
    </w:r>
    <w:r>
      <w:rPr>
        <w:sz w:val="26"/>
      </w:rPr>
      <w:t xml:space="preserve"> </w:t>
    </w:r>
    <w:r>
      <w:rPr>
        <w:sz w:val="24"/>
      </w:rPr>
      <w:t xml:space="preserve">(celkem </w:t>
    </w:r>
    <w:r>
      <w:fldChar w:fldCharType="begin"/>
    </w:r>
    <w:r>
      <w:instrText xml:space="preserve"> NUMPAGES   \* MERGEFORMAT </w:instrText>
    </w:r>
    <w:r>
      <w:fldChar w:fldCharType="separate"/>
    </w:r>
    <w:r>
      <w:rPr>
        <w:sz w:val="26"/>
      </w:rPr>
      <w:t>5</w:t>
    </w:r>
    <w:r>
      <w:rPr>
        <w:sz w:val="26"/>
      </w:rPr>
      <w:fldChar w:fldCharType="end"/>
    </w:r>
    <w:r>
      <w:rPr>
        <w:sz w:val="2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5A" w:rsidRDefault="00235ECE">
    <w:pPr>
      <w:spacing w:after="0" w:line="259" w:lineRule="auto"/>
      <w:ind w:left="0" w:right="106"/>
      <w:jc w:val="center"/>
    </w:pPr>
    <w:r>
      <w:rPr>
        <w:sz w:val="24"/>
      </w:rPr>
      <w:t xml:space="preserve">Strana </w:t>
    </w:r>
    <w:r>
      <w:fldChar w:fldCharType="begin"/>
    </w:r>
    <w:r>
      <w:instrText xml:space="preserve"> PAGE   \* MERGEFORMAT </w:instrText>
    </w:r>
    <w:r>
      <w:fldChar w:fldCharType="separate"/>
    </w:r>
    <w:r>
      <w:rPr>
        <w:sz w:val="26"/>
      </w:rPr>
      <w:t>1</w:t>
    </w:r>
    <w:r>
      <w:rPr>
        <w:sz w:val="26"/>
      </w:rPr>
      <w:fldChar w:fldCharType="end"/>
    </w:r>
    <w:r>
      <w:rPr>
        <w:sz w:val="26"/>
      </w:rPr>
      <w:t xml:space="preserve"> </w:t>
    </w:r>
    <w:r>
      <w:rPr>
        <w:sz w:val="24"/>
      </w:rPr>
      <w:t xml:space="preserve">(celkem </w:t>
    </w:r>
    <w:r>
      <w:fldChar w:fldCharType="begin"/>
    </w:r>
    <w:r>
      <w:instrText xml:space="preserve"> NUMPAGES   \* MERGEFORMAT </w:instrText>
    </w:r>
    <w:r>
      <w:fldChar w:fldCharType="separate"/>
    </w:r>
    <w:r>
      <w:rPr>
        <w:sz w:val="26"/>
      </w:rPr>
      <w:t>5</w:t>
    </w:r>
    <w:r>
      <w:rPr>
        <w:sz w:val="26"/>
      </w:rPr>
      <w:fldChar w:fldCharType="end"/>
    </w:r>
    <w:r>
      <w:rPr>
        <w:sz w:val="2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5A" w:rsidRDefault="00235ECE">
    <w:pPr>
      <w:spacing w:after="0" w:line="259" w:lineRule="auto"/>
      <w:ind w:left="0" w:right="106"/>
      <w:jc w:val="center"/>
    </w:pPr>
    <w:r>
      <w:rPr>
        <w:sz w:val="24"/>
      </w:rPr>
      <w:t xml:space="preserve">Strana </w:t>
    </w:r>
    <w:r>
      <w:fldChar w:fldCharType="begin"/>
    </w:r>
    <w:r>
      <w:instrText xml:space="preserve"> PAGE   \* MERGEFORMAT </w:instrText>
    </w:r>
    <w:r>
      <w:fldChar w:fldCharType="separate"/>
    </w:r>
    <w:r>
      <w:rPr>
        <w:sz w:val="26"/>
      </w:rPr>
      <w:t>1</w:t>
    </w:r>
    <w:r>
      <w:rPr>
        <w:sz w:val="26"/>
      </w:rPr>
      <w:fldChar w:fldCharType="end"/>
    </w:r>
    <w:r>
      <w:rPr>
        <w:sz w:val="26"/>
      </w:rPr>
      <w:t xml:space="preserve"> </w:t>
    </w:r>
    <w:r>
      <w:rPr>
        <w:sz w:val="24"/>
      </w:rPr>
      <w:t xml:space="preserve">(celkem </w:t>
    </w:r>
    <w:r>
      <w:fldChar w:fldCharType="begin"/>
    </w:r>
    <w:r>
      <w:instrText xml:space="preserve"> NUMPAGES   \* MERGEFORMAT </w:instrText>
    </w:r>
    <w:r>
      <w:fldChar w:fldCharType="separate"/>
    </w:r>
    <w:r>
      <w:rPr>
        <w:sz w:val="26"/>
      </w:rPr>
      <w:t>5</w:t>
    </w:r>
    <w:r>
      <w:rPr>
        <w:sz w:val="26"/>
      </w:rPr>
      <w:fldChar w:fldCharType="end"/>
    </w:r>
    <w:r>
      <w:rPr>
        <w:sz w:val="2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35ECE">
      <w:pPr>
        <w:spacing w:after="0" w:line="240" w:lineRule="auto"/>
      </w:pPr>
      <w:r>
        <w:separator/>
      </w:r>
    </w:p>
  </w:footnote>
  <w:footnote w:type="continuationSeparator" w:id="0">
    <w:p w:rsidR="00000000" w:rsidRDefault="00235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D04B8"/>
    <w:multiLevelType w:val="hybridMultilevel"/>
    <w:tmpl w:val="8B3845BE"/>
    <w:lvl w:ilvl="0" w:tplc="E3E2E492">
      <w:start w:val="1"/>
      <w:numFmt w:val="decimal"/>
      <w:lvlText w:val="%1."/>
      <w:lvlJc w:val="left"/>
      <w:pPr>
        <w:ind w:left="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F4A5AEC">
      <w:start w:val="1"/>
      <w:numFmt w:val="lowerLetter"/>
      <w:lvlText w:val="%2"/>
      <w:lvlJc w:val="left"/>
      <w:pPr>
        <w:ind w:left="11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ED64946">
      <w:start w:val="1"/>
      <w:numFmt w:val="lowerRoman"/>
      <w:lvlText w:val="%3"/>
      <w:lvlJc w:val="left"/>
      <w:pPr>
        <w:ind w:left="18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82A79AA">
      <w:start w:val="1"/>
      <w:numFmt w:val="decimal"/>
      <w:lvlText w:val="%4"/>
      <w:lvlJc w:val="left"/>
      <w:pPr>
        <w:ind w:left="25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22ABB80">
      <w:start w:val="1"/>
      <w:numFmt w:val="lowerLetter"/>
      <w:lvlText w:val="%5"/>
      <w:lvlJc w:val="left"/>
      <w:pPr>
        <w:ind w:left="32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6E22A6C">
      <w:start w:val="1"/>
      <w:numFmt w:val="lowerRoman"/>
      <w:lvlText w:val="%6"/>
      <w:lvlJc w:val="left"/>
      <w:pPr>
        <w:ind w:left="39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ABE9670">
      <w:start w:val="1"/>
      <w:numFmt w:val="decimal"/>
      <w:lvlText w:val="%7"/>
      <w:lvlJc w:val="left"/>
      <w:pPr>
        <w:ind w:left="47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2265570">
      <w:start w:val="1"/>
      <w:numFmt w:val="lowerLetter"/>
      <w:lvlText w:val="%8"/>
      <w:lvlJc w:val="left"/>
      <w:pPr>
        <w:ind w:left="54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00C490E">
      <w:start w:val="1"/>
      <w:numFmt w:val="lowerRoman"/>
      <w:lvlText w:val="%9"/>
      <w:lvlJc w:val="left"/>
      <w:pPr>
        <w:ind w:left="61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38386CF5"/>
    <w:multiLevelType w:val="hybridMultilevel"/>
    <w:tmpl w:val="9482D7EC"/>
    <w:lvl w:ilvl="0" w:tplc="01CC3374">
      <w:start w:val="1"/>
      <w:numFmt w:val="decimal"/>
      <w:lvlText w:val="%1."/>
      <w:lvlJc w:val="left"/>
      <w:pPr>
        <w:ind w:left="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19C053C">
      <w:start w:val="1"/>
      <w:numFmt w:val="lowerLetter"/>
      <w:lvlText w:val="%2"/>
      <w:lvlJc w:val="left"/>
      <w:pPr>
        <w:ind w:left="1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B9AEC44">
      <w:start w:val="1"/>
      <w:numFmt w:val="lowerRoman"/>
      <w:lvlText w:val="%3"/>
      <w:lvlJc w:val="left"/>
      <w:pPr>
        <w:ind w:left="1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F62791A">
      <w:start w:val="1"/>
      <w:numFmt w:val="decimal"/>
      <w:lvlText w:val="%4"/>
      <w:lvlJc w:val="left"/>
      <w:pPr>
        <w:ind w:left="25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D3E5E88">
      <w:start w:val="1"/>
      <w:numFmt w:val="lowerLetter"/>
      <w:lvlText w:val="%5"/>
      <w:lvlJc w:val="left"/>
      <w:pPr>
        <w:ind w:left="33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41ED312">
      <w:start w:val="1"/>
      <w:numFmt w:val="lowerRoman"/>
      <w:lvlText w:val="%6"/>
      <w:lvlJc w:val="left"/>
      <w:pPr>
        <w:ind w:left="40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BE68966">
      <w:start w:val="1"/>
      <w:numFmt w:val="decimal"/>
      <w:lvlText w:val="%7"/>
      <w:lvlJc w:val="left"/>
      <w:pPr>
        <w:ind w:left="47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63240CC">
      <w:start w:val="1"/>
      <w:numFmt w:val="lowerLetter"/>
      <w:lvlText w:val="%8"/>
      <w:lvlJc w:val="left"/>
      <w:pPr>
        <w:ind w:left="54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3924CC0">
      <w:start w:val="1"/>
      <w:numFmt w:val="lowerRoman"/>
      <w:lvlText w:val="%9"/>
      <w:lvlJc w:val="left"/>
      <w:pPr>
        <w:ind w:left="61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65704349"/>
    <w:multiLevelType w:val="hybridMultilevel"/>
    <w:tmpl w:val="152C93B2"/>
    <w:lvl w:ilvl="0" w:tplc="B87AC834">
      <w:start w:val="3"/>
      <w:numFmt w:val="decimal"/>
      <w:lvlText w:val="%1."/>
      <w:lvlJc w:val="left"/>
      <w:pPr>
        <w:ind w:left="2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0A6506">
      <w:start w:val="1"/>
      <w:numFmt w:val="lowerLetter"/>
      <w:lvlText w:val="%2"/>
      <w:lvlJc w:val="left"/>
      <w:pPr>
        <w:ind w:left="1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745940">
      <w:start w:val="1"/>
      <w:numFmt w:val="lowerRoman"/>
      <w:lvlText w:val="%3"/>
      <w:lvlJc w:val="left"/>
      <w:pPr>
        <w:ind w:left="1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367EBE">
      <w:start w:val="1"/>
      <w:numFmt w:val="decimal"/>
      <w:lvlText w:val="%4"/>
      <w:lvlJc w:val="left"/>
      <w:pPr>
        <w:ind w:left="2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C483B2">
      <w:start w:val="1"/>
      <w:numFmt w:val="lowerLetter"/>
      <w:lvlText w:val="%5"/>
      <w:lvlJc w:val="left"/>
      <w:pPr>
        <w:ind w:left="3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A0BF12">
      <w:start w:val="1"/>
      <w:numFmt w:val="lowerRoman"/>
      <w:lvlText w:val="%6"/>
      <w:lvlJc w:val="left"/>
      <w:pPr>
        <w:ind w:left="39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C095D6">
      <w:start w:val="1"/>
      <w:numFmt w:val="decimal"/>
      <w:lvlText w:val="%7"/>
      <w:lvlJc w:val="left"/>
      <w:pPr>
        <w:ind w:left="4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32D63A">
      <w:start w:val="1"/>
      <w:numFmt w:val="lowerLetter"/>
      <w:lvlText w:val="%8"/>
      <w:lvlJc w:val="left"/>
      <w:pPr>
        <w:ind w:left="5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46E5DA">
      <w:start w:val="1"/>
      <w:numFmt w:val="lowerRoman"/>
      <w:lvlText w:val="%9"/>
      <w:lvlJc w:val="left"/>
      <w:pPr>
        <w:ind w:left="6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7F343CB7"/>
    <w:multiLevelType w:val="hybridMultilevel"/>
    <w:tmpl w:val="0EAA0E06"/>
    <w:lvl w:ilvl="0" w:tplc="37505CA4">
      <w:start w:val="1"/>
      <w:numFmt w:val="decimal"/>
      <w:lvlText w:val="%1."/>
      <w:lvlJc w:val="left"/>
      <w:pPr>
        <w:ind w:left="3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796F254">
      <w:start w:val="1"/>
      <w:numFmt w:val="lowerLetter"/>
      <w:lvlText w:val="%2"/>
      <w:lvlJc w:val="left"/>
      <w:pPr>
        <w:ind w:left="11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D304336">
      <w:start w:val="1"/>
      <w:numFmt w:val="lowerRoman"/>
      <w:lvlText w:val="%3"/>
      <w:lvlJc w:val="left"/>
      <w:pPr>
        <w:ind w:left="18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450778C">
      <w:start w:val="1"/>
      <w:numFmt w:val="decimal"/>
      <w:lvlText w:val="%4"/>
      <w:lvlJc w:val="left"/>
      <w:pPr>
        <w:ind w:left="25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41E4530">
      <w:start w:val="1"/>
      <w:numFmt w:val="lowerLetter"/>
      <w:lvlText w:val="%5"/>
      <w:lvlJc w:val="left"/>
      <w:pPr>
        <w:ind w:left="32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4765408">
      <w:start w:val="1"/>
      <w:numFmt w:val="lowerRoman"/>
      <w:lvlText w:val="%6"/>
      <w:lvlJc w:val="left"/>
      <w:pPr>
        <w:ind w:left="39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1A21FA0">
      <w:start w:val="1"/>
      <w:numFmt w:val="decimal"/>
      <w:lvlText w:val="%7"/>
      <w:lvlJc w:val="left"/>
      <w:pPr>
        <w:ind w:left="47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02AD262">
      <w:start w:val="1"/>
      <w:numFmt w:val="lowerLetter"/>
      <w:lvlText w:val="%8"/>
      <w:lvlJc w:val="left"/>
      <w:pPr>
        <w:ind w:left="54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61C37DC">
      <w:start w:val="1"/>
      <w:numFmt w:val="lowerRoman"/>
      <w:lvlText w:val="%9"/>
      <w:lvlJc w:val="left"/>
      <w:pPr>
        <w:ind w:left="61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F5A"/>
    <w:rsid w:val="00235ECE"/>
    <w:rsid w:val="003D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E64A4A-8F92-44A1-B576-FCD7B9BF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3" w:lineRule="auto"/>
      <w:ind w:left="139"/>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1614</Words>
  <Characters>9205</Characters>
  <Application>Microsoft Office Word</Application>
  <DocSecurity>0</DocSecurity>
  <Lines>76</Lines>
  <Paragraphs>21</Paragraphs>
  <ScaleCrop>false</ScaleCrop>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freelancer</dc:creator>
  <cp:keywords/>
  <cp:lastModifiedBy>freelancer</cp:lastModifiedBy>
  <cp:revision>2</cp:revision>
  <dcterms:created xsi:type="dcterms:W3CDTF">2019-04-03T06:56:00Z</dcterms:created>
  <dcterms:modified xsi:type="dcterms:W3CDTF">2019-04-03T06:56:00Z</dcterms:modified>
</cp:coreProperties>
</file>