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E2B74" w14:textId="099ED269" w:rsidR="005A44F1" w:rsidRPr="00C029FA" w:rsidRDefault="005A44F1" w:rsidP="00C029FA">
      <w:pPr>
        <w:keepNext/>
        <w:pageBreakBefore/>
        <w:spacing w:before="240" w:after="60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C029FA">
        <w:rPr>
          <w:rFonts w:asciiTheme="minorHAnsi" w:hAnsiTheme="minorHAnsi" w:cstheme="minorHAnsi"/>
          <w:b/>
          <w:sz w:val="32"/>
          <w:szCs w:val="32"/>
        </w:rPr>
        <w:t>Minimální požadované technické parametry</w:t>
      </w:r>
      <w:r w:rsidR="00C029FA">
        <w:rPr>
          <w:rFonts w:asciiTheme="minorHAnsi" w:hAnsiTheme="minorHAnsi" w:cstheme="minorHAnsi"/>
          <w:b/>
          <w:sz w:val="32"/>
          <w:szCs w:val="32"/>
        </w:rPr>
        <w:t xml:space="preserve"> na technologii</w:t>
      </w:r>
    </w:p>
    <w:p w14:paraId="6A95C3F9" w14:textId="77777777" w:rsidR="005A44F1" w:rsidRPr="00C029FA" w:rsidRDefault="005A44F1" w:rsidP="005A44F1">
      <w:pPr>
        <w:rPr>
          <w:rFonts w:asciiTheme="minorHAnsi" w:hAnsiTheme="minorHAnsi" w:cstheme="minorHAnsi"/>
        </w:rPr>
      </w:pPr>
    </w:p>
    <w:p w14:paraId="6DF5BD12" w14:textId="4E8AE265" w:rsidR="00AD2F0F" w:rsidRPr="003A4F00" w:rsidRDefault="00A54777" w:rsidP="00AD2F0F">
      <w:pPr>
        <w:rPr>
          <w:rFonts w:asciiTheme="minorHAnsi" w:hAnsiTheme="minorHAnsi" w:cs="Helvetica"/>
          <w:sz w:val="20"/>
          <w:szCs w:val="20"/>
        </w:rPr>
      </w:pPr>
      <w:r w:rsidRPr="00C029FA">
        <w:rPr>
          <w:rFonts w:asciiTheme="minorHAnsi" w:hAnsiTheme="minorHAnsi" w:cstheme="minorHAnsi"/>
          <w:color w:val="000000"/>
          <w:u w:val="single"/>
        </w:rPr>
        <w:t>Název technologie/vybavení</w:t>
      </w:r>
      <w:r w:rsidRPr="00C029FA">
        <w:rPr>
          <w:rFonts w:asciiTheme="minorHAnsi" w:hAnsiTheme="minorHAnsi" w:cstheme="minorHAnsi"/>
          <w:color w:val="000000"/>
        </w:rPr>
        <w:t xml:space="preserve">: </w:t>
      </w:r>
      <w:r w:rsidR="003A4F00" w:rsidRPr="00E94574">
        <w:rPr>
          <w:rFonts w:asciiTheme="minorHAnsi" w:hAnsiTheme="minorHAnsi" w:cs="Helvetica"/>
          <w:b/>
        </w:rPr>
        <w:t>Otevřený modulární systém pro řízení pohonů</w:t>
      </w:r>
    </w:p>
    <w:p w14:paraId="76DB1BD4" w14:textId="77777777" w:rsidR="00564A79" w:rsidRPr="00487E7D" w:rsidRDefault="00564A79" w:rsidP="00A54777">
      <w:pPr>
        <w:rPr>
          <w:rFonts w:asciiTheme="minorHAnsi" w:hAnsiTheme="minorHAnsi" w:cstheme="minorHAnsi"/>
        </w:rPr>
      </w:pPr>
    </w:p>
    <w:p w14:paraId="31FCCE84" w14:textId="77777777" w:rsidR="009C3D17" w:rsidRPr="00487E7D" w:rsidRDefault="009C3D17" w:rsidP="00A54777">
      <w:pPr>
        <w:rPr>
          <w:rFonts w:asciiTheme="minorHAnsi" w:hAnsiTheme="minorHAnsi" w:cstheme="minorHAnsi"/>
          <w:u w:val="single"/>
        </w:rPr>
      </w:pPr>
    </w:p>
    <w:p w14:paraId="4A8B6C41" w14:textId="77777777" w:rsidR="00A54777" w:rsidRDefault="00A54777" w:rsidP="00A54777">
      <w:pPr>
        <w:rPr>
          <w:rFonts w:asciiTheme="minorHAnsi" w:hAnsiTheme="minorHAnsi" w:cstheme="minorHAnsi"/>
          <w:u w:val="single"/>
        </w:rPr>
      </w:pPr>
      <w:r w:rsidRPr="00487E7D">
        <w:rPr>
          <w:rFonts w:asciiTheme="minorHAnsi" w:hAnsiTheme="minorHAnsi" w:cstheme="minorHAnsi"/>
          <w:u w:val="single"/>
        </w:rPr>
        <w:t xml:space="preserve">Stručný popis technologie/vybavení a stanovení jeho účelu (min. 100 slov): </w:t>
      </w:r>
    </w:p>
    <w:p w14:paraId="74168BF3" w14:textId="77777777" w:rsidR="00BC41D3" w:rsidRPr="00487E7D" w:rsidRDefault="00BC41D3" w:rsidP="00A54777">
      <w:pPr>
        <w:rPr>
          <w:rFonts w:asciiTheme="minorHAnsi" w:hAnsiTheme="minorHAnsi" w:cstheme="minorHAnsi"/>
          <w:u w:val="single"/>
        </w:rPr>
      </w:pPr>
    </w:p>
    <w:p w14:paraId="55DFC719" w14:textId="0FD4E1BE" w:rsidR="005A44F1" w:rsidRDefault="002525A9" w:rsidP="00BC41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Otevřený modulární systém pro řízení </w:t>
      </w:r>
      <w:proofErr w:type="spellStart"/>
      <w:r>
        <w:rPr>
          <w:rFonts w:asciiTheme="minorHAnsi" w:hAnsiTheme="minorHAnsi" w:cstheme="minorHAnsi"/>
        </w:rPr>
        <w:t>servopohonů</w:t>
      </w:r>
      <w:proofErr w:type="spellEnd"/>
      <w:r w:rsidR="00BC41D3" w:rsidRPr="00BC41D3">
        <w:rPr>
          <w:rFonts w:asciiTheme="minorHAnsi" w:hAnsiTheme="minorHAnsi" w:cstheme="minorHAnsi"/>
        </w:rPr>
        <w:t xml:space="preserve"> je otevřený modulární systém pro řízení pohybových os přes realtimovou sběrnici </w:t>
      </w:r>
      <w:proofErr w:type="spellStart"/>
      <w:r w:rsidR="00BC41D3" w:rsidRPr="00BC41D3">
        <w:rPr>
          <w:rFonts w:asciiTheme="minorHAnsi" w:hAnsiTheme="minorHAnsi" w:cstheme="minorHAnsi"/>
        </w:rPr>
        <w:t>Ethercat</w:t>
      </w:r>
      <w:proofErr w:type="spellEnd"/>
      <w:r w:rsidR="00BC41D3" w:rsidRPr="00BC41D3">
        <w:rPr>
          <w:rFonts w:asciiTheme="minorHAnsi" w:hAnsiTheme="minorHAnsi" w:cstheme="minorHAnsi"/>
        </w:rPr>
        <w:t xml:space="preserve">. Tímto systémem budou vybaveny průmyslové roboty tak, aby byla zajištěna jejich maximální otevřenost a </w:t>
      </w:r>
      <w:proofErr w:type="spellStart"/>
      <w:r w:rsidR="00BC41D3" w:rsidRPr="00BC41D3">
        <w:rPr>
          <w:rFonts w:asciiTheme="minorHAnsi" w:hAnsiTheme="minorHAnsi" w:cstheme="minorHAnsi"/>
        </w:rPr>
        <w:t>konfigurovatelnost</w:t>
      </w:r>
      <w:proofErr w:type="spellEnd"/>
      <w:r w:rsidR="00BC41D3" w:rsidRPr="00BC41D3">
        <w:rPr>
          <w:rFonts w:asciiTheme="minorHAnsi" w:hAnsiTheme="minorHAnsi" w:cstheme="minorHAnsi"/>
        </w:rPr>
        <w:t>, kterou tradiční proprietární uzavřené řídicí systémy robotů nemají. Tento systém bude sloužit k reali</w:t>
      </w:r>
      <w:r w:rsidR="000C735C">
        <w:rPr>
          <w:rFonts w:asciiTheme="minorHAnsi" w:hAnsiTheme="minorHAnsi" w:cstheme="minorHAnsi"/>
        </w:rPr>
        <w:t xml:space="preserve">zaci výzkumu v rámci WP </w:t>
      </w:r>
      <w:proofErr w:type="spellStart"/>
      <w:r w:rsidR="000C735C">
        <w:rPr>
          <w:rFonts w:asciiTheme="minorHAnsi" w:hAnsiTheme="minorHAnsi" w:cstheme="minorHAnsi"/>
        </w:rPr>
        <w:t>Task</w:t>
      </w:r>
      <w:proofErr w:type="spellEnd"/>
      <w:r w:rsidR="000C735C">
        <w:rPr>
          <w:rFonts w:asciiTheme="minorHAnsi" w:hAnsiTheme="minorHAnsi" w:cstheme="minorHAnsi"/>
        </w:rPr>
        <w:t xml:space="preserve"> 3D</w:t>
      </w:r>
      <w:r w:rsidR="00BC41D3" w:rsidRPr="00BC41D3">
        <w:rPr>
          <w:rFonts w:asciiTheme="minorHAnsi" w:hAnsiTheme="minorHAnsi" w:cstheme="minorHAnsi"/>
        </w:rPr>
        <w:t xml:space="preserve">, kde budou zkoumány možnosti kooperativního spojení a řízení vzájemně </w:t>
      </w:r>
      <w:r w:rsidR="000C735C">
        <w:rPr>
          <w:rFonts w:asciiTheme="minorHAnsi" w:hAnsiTheme="minorHAnsi" w:cstheme="minorHAnsi"/>
        </w:rPr>
        <w:t xml:space="preserve">kinematicky provázaných robotů, </w:t>
      </w:r>
      <w:r w:rsidR="00BC41D3" w:rsidRPr="00BC41D3">
        <w:rPr>
          <w:rFonts w:asciiTheme="minorHAnsi" w:hAnsiTheme="minorHAnsi" w:cstheme="minorHAnsi"/>
        </w:rPr>
        <w:t xml:space="preserve">a dále v realizaci výzkumných aktivit ve WP </w:t>
      </w:r>
      <w:proofErr w:type="spellStart"/>
      <w:r w:rsidR="00BC41D3" w:rsidRPr="00BC41D3">
        <w:rPr>
          <w:rFonts w:asciiTheme="minorHAnsi" w:hAnsiTheme="minorHAnsi" w:cstheme="minorHAnsi"/>
        </w:rPr>
        <w:t>Task</w:t>
      </w:r>
      <w:proofErr w:type="spellEnd"/>
      <w:r w:rsidR="00BC41D3" w:rsidRPr="00BC41D3">
        <w:rPr>
          <w:rFonts w:asciiTheme="minorHAnsi" w:hAnsiTheme="minorHAnsi" w:cstheme="minorHAnsi"/>
        </w:rPr>
        <w:t xml:space="preserve"> 3E, kde bude systém využit jako integrální část realizovaného výzkumu v oblasti manipulace obtížně uchopitelných objektů a manipulace prostřednictvím pokročilých senzoricky bohatých </w:t>
      </w:r>
      <w:proofErr w:type="spellStart"/>
      <w:r w:rsidR="00BC41D3" w:rsidRPr="00BC41D3">
        <w:rPr>
          <w:rFonts w:asciiTheme="minorHAnsi" w:hAnsiTheme="minorHAnsi" w:cstheme="minorHAnsi"/>
        </w:rPr>
        <w:t>gripperů</w:t>
      </w:r>
      <w:proofErr w:type="spellEnd"/>
      <w:r w:rsidR="00BC41D3" w:rsidRPr="00BC41D3">
        <w:rPr>
          <w:rFonts w:asciiTheme="minorHAnsi" w:hAnsiTheme="minorHAnsi" w:cstheme="minorHAnsi"/>
        </w:rPr>
        <w:t>.</w:t>
      </w:r>
    </w:p>
    <w:p w14:paraId="6474E8DE" w14:textId="77777777" w:rsidR="00BC41D3" w:rsidRPr="00487E7D" w:rsidRDefault="00BC41D3" w:rsidP="005A44F1">
      <w:pPr>
        <w:rPr>
          <w:rFonts w:asciiTheme="minorHAnsi" w:hAnsiTheme="minorHAnsi" w:cstheme="minorHAnsi"/>
        </w:rPr>
      </w:pPr>
    </w:p>
    <w:p w14:paraId="04E5EB58" w14:textId="26AA0444" w:rsidR="00D56EF2" w:rsidRPr="00487E7D" w:rsidRDefault="00BC41D3" w:rsidP="005A44F1">
      <w:pPr>
        <w:rPr>
          <w:rStyle w:val="Siln"/>
          <w:rFonts w:asciiTheme="minorHAnsi" w:hAnsiTheme="minorHAnsi" w:cstheme="minorHAnsi"/>
        </w:rPr>
      </w:pPr>
      <w:r w:rsidRPr="00BC41D3">
        <w:rPr>
          <w:rFonts w:asciiTheme="minorHAnsi" w:hAnsiTheme="minorHAnsi" w:cstheme="minorHAnsi"/>
          <w:b/>
        </w:rPr>
        <w:t>Řídicí systém pro pohon</w:t>
      </w:r>
      <w:r w:rsidRPr="00487E7D">
        <w:rPr>
          <w:rStyle w:val="Siln"/>
          <w:rFonts w:asciiTheme="minorHAnsi" w:hAnsiTheme="minorHAnsi" w:cstheme="minorHAnsi"/>
        </w:rPr>
        <w:t xml:space="preserve"> </w:t>
      </w:r>
      <w:r w:rsidR="00D56EF2" w:rsidRPr="00487E7D">
        <w:rPr>
          <w:rStyle w:val="Siln"/>
          <w:rFonts w:asciiTheme="minorHAnsi" w:hAnsiTheme="minorHAnsi" w:cstheme="minorHAnsi"/>
        </w:rPr>
        <w:t>tyto základní technické parametry:</w:t>
      </w:r>
    </w:p>
    <w:p w14:paraId="11100F83" w14:textId="77777777" w:rsidR="002A5B5B" w:rsidRPr="00487E7D" w:rsidRDefault="002A5B5B" w:rsidP="005A44F1">
      <w:pPr>
        <w:rPr>
          <w:rFonts w:asciiTheme="minorHAnsi" w:hAnsiTheme="minorHAnsi" w:cstheme="minorHAnsi"/>
        </w:rPr>
      </w:pPr>
    </w:p>
    <w:p w14:paraId="72F20BC5" w14:textId="3DEF791A" w:rsidR="006B6E67" w:rsidRDefault="00BC41D3" w:rsidP="00937CA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zajištění kompatibility s existující infrastrukturou musí komunikace v rámci řídicího systému pr</w:t>
      </w:r>
      <w:r w:rsidR="00900EC6">
        <w:rPr>
          <w:rFonts w:asciiTheme="minorHAnsi" w:hAnsiTheme="minorHAnsi" w:cstheme="minorHAnsi"/>
        </w:rPr>
        <w:t>obíhat přes komunikační sběrnici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EtherCat</w:t>
      </w:r>
      <w:proofErr w:type="spellEnd"/>
    </w:p>
    <w:p w14:paraId="70590186" w14:textId="52CE5709" w:rsidR="001F77F7" w:rsidRPr="00487E7D" w:rsidRDefault="001F77F7" w:rsidP="001F77F7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1F77F7">
        <w:rPr>
          <w:rFonts w:asciiTheme="minorHAnsi" w:hAnsiTheme="minorHAnsi" w:cstheme="minorHAnsi"/>
        </w:rPr>
        <w:t xml:space="preserve">Systém musí být možné programovat v PLC normě IEC 61131-3, </w:t>
      </w:r>
      <w:r w:rsidR="00C52837">
        <w:rPr>
          <w:rFonts w:asciiTheme="minorHAnsi" w:hAnsiTheme="minorHAnsi" w:cstheme="minorHAnsi"/>
        </w:rPr>
        <w:t xml:space="preserve">dále </w:t>
      </w:r>
      <w:r w:rsidRPr="001F77F7">
        <w:rPr>
          <w:rFonts w:asciiTheme="minorHAnsi" w:hAnsiTheme="minorHAnsi" w:cstheme="minorHAnsi"/>
        </w:rPr>
        <w:t xml:space="preserve">podporovat možnost aktivního využití platformy </w:t>
      </w:r>
      <w:proofErr w:type="spellStart"/>
      <w:r w:rsidRPr="001F77F7">
        <w:rPr>
          <w:rFonts w:asciiTheme="minorHAnsi" w:hAnsiTheme="minorHAnsi" w:cstheme="minorHAnsi"/>
        </w:rPr>
        <w:t>Matlab</w:t>
      </w:r>
      <w:proofErr w:type="spellEnd"/>
      <w:r w:rsidRPr="001F77F7">
        <w:rPr>
          <w:rFonts w:asciiTheme="minorHAnsi" w:hAnsiTheme="minorHAnsi" w:cstheme="minorHAnsi"/>
        </w:rPr>
        <w:t>/</w:t>
      </w:r>
      <w:proofErr w:type="spellStart"/>
      <w:r w:rsidRPr="001F77F7">
        <w:rPr>
          <w:rFonts w:asciiTheme="minorHAnsi" w:hAnsiTheme="minorHAnsi" w:cstheme="minorHAnsi"/>
        </w:rPr>
        <w:t>Simulink</w:t>
      </w:r>
      <w:proofErr w:type="spellEnd"/>
      <w:r w:rsidRPr="001F77F7">
        <w:rPr>
          <w:rFonts w:asciiTheme="minorHAnsi" w:hAnsiTheme="minorHAnsi" w:cstheme="minorHAnsi"/>
        </w:rPr>
        <w:t xml:space="preserve"> a umožnovat možnost programování pohybu pomocí standardního </w:t>
      </w:r>
      <w:r w:rsidR="0053355A">
        <w:rPr>
          <w:rFonts w:asciiTheme="minorHAnsi" w:hAnsiTheme="minorHAnsi" w:cstheme="minorHAnsi"/>
        </w:rPr>
        <w:t>G kódu pro min. 1</w:t>
      </w:r>
      <w:r w:rsidR="00A864C2">
        <w:rPr>
          <w:rFonts w:asciiTheme="minorHAnsi" w:hAnsiTheme="minorHAnsi" w:cstheme="minorHAnsi"/>
        </w:rPr>
        <w:t>8</w:t>
      </w:r>
      <w:r w:rsidRPr="001F77F7">
        <w:rPr>
          <w:rFonts w:asciiTheme="minorHAnsi" w:hAnsiTheme="minorHAnsi" w:cstheme="minorHAnsi"/>
        </w:rPr>
        <w:t xml:space="preserve"> interpolovaných os.</w:t>
      </w:r>
    </w:p>
    <w:p w14:paraId="2128D0AB" w14:textId="4D22E430" w:rsidR="00937CAB" w:rsidRDefault="00BC41D3" w:rsidP="00937CA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Sada </w:t>
      </w:r>
      <w:proofErr w:type="spellStart"/>
      <w:r>
        <w:rPr>
          <w:rFonts w:asciiTheme="minorHAnsi" w:hAnsiTheme="minorHAnsi" w:cstheme="minorHAnsi"/>
        </w:rPr>
        <w:t>servo</w:t>
      </w:r>
      <w:r w:rsidR="005279C5">
        <w:rPr>
          <w:rFonts w:asciiTheme="minorHAnsi" w:hAnsiTheme="minorHAnsi" w:cstheme="minorHAnsi"/>
        </w:rPr>
        <w:t>měničů</w:t>
      </w:r>
      <w:proofErr w:type="spellEnd"/>
      <w:r w:rsidR="005279C5">
        <w:rPr>
          <w:rFonts w:asciiTheme="minorHAnsi" w:hAnsiTheme="minorHAnsi" w:cstheme="minorHAnsi"/>
        </w:rPr>
        <w:t xml:space="preserve"> pro řízení </w:t>
      </w:r>
      <w:r w:rsidR="0053355A">
        <w:rPr>
          <w:rFonts w:asciiTheme="minorHAnsi" w:hAnsiTheme="minorHAnsi" w:cstheme="minorHAnsi"/>
        </w:rPr>
        <w:t>1</w:t>
      </w:r>
      <w:r w:rsidR="00A864C2">
        <w:rPr>
          <w:rFonts w:asciiTheme="minorHAnsi" w:hAnsiTheme="minorHAnsi" w:cstheme="minorHAnsi"/>
        </w:rPr>
        <w:t>8</w:t>
      </w:r>
      <w:r w:rsidR="001F77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pohybových os musí podporovat </w:t>
      </w:r>
      <w:r w:rsidR="000C735C">
        <w:rPr>
          <w:rFonts w:asciiTheme="minorHAnsi" w:hAnsiTheme="minorHAnsi" w:cstheme="minorHAnsi"/>
        </w:rPr>
        <w:t xml:space="preserve">komunikační protokol </w:t>
      </w:r>
      <w:proofErr w:type="spellStart"/>
      <w:r w:rsidR="000C735C">
        <w:rPr>
          <w:rFonts w:asciiTheme="minorHAnsi" w:hAnsiTheme="minorHAnsi" w:cstheme="minorHAnsi"/>
        </w:rPr>
        <w:t>EtherCat</w:t>
      </w:r>
      <w:proofErr w:type="spellEnd"/>
      <w:r w:rsidR="0053355A">
        <w:rPr>
          <w:rFonts w:asciiTheme="minorHAnsi" w:hAnsiTheme="minorHAnsi" w:cstheme="minorHAnsi"/>
        </w:rPr>
        <w:t>.</w:t>
      </w:r>
    </w:p>
    <w:p w14:paraId="65970626" w14:textId="712F01F6" w:rsidR="0043339A" w:rsidRDefault="0043339A" w:rsidP="00937CA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Servoměniče</w:t>
      </w:r>
      <w:proofErr w:type="spellEnd"/>
      <w:r>
        <w:rPr>
          <w:rFonts w:asciiTheme="minorHAnsi" w:hAnsiTheme="minorHAnsi" w:cstheme="minorHAnsi"/>
        </w:rPr>
        <w:t xml:space="preserve"> musí umožňovat připojení odměřování standardu </w:t>
      </w:r>
      <w:proofErr w:type="spellStart"/>
      <w:r>
        <w:rPr>
          <w:rFonts w:asciiTheme="minorHAnsi" w:hAnsiTheme="minorHAnsi" w:cstheme="minorHAnsi"/>
        </w:rPr>
        <w:t>Endat</w:t>
      </w:r>
      <w:proofErr w:type="spellEnd"/>
      <w:r>
        <w:rPr>
          <w:rFonts w:asciiTheme="minorHAnsi" w:hAnsiTheme="minorHAnsi" w:cstheme="minorHAnsi"/>
        </w:rPr>
        <w:t xml:space="preserve"> 2.2</w:t>
      </w:r>
    </w:p>
    <w:p w14:paraId="3017EE82" w14:textId="70E81CE0" w:rsidR="00900EC6" w:rsidRPr="00900EC6" w:rsidRDefault="00900EC6" w:rsidP="00900EC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Systém mus</w:t>
      </w:r>
      <w:r w:rsidR="004F0D27">
        <w:rPr>
          <w:rFonts w:asciiTheme="minorHAnsi" w:hAnsiTheme="minorHAnsi" w:cstheme="minorHAnsi"/>
        </w:rPr>
        <w:t>í podporovat bezpečnostní funkci min</w:t>
      </w:r>
      <w:r w:rsidR="004F0D27" w:rsidRPr="00441C8F">
        <w:rPr>
          <w:rFonts w:asciiTheme="minorHAnsi" w:hAnsiTheme="minorHAnsi" w:cstheme="minorHAnsi"/>
        </w:rPr>
        <w:t>.</w:t>
      </w:r>
      <w:r w:rsidR="000C735C">
        <w:rPr>
          <w:rFonts w:asciiTheme="minorHAnsi" w:hAnsiTheme="minorHAnsi" w:cstheme="minorHAnsi"/>
        </w:rPr>
        <w:t xml:space="preserve"> </w:t>
      </w:r>
      <w:r w:rsidR="004F0D27" w:rsidRPr="00441C8F">
        <w:rPr>
          <w:rFonts w:asciiTheme="minorHAnsi" w:hAnsiTheme="minorHAnsi" w:cstheme="minorHAnsi"/>
        </w:rPr>
        <w:t>STO</w:t>
      </w:r>
      <w:r w:rsidR="00441C8F" w:rsidRPr="00441C8F">
        <w:rPr>
          <w:rFonts w:asciiTheme="minorHAnsi" w:hAnsiTheme="minorHAnsi"/>
        </w:rPr>
        <w:t>, SS1</w:t>
      </w:r>
      <w:r w:rsidR="00441C8F">
        <w:t xml:space="preserve"> </w:t>
      </w:r>
    </w:p>
    <w:p w14:paraId="0B503C0F" w14:textId="10779377" w:rsidR="002A5B5B" w:rsidRDefault="005279C5" w:rsidP="00937CA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</w:t>
      </w:r>
      <w:r w:rsidR="00C52837">
        <w:rPr>
          <w:rFonts w:asciiTheme="minorHAnsi" w:hAnsiTheme="minorHAnsi" w:cstheme="minorHAnsi"/>
        </w:rPr>
        <w:t>í</w:t>
      </w:r>
      <w:r w:rsidR="001F77F7">
        <w:rPr>
          <w:rFonts w:asciiTheme="minorHAnsi" w:hAnsiTheme="minorHAnsi" w:cstheme="minorHAnsi"/>
        </w:rPr>
        <w:t>dicí počítač musí bý</w:t>
      </w:r>
      <w:r>
        <w:rPr>
          <w:rFonts w:asciiTheme="minorHAnsi" w:hAnsiTheme="minorHAnsi" w:cstheme="minorHAnsi"/>
        </w:rPr>
        <w:t xml:space="preserve">t oddělen od zobrazovací jednotky (řešení </w:t>
      </w:r>
      <w:proofErr w:type="spellStart"/>
      <w:r w:rsidR="00C52837">
        <w:rPr>
          <w:rFonts w:asciiTheme="minorHAnsi" w:hAnsiTheme="minorHAnsi" w:cstheme="minorHAnsi"/>
        </w:rPr>
        <w:t>All</w:t>
      </w:r>
      <w:proofErr w:type="spellEnd"/>
      <w:r w:rsidR="00C52837">
        <w:rPr>
          <w:rFonts w:asciiTheme="minorHAnsi" w:hAnsiTheme="minorHAnsi" w:cstheme="minorHAnsi"/>
        </w:rPr>
        <w:t>-In-</w:t>
      </w:r>
      <w:proofErr w:type="spellStart"/>
      <w:r w:rsidR="00C52837">
        <w:rPr>
          <w:rFonts w:asciiTheme="minorHAnsi" w:hAnsiTheme="minorHAnsi" w:cstheme="minorHAnsi"/>
        </w:rPr>
        <w:t>one</w:t>
      </w:r>
      <w:proofErr w:type="spellEnd"/>
      <w:r>
        <w:rPr>
          <w:rFonts w:asciiTheme="minorHAnsi" w:hAnsiTheme="minorHAnsi" w:cstheme="minorHAnsi"/>
        </w:rPr>
        <w:t xml:space="preserve"> nejsou přípustná</w:t>
      </w:r>
      <w:r w:rsidR="00C5283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7848BCD0" w14:textId="27552ED3" w:rsidR="005279C5" w:rsidRDefault="005279C5" w:rsidP="00937CA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Řídicí po</w:t>
      </w:r>
      <w:r w:rsidR="001F77F7">
        <w:rPr>
          <w:rFonts w:asciiTheme="minorHAnsi" w:hAnsiTheme="minorHAnsi" w:cstheme="minorHAnsi"/>
        </w:rPr>
        <w:t>čítač musí bý</w:t>
      </w:r>
      <w:r>
        <w:rPr>
          <w:rFonts w:asciiTheme="minorHAnsi" w:hAnsiTheme="minorHAnsi" w:cstheme="minorHAnsi"/>
        </w:rPr>
        <w:t xml:space="preserve">t osazen procesorem s minimálně 4 jádry a procesorem Pentium i7, </w:t>
      </w:r>
      <w:r w:rsidR="00900EC6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ideálně </w:t>
      </w:r>
      <w:r w:rsidR="00A51A7E">
        <w:rPr>
          <w:rFonts w:asciiTheme="minorHAnsi" w:hAnsiTheme="minorHAnsi" w:cstheme="minorHAnsi"/>
        </w:rPr>
        <w:t>šesté</w:t>
      </w:r>
      <w:r>
        <w:rPr>
          <w:rFonts w:asciiTheme="minorHAnsi" w:hAnsiTheme="minorHAnsi" w:cstheme="minorHAnsi"/>
        </w:rPr>
        <w:t xml:space="preserve"> generace</w:t>
      </w:r>
      <w:r w:rsidR="00900EC6">
        <w:rPr>
          <w:rFonts w:asciiTheme="minorHAnsi" w:hAnsiTheme="minorHAnsi" w:cstheme="minorHAnsi"/>
        </w:rPr>
        <w:t>).</w:t>
      </w:r>
    </w:p>
    <w:p w14:paraId="7FFBF544" w14:textId="4F560C36" w:rsidR="005279C5" w:rsidRDefault="005279C5" w:rsidP="00937CA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Řídicí počítač musí umožno</w:t>
      </w:r>
      <w:r w:rsidR="00A51A7E">
        <w:rPr>
          <w:rFonts w:asciiTheme="minorHAnsi" w:hAnsiTheme="minorHAnsi" w:cstheme="minorHAnsi"/>
        </w:rPr>
        <w:t>vat rozšíření pomocí minimálně 1</w:t>
      </w:r>
      <w:r>
        <w:rPr>
          <w:rFonts w:asciiTheme="minorHAnsi" w:hAnsiTheme="minorHAnsi" w:cstheme="minorHAnsi"/>
        </w:rPr>
        <w:t xml:space="preserve"> PCI Express slotů.</w:t>
      </w:r>
    </w:p>
    <w:p w14:paraId="3773307A" w14:textId="789DDC51" w:rsidR="005279C5" w:rsidRDefault="005279C5" w:rsidP="00937CA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Řídicí počítač musí být vybaven</w:t>
      </w:r>
      <w:r w:rsidR="00CA75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SS</w:t>
      </w:r>
      <w:r w:rsidR="00CA7530">
        <w:rPr>
          <w:rFonts w:asciiTheme="minorHAnsi" w:hAnsiTheme="minorHAnsi" w:cstheme="minorHAnsi"/>
        </w:rPr>
        <w:t>D diskem o kapacitě minimálně 1T</w:t>
      </w:r>
      <w:r>
        <w:rPr>
          <w:rFonts w:asciiTheme="minorHAnsi" w:hAnsiTheme="minorHAnsi" w:cstheme="minorHAnsi"/>
        </w:rPr>
        <w:t>B</w:t>
      </w:r>
    </w:p>
    <w:p w14:paraId="203C48AC" w14:textId="77777777" w:rsidR="00F34CCF" w:rsidRDefault="00F34CCF" w:rsidP="0043339A">
      <w:pPr>
        <w:pStyle w:val="Odstavecseseznamem"/>
        <w:rPr>
          <w:rFonts w:asciiTheme="minorHAnsi" w:hAnsiTheme="minorHAnsi" w:cstheme="minorHAnsi"/>
        </w:rPr>
      </w:pPr>
    </w:p>
    <w:p w14:paraId="3EA283FE" w14:textId="77777777" w:rsidR="0043339A" w:rsidRDefault="0043339A" w:rsidP="0043339A">
      <w:pPr>
        <w:pStyle w:val="Odstavecseseznamem"/>
        <w:rPr>
          <w:rFonts w:asciiTheme="minorHAnsi" w:hAnsiTheme="minorHAnsi" w:cstheme="minorHAnsi"/>
        </w:rPr>
      </w:pPr>
    </w:p>
    <w:p w14:paraId="0BF5958D" w14:textId="77777777" w:rsidR="003A4F00" w:rsidRDefault="003A4F00" w:rsidP="0043339A">
      <w:pPr>
        <w:pStyle w:val="Odstavecseseznamem"/>
        <w:rPr>
          <w:rFonts w:asciiTheme="minorHAnsi" w:hAnsiTheme="minorHAnsi" w:cstheme="minorHAnsi"/>
        </w:rPr>
      </w:pPr>
    </w:p>
    <w:p w14:paraId="67770355" w14:textId="77777777" w:rsidR="003A4F00" w:rsidRDefault="003A4F00" w:rsidP="0043339A">
      <w:pPr>
        <w:pStyle w:val="Odstavecseseznamem"/>
        <w:rPr>
          <w:rFonts w:asciiTheme="minorHAnsi" w:hAnsiTheme="minorHAnsi" w:cstheme="minorHAnsi"/>
        </w:rPr>
      </w:pPr>
    </w:p>
    <w:p w14:paraId="5BC7CE29" w14:textId="77777777" w:rsidR="003A4F00" w:rsidRDefault="003A4F00" w:rsidP="0043339A">
      <w:pPr>
        <w:pStyle w:val="Odstavecseseznamem"/>
        <w:rPr>
          <w:rFonts w:asciiTheme="minorHAnsi" w:hAnsiTheme="minorHAnsi" w:cstheme="minorHAnsi"/>
        </w:rPr>
      </w:pPr>
    </w:p>
    <w:p w14:paraId="1B3CE585" w14:textId="77777777" w:rsidR="003A4F00" w:rsidRDefault="003A4F00" w:rsidP="0043339A">
      <w:pPr>
        <w:pStyle w:val="Odstavecseseznamem"/>
        <w:rPr>
          <w:rFonts w:asciiTheme="minorHAnsi" w:hAnsiTheme="minorHAnsi" w:cstheme="minorHAnsi"/>
        </w:rPr>
      </w:pPr>
    </w:p>
    <w:p w14:paraId="2347FA12" w14:textId="77777777" w:rsidR="00D56EF2" w:rsidRPr="00C029FA" w:rsidRDefault="00D56EF2" w:rsidP="005A44F1">
      <w:pPr>
        <w:rPr>
          <w:rFonts w:asciiTheme="minorHAnsi" w:hAnsiTheme="minorHAnsi" w:cstheme="minorHAnsi"/>
        </w:rPr>
      </w:pPr>
    </w:p>
    <w:p w14:paraId="1B5149ED" w14:textId="49B5433A" w:rsidR="00B91613" w:rsidRDefault="00EE0E70" w:rsidP="00C029FA">
      <w:pPr>
        <w:pStyle w:val="Nadpis2"/>
        <w:rPr>
          <w:rFonts w:asciiTheme="minorHAnsi" w:hAnsiTheme="minorHAnsi" w:cstheme="minorHAnsi"/>
          <w:color w:val="000000" w:themeColor="text1"/>
        </w:rPr>
      </w:pPr>
      <w:r w:rsidRPr="00C029FA">
        <w:rPr>
          <w:rFonts w:asciiTheme="minorHAnsi" w:hAnsiTheme="minorHAnsi" w:cstheme="minorHAnsi"/>
          <w:b/>
          <w:color w:val="000000" w:themeColor="text1"/>
          <w:sz w:val="28"/>
        </w:rPr>
        <w:lastRenderedPageBreak/>
        <w:t>Parametry technologie</w:t>
      </w:r>
      <w:r w:rsidR="00C029FA" w:rsidRPr="00C029FA">
        <w:rPr>
          <w:rFonts w:asciiTheme="minorHAnsi" w:hAnsiTheme="minorHAnsi" w:cstheme="minorHAnsi"/>
          <w:color w:val="000000" w:themeColor="text1"/>
          <w:sz w:val="28"/>
        </w:rPr>
        <w:t xml:space="preserve"> </w:t>
      </w:r>
      <w:r w:rsidR="00C029FA">
        <w:rPr>
          <w:rFonts w:asciiTheme="minorHAnsi" w:hAnsiTheme="minorHAnsi" w:cstheme="minorHAnsi"/>
          <w:color w:val="000000" w:themeColor="text1"/>
        </w:rPr>
        <w:t>(nutné pro možnost uzavření smlouvy a nutné pro převzetí dodávky)</w:t>
      </w:r>
      <w:r w:rsidRPr="00C029FA">
        <w:rPr>
          <w:rFonts w:asciiTheme="minorHAnsi" w:hAnsiTheme="minorHAnsi" w:cstheme="minorHAnsi"/>
          <w:color w:val="000000" w:themeColor="text1"/>
        </w:rPr>
        <w:t>:</w:t>
      </w:r>
    </w:p>
    <w:p w14:paraId="1A88C4E0" w14:textId="77777777" w:rsidR="003A4F00" w:rsidRPr="003A4F00" w:rsidRDefault="003A4F00" w:rsidP="003A4F00"/>
    <w:p w14:paraId="7DC3D009" w14:textId="77777777" w:rsidR="00510768" w:rsidRDefault="00510768" w:rsidP="00510768"/>
    <w:tbl>
      <w:tblPr>
        <w:tblW w:w="94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60"/>
        <w:gridCol w:w="6000"/>
        <w:gridCol w:w="1780"/>
      </w:tblGrid>
      <w:tr w:rsidR="003A4F00" w14:paraId="54CA7ECD" w14:textId="77777777" w:rsidTr="003A4F00">
        <w:trPr>
          <w:trHeight w:val="6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7CA9A" w14:textId="77777777" w:rsidR="003A4F00" w:rsidRPr="003A4F00" w:rsidRDefault="003A4F0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44897" w14:textId="77777777" w:rsidR="003A4F00" w:rsidRPr="003A4F00" w:rsidRDefault="003A4F0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1B01C" w14:textId="77777777" w:rsidR="003A4F00" w:rsidRPr="003A4F00" w:rsidRDefault="003A4F0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Technické a funkční vlastnosti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DE156" w14:textId="77777777" w:rsidR="003A4F00" w:rsidRPr="003A4F00" w:rsidRDefault="003A4F0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</w:tr>
      <w:tr w:rsidR="003A4F00" w14:paraId="2EE6DD8E" w14:textId="77777777" w:rsidTr="003A4F00">
        <w:trPr>
          <w:trHeight w:val="8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6126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EEF77A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Systém obecně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C2CA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Komunikační sběrnice </w:t>
            </w:r>
            <w:proofErr w:type="spellStart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6D17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ANO</w:t>
            </w:r>
          </w:p>
        </w:tc>
      </w:tr>
      <w:tr w:rsidR="003A4F00" w14:paraId="7AAC33D5" w14:textId="77777777" w:rsidTr="003A4F00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E4E06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43A49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Řidicí</w:t>
            </w:r>
            <w:proofErr w:type="spellEnd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PC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D0E6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Průmyslové PC: min. 4 CPU, Pentium i7 šesté/sedmé generace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BAE2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ANO</w:t>
            </w:r>
          </w:p>
        </w:tc>
      </w:tr>
      <w:tr w:rsidR="003A4F00" w14:paraId="7D6C9BEB" w14:textId="77777777" w:rsidTr="003A4F0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7A60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5C826D" w14:textId="77777777" w:rsidR="003A4F00" w:rsidRPr="003A4F00" w:rsidRDefault="003A4F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695D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min. 1 rozšiřující port PCI/</w:t>
            </w:r>
            <w:proofErr w:type="spellStart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DF7D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ANO</w:t>
            </w:r>
          </w:p>
        </w:tc>
      </w:tr>
      <w:tr w:rsidR="003A4F00" w14:paraId="5518C69D" w14:textId="77777777" w:rsidTr="003A4F0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67A96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B99BD7" w14:textId="77777777" w:rsidR="003A4F00" w:rsidRPr="003A4F00" w:rsidRDefault="003A4F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6EA8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SSD Disk s kapacitou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DFE12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min 1TB</w:t>
            </w:r>
          </w:p>
        </w:tc>
      </w:tr>
      <w:tr w:rsidR="003A4F00" w14:paraId="180CEC7F" w14:textId="77777777" w:rsidTr="003A4F0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5937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D36733" w14:textId="77777777" w:rsidR="003A4F00" w:rsidRPr="003A4F00" w:rsidRDefault="003A4F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EFA9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Operační paměť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01F6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min. 16GB</w:t>
            </w:r>
          </w:p>
        </w:tc>
      </w:tr>
      <w:tr w:rsidR="003A4F00" w14:paraId="099E11A9" w14:textId="77777777" w:rsidTr="003A4F0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98B78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C85170" w14:textId="77777777" w:rsidR="003A4F00" w:rsidRPr="003A4F00" w:rsidRDefault="003A4F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FD2B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Bezdrátová myš a klávesnice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3F66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ANO</w:t>
            </w:r>
          </w:p>
        </w:tc>
      </w:tr>
      <w:tr w:rsidR="003A4F00" w14:paraId="5E589E51" w14:textId="77777777" w:rsidTr="003A4F0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3F90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4B2F83" w14:textId="77777777" w:rsidR="003A4F00" w:rsidRPr="003A4F00" w:rsidRDefault="003A4F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70E9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UPS zdroj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5696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ANO</w:t>
            </w:r>
          </w:p>
        </w:tc>
      </w:tr>
      <w:tr w:rsidR="003A4F00" w14:paraId="0B81AABB" w14:textId="77777777" w:rsidTr="003A4F0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E83DD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D5611F" w14:textId="77777777" w:rsidR="003A4F00" w:rsidRPr="003A4F00" w:rsidRDefault="003A4F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9FB5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Monitor min. 19" </w:t>
            </w:r>
            <w:proofErr w:type="spellStart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multi-touch</w:t>
            </w:r>
            <w:proofErr w:type="spellEnd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, HD rozlišení k umístění na stůl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9421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ANO</w:t>
            </w:r>
          </w:p>
        </w:tc>
      </w:tr>
      <w:tr w:rsidR="003A4F00" w14:paraId="476D9FAF" w14:textId="77777777" w:rsidTr="003A4F0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7B43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A87D14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2388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Systém je možné programovat v PLC normě IEC 61131-3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0C3F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ANO</w:t>
            </w:r>
          </w:p>
        </w:tc>
      </w:tr>
      <w:tr w:rsidR="003A4F00" w14:paraId="7B2F55FE" w14:textId="77777777" w:rsidTr="003A4F00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CB66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EEE530" w14:textId="77777777" w:rsidR="003A4F00" w:rsidRPr="003A4F00" w:rsidRDefault="003A4F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5A2C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Možnost interpolovaného pohybu min. 18 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2DDD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ANO</w:t>
            </w:r>
          </w:p>
        </w:tc>
      </w:tr>
      <w:tr w:rsidR="003A4F00" w14:paraId="50C0DCC0" w14:textId="77777777" w:rsidTr="003A4F00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E1E4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A0C1F8" w14:textId="77777777" w:rsidR="003A4F00" w:rsidRPr="003A4F00" w:rsidRDefault="003A4F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0E46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Podpora  aktivního</w:t>
            </w:r>
            <w:proofErr w:type="gramEnd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využití platformy </w:t>
            </w:r>
            <w:proofErr w:type="spellStart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Matlab</w:t>
            </w:r>
            <w:proofErr w:type="spellEnd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Simulink</w:t>
            </w:r>
            <w:proofErr w:type="spellEnd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682B4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ANO</w:t>
            </w:r>
          </w:p>
        </w:tc>
      </w:tr>
      <w:tr w:rsidR="003A4F00" w14:paraId="64737028" w14:textId="77777777" w:rsidTr="003A4F0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95C8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3BDFF1" w14:textId="77777777" w:rsidR="003A4F00" w:rsidRPr="003A4F00" w:rsidRDefault="003A4F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291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Uživatelský operační systém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8920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Windows 10 Pro</w:t>
            </w:r>
          </w:p>
        </w:tc>
      </w:tr>
      <w:tr w:rsidR="003A4F00" w14:paraId="30A2C610" w14:textId="77777777" w:rsidTr="003A4F0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9F13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BD6EFF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Servoměniče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1756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Komunikace přes sběrnici </w:t>
            </w:r>
            <w:proofErr w:type="spellStart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EtherCat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0AE5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ANO</w:t>
            </w:r>
          </w:p>
        </w:tc>
      </w:tr>
      <w:tr w:rsidR="003A4F00" w14:paraId="08EF571E" w14:textId="77777777" w:rsidTr="003A4F0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299A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9F853" w14:textId="77777777" w:rsidR="003A4F00" w:rsidRPr="003A4F00" w:rsidRDefault="003A4F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59E7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2 osy -proudové zatížení v režimu S1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DACE9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min. 18A</w:t>
            </w:r>
          </w:p>
        </w:tc>
      </w:tr>
      <w:tr w:rsidR="003A4F00" w14:paraId="0F20A58D" w14:textId="77777777" w:rsidTr="003A4F0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BFA9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EA537" w14:textId="77777777" w:rsidR="003A4F00" w:rsidRPr="003A4F00" w:rsidRDefault="003A4F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FB42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4 osy -proudové zatížení v režimu S1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E95E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min. 12A</w:t>
            </w:r>
          </w:p>
        </w:tc>
      </w:tr>
      <w:tr w:rsidR="003A4F00" w14:paraId="29BA4555" w14:textId="77777777" w:rsidTr="003A4F0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C300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4BA5C" w14:textId="77777777" w:rsidR="003A4F00" w:rsidRPr="003A4F00" w:rsidRDefault="003A4F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0981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6os -proudové zatížení v režimu S1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688A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min. 6A</w:t>
            </w:r>
          </w:p>
        </w:tc>
      </w:tr>
      <w:tr w:rsidR="003A4F00" w14:paraId="3D17D4D0" w14:textId="77777777" w:rsidTr="003A4F0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A77E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06FE8" w14:textId="77777777" w:rsidR="003A4F00" w:rsidRPr="003A4F00" w:rsidRDefault="003A4F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D6AB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6os -proudové zatížení v režimu S1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55196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min. 3A</w:t>
            </w:r>
          </w:p>
        </w:tc>
      </w:tr>
      <w:tr w:rsidR="003A4F00" w14:paraId="62F6505E" w14:textId="77777777" w:rsidTr="003A4F0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C09ED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5A52F" w14:textId="77777777" w:rsidR="003A4F00" w:rsidRPr="003A4F00" w:rsidRDefault="003A4F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DEFB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Všechny osy podporují odměřování </w:t>
            </w:r>
            <w:proofErr w:type="spellStart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Endat</w:t>
            </w:r>
            <w:proofErr w:type="spellEnd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1409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ANO</w:t>
            </w:r>
          </w:p>
        </w:tc>
      </w:tr>
      <w:tr w:rsidR="003A4F00" w14:paraId="5583AB4C" w14:textId="77777777" w:rsidTr="003A4F0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621B5" w14:textId="23938055" w:rsidR="003A4F00" w:rsidRPr="003A4F00" w:rsidRDefault="00543BE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7E463" w14:textId="77777777" w:rsidR="003A4F00" w:rsidRPr="003A4F00" w:rsidRDefault="003A4F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7652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Osy  jsou</w:t>
            </w:r>
            <w:proofErr w:type="gramEnd"/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dodané se všemi potřebnými konektory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DEC9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ANO</w:t>
            </w:r>
          </w:p>
        </w:tc>
      </w:tr>
      <w:tr w:rsidR="003A4F00" w14:paraId="78BCB8E2" w14:textId="77777777" w:rsidTr="003A4F0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F5A20" w14:textId="596A84CC" w:rsidR="003A4F00" w:rsidRPr="003A4F00" w:rsidRDefault="00543BE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15D74" w14:textId="77777777" w:rsidR="003A4F00" w:rsidRPr="003A4F00" w:rsidRDefault="003A4F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378F" w14:textId="42F9EC8E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Osy podporují bezpečnostní režim</w:t>
            </w: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SS1, STO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2BB6" w14:textId="77777777" w:rsidR="003A4F00" w:rsidRPr="003A4F00" w:rsidRDefault="003A4F0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4F00">
              <w:rPr>
                <w:rFonts w:asciiTheme="minorHAnsi" w:hAnsiTheme="minorHAnsi"/>
                <w:color w:val="000000"/>
                <w:sz w:val="20"/>
                <w:szCs w:val="20"/>
              </w:rPr>
              <w:t>ANO</w:t>
            </w:r>
          </w:p>
        </w:tc>
      </w:tr>
    </w:tbl>
    <w:p w14:paraId="5C10F336" w14:textId="77777777" w:rsidR="00510768" w:rsidRPr="00BA672E" w:rsidRDefault="00510768" w:rsidP="00510768"/>
    <w:p w14:paraId="114F47E5" w14:textId="77777777" w:rsidR="00510768" w:rsidRDefault="00510768" w:rsidP="00510768">
      <w:pPr>
        <w:rPr>
          <w:rFonts w:asciiTheme="minorHAnsi" w:hAnsiTheme="minorHAnsi" w:cstheme="minorHAnsi"/>
        </w:rPr>
      </w:pPr>
    </w:p>
    <w:p w14:paraId="08F4CAFF" w14:textId="77777777" w:rsidR="003A4F00" w:rsidRDefault="003A4F00" w:rsidP="00510768">
      <w:pPr>
        <w:rPr>
          <w:rFonts w:asciiTheme="minorHAnsi" w:hAnsiTheme="minorHAnsi" w:cstheme="minorHAnsi"/>
        </w:rPr>
      </w:pPr>
    </w:p>
    <w:p w14:paraId="321C5016" w14:textId="77777777" w:rsidR="003A4F00" w:rsidRDefault="003A4F00" w:rsidP="00510768">
      <w:pPr>
        <w:rPr>
          <w:rFonts w:asciiTheme="minorHAnsi" w:hAnsiTheme="minorHAnsi" w:cstheme="minorHAnsi"/>
        </w:rPr>
      </w:pPr>
    </w:p>
    <w:p w14:paraId="03391F5B" w14:textId="77777777" w:rsidR="003A4F00" w:rsidRDefault="003A4F00" w:rsidP="00510768">
      <w:pPr>
        <w:rPr>
          <w:rFonts w:asciiTheme="minorHAnsi" w:hAnsiTheme="minorHAnsi" w:cstheme="minorHAnsi"/>
        </w:rPr>
      </w:pPr>
    </w:p>
    <w:p w14:paraId="4174A4D9" w14:textId="77777777" w:rsidR="003A4F00" w:rsidRDefault="003A4F00" w:rsidP="00510768">
      <w:pPr>
        <w:rPr>
          <w:rFonts w:asciiTheme="minorHAnsi" w:hAnsiTheme="minorHAnsi" w:cstheme="minorHAnsi"/>
        </w:rPr>
      </w:pPr>
    </w:p>
    <w:p w14:paraId="32E4FAEB" w14:textId="77777777" w:rsidR="003A4F00" w:rsidRDefault="003A4F00" w:rsidP="00510768">
      <w:pPr>
        <w:rPr>
          <w:rFonts w:asciiTheme="minorHAnsi" w:hAnsiTheme="minorHAnsi" w:cstheme="minorHAnsi"/>
        </w:rPr>
      </w:pPr>
    </w:p>
    <w:p w14:paraId="157ACAF0" w14:textId="77777777" w:rsidR="003A4F00" w:rsidRDefault="003A4F00" w:rsidP="00510768">
      <w:pPr>
        <w:rPr>
          <w:rFonts w:asciiTheme="minorHAnsi" w:hAnsiTheme="minorHAnsi" w:cstheme="minorHAnsi"/>
        </w:rPr>
      </w:pPr>
    </w:p>
    <w:p w14:paraId="22C80A31" w14:textId="77777777" w:rsidR="003A4F00" w:rsidRDefault="003A4F00" w:rsidP="00510768">
      <w:pPr>
        <w:rPr>
          <w:rFonts w:asciiTheme="minorHAnsi" w:hAnsiTheme="minorHAnsi" w:cstheme="minorHAnsi"/>
        </w:rPr>
      </w:pPr>
    </w:p>
    <w:p w14:paraId="0A3DE501" w14:textId="77777777" w:rsidR="003A4F00" w:rsidRPr="00946D84" w:rsidRDefault="003A4F00" w:rsidP="00510768">
      <w:pPr>
        <w:rPr>
          <w:rFonts w:asciiTheme="minorHAnsi" w:hAnsiTheme="minorHAnsi" w:cstheme="minorHAnsi"/>
        </w:rPr>
      </w:pPr>
    </w:p>
    <w:tbl>
      <w:tblPr>
        <w:tblW w:w="991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839"/>
        <w:gridCol w:w="2479"/>
        <w:gridCol w:w="2479"/>
      </w:tblGrid>
      <w:tr w:rsidR="00510768" w:rsidRPr="00946D84" w14:paraId="67F8FC0C" w14:textId="77777777" w:rsidTr="00A32C7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985D789" w14:textId="77777777" w:rsidR="00510768" w:rsidRPr="00946D84" w:rsidRDefault="00510768" w:rsidP="00A32C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D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Další požadavky na dodávku, instalaci, servis a další.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EAA7738" w14:textId="77777777" w:rsidR="00510768" w:rsidRPr="00946D84" w:rsidRDefault="00510768" w:rsidP="00A32C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CAC47A8" w14:textId="77777777" w:rsidR="00510768" w:rsidRPr="00946D84" w:rsidRDefault="00510768" w:rsidP="00A32C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845C73B" w14:textId="77777777" w:rsidR="00510768" w:rsidRPr="00946D84" w:rsidRDefault="00510768" w:rsidP="00A32C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0768" w:rsidRPr="00946D84" w14:paraId="5C822117" w14:textId="77777777" w:rsidTr="00A32C7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3B7D" w14:textId="77777777" w:rsidR="00510768" w:rsidRPr="00946D84" w:rsidRDefault="00510768" w:rsidP="00A32C7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46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Záruční doba (v měsících)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102A" w14:textId="77777777" w:rsidR="00510768" w:rsidRPr="00946D84" w:rsidRDefault="00510768" w:rsidP="00A32C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minimálně 12 měsíců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E85D" w14:textId="77777777" w:rsidR="00510768" w:rsidRPr="00946D84" w:rsidRDefault="00510768" w:rsidP="00A32C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E7BD" w14:textId="77777777" w:rsidR="00510768" w:rsidRPr="00946D84" w:rsidRDefault="00510768" w:rsidP="00A32C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Podmínka</w:t>
            </w:r>
          </w:p>
        </w:tc>
      </w:tr>
      <w:tr w:rsidR="00510768" w:rsidRPr="00946D84" w14:paraId="372F2A88" w14:textId="77777777" w:rsidTr="00A32C7E">
        <w:trPr>
          <w:trHeight w:val="7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4A9F" w14:textId="77777777" w:rsidR="00510768" w:rsidRPr="00946D84" w:rsidRDefault="00510768" w:rsidP="00A32C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Transport na místo instalace (adresa - ulice Jugoslávských partyzánů, Praha 6, Budova CIIRC, 1PP, laboratoř S101)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7261" w14:textId="77777777" w:rsidR="00510768" w:rsidRPr="00946D84" w:rsidRDefault="00510768" w:rsidP="00A32C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Ano, bude zajištěn transport.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CB0E" w14:textId="77777777" w:rsidR="00510768" w:rsidRPr="00946D84" w:rsidRDefault="00510768" w:rsidP="00A32C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AD6D" w14:textId="77777777" w:rsidR="00510768" w:rsidRPr="00946D84" w:rsidRDefault="00510768" w:rsidP="00A32C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Podmínka</w:t>
            </w:r>
          </w:p>
        </w:tc>
      </w:tr>
      <w:tr w:rsidR="00510768" w:rsidRPr="00946D84" w14:paraId="653B9DDC" w14:textId="77777777" w:rsidTr="00A32C7E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67AB" w14:textId="77777777" w:rsidR="00510768" w:rsidRPr="00946D84" w:rsidRDefault="00510768" w:rsidP="00A32C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Doba záruční opravy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D0CE" w14:textId="77777777" w:rsidR="00510768" w:rsidRPr="00946D84" w:rsidRDefault="00510768" w:rsidP="00A32C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maximálně do 14 dnů od nahlášení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45D5" w14:textId="77777777" w:rsidR="00510768" w:rsidRPr="00946D84" w:rsidRDefault="00510768" w:rsidP="00A32C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AB6F" w14:textId="77777777" w:rsidR="00510768" w:rsidRPr="00946D84" w:rsidRDefault="00510768" w:rsidP="00A32C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6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Podmínka</w:t>
            </w:r>
          </w:p>
        </w:tc>
      </w:tr>
    </w:tbl>
    <w:p w14:paraId="3B23E746" w14:textId="77777777" w:rsidR="00510768" w:rsidRDefault="00510768" w:rsidP="00510768">
      <w:pPr>
        <w:rPr>
          <w:rFonts w:asciiTheme="minorHAnsi" w:hAnsiTheme="minorHAnsi" w:cstheme="minorHAnsi"/>
        </w:rPr>
      </w:pPr>
    </w:p>
    <w:p w14:paraId="6B6C46E9" w14:textId="77777777" w:rsidR="00510768" w:rsidRPr="00946D84" w:rsidRDefault="00510768" w:rsidP="00510768">
      <w:pPr>
        <w:rPr>
          <w:rFonts w:asciiTheme="minorHAnsi" w:hAnsiTheme="minorHAnsi" w:cstheme="minorHAnsi"/>
        </w:rPr>
      </w:pPr>
    </w:p>
    <w:p w14:paraId="437B7D82" w14:textId="5B7776EB" w:rsidR="00C029FA" w:rsidRDefault="00C029FA" w:rsidP="00522199">
      <w:pPr>
        <w:rPr>
          <w:rFonts w:asciiTheme="minorHAnsi" w:hAnsiTheme="minorHAnsi" w:cstheme="minorHAnsi"/>
        </w:rPr>
      </w:pPr>
    </w:p>
    <w:p w14:paraId="1119F37C" w14:textId="77777777" w:rsidR="00510768" w:rsidRPr="00C029FA" w:rsidRDefault="00510768" w:rsidP="00522199">
      <w:pPr>
        <w:rPr>
          <w:rFonts w:asciiTheme="minorHAnsi" w:hAnsiTheme="minorHAnsi" w:cstheme="minorHAnsi"/>
        </w:rPr>
      </w:pPr>
    </w:p>
    <w:p w14:paraId="3E5B94B4" w14:textId="5F573D58" w:rsidR="001B50C6" w:rsidRPr="00C029FA" w:rsidRDefault="001B50C6" w:rsidP="001B50C6">
      <w:pPr>
        <w:pStyle w:val="Nadpis2"/>
        <w:rPr>
          <w:rFonts w:asciiTheme="minorHAnsi" w:hAnsiTheme="minorHAnsi" w:cstheme="minorHAnsi"/>
          <w:b/>
          <w:color w:val="000000" w:themeColor="text1"/>
        </w:rPr>
      </w:pPr>
      <w:r w:rsidRPr="00C029FA">
        <w:rPr>
          <w:rFonts w:asciiTheme="minorHAnsi" w:hAnsiTheme="minorHAnsi" w:cstheme="minorHAnsi"/>
          <w:b/>
          <w:color w:val="000000" w:themeColor="text1"/>
        </w:rPr>
        <w:t xml:space="preserve">Dodání </w:t>
      </w:r>
      <w:r w:rsidR="00C029FA" w:rsidRPr="00C029FA">
        <w:rPr>
          <w:rFonts w:asciiTheme="minorHAnsi" w:hAnsiTheme="minorHAnsi" w:cstheme="minorHAnsi"/>
          <w:b/>
          <w:color w:val="000000" w:themeColor="text1"/>
        </w:rPr>
        <w:t>a převzetí technologie</w:t>
      </w:r>
    </w:p>
    <w:p w14:paraId="047BF7C1" w14:textId="77777777" w:rsidR="00C029FA" w:rsidRPr="00C029FA" w:rsidRDefault="00C029FA" w:rsidP="00C029FA">
      <w:pPr>
        <w:rPr>
          <w:rFonts w:asciiTheme="minorHAnsi" w:hAnsiTheme="minorHAnsi" w:cstheme="minorHAnsi"/>
        </w:rPr>
      </w:pPr>
    </w:p>
    <w:p w14:paraId="486C09B4" w14:textId="64280A06" w:rsidR="005B5C5E" w:rsidRPr="00A233D9" w:rsidRDefault="001B50C6" w:rsidP="00900EC6">
      <w:pPr>
        <w:rPr>
          <w:rFonts w:asciiTheme="minorHAnsi" w:hAnsiTheme="minorHAnsi" w:cstheme="minorHAnsi"/>
        </w:rPr>
      </w:pPr>
      <w:r w:rsidRPr="00A233D9">
        <w:rPr>
          <w:rFonts w:asciiTheme="minorHAnsi" w:hAnsiTheme="minorHAnsi" w:cstheme="minorHAnsi"/>
        </w:rPr>
        <w:t xml:space="preserve">Zadavatel požaduje </w:t>
      </w:r>
      <w:r w:rsidR="00900EC6">
        <w:rPr>
          <w:rFonts w:asciiTheme="minorHAnsi" w:hAnsiTheme="minorHAnsi" w:cstheme="minorHAnsi"/>
        </w:rPr>
        <w:t xml:space="preserve">dodání na adresu zadavatele výběrového řízení. Osoba pověřená ke kontrole a převzetí technologie Ing. Martin Nečas </w:t>
      </w:r>
      <w:proofErr w:type="spellStart"/>
      <w:r w:rsidR="00900EC6">
        <w:rPr>
          <w:rFonts w:asciiTheme="minorHAnsi" w:hAnsiTheme="minorHAnsi" w:cstheme="minorHAnsi"/>
        </w:rPr>
        <w:t>MSc</w:t>
      </w:r>
      <w:proofErr w:type="spellEnd"/>
      <w:r w:rsidR="00900EC6">
        <w:rPr>
          <w:rFonts w:asciiTheme="minorHAnsi" w:hAnsiTheme="minorHAnsi" w:cstheme="minorHAnsi"/>
        </w:rPr>
        <w:t>., PhD.</w:t>
      </w:r>
    </w:p>
    <w:sectPr w:rsidR="005B5C5E" w:rsidRPr="00A233D9" w:rsidSect="008638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567" w:bottom="2268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CD401" w14:textId="77777777" w:rsidR="00872487" w:rsidRDefault="00872487">
      <w:r>
        <w:separator/>
      </w:r>
    </w:p>
  </w:endnote>
  <w:endnote w:type="continuationSeparator" w:id="0">
    <w:p w14:paraId="69497508" w14:textId="77777777" w:rsidR="00872487" w:rsidRDefault="0087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echnika">
    <w:altName w:val="Courier New"/>
    <w:charset w:val="EE"/>
    <w:family w:val="auto"/>
    <w:pitch w:val="variable"/>
    <w:sig w:usb0="00000001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765743"/>
      <w:docPartObj>
        <w:docPartGallery w:val="Page Numbers (Bottom of Page)"/>
        <w:docPartUnique/>
      </w:docPartObj>
    </w:sdtPr>
    <w:sdtEndPr/>
    <w:sdtContent>
      <w:p w14:paraId="12C29651" w14:textId="0D4CDD1A" w:rsidR="00BC41D3" w:rsidRDefault="00BC41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5F5">
          <w:rPr>
            <w:noProof/>
          </w:rPr>
          <w:t>3</w:t>
        </w:r>
        <w:r>
          <w:fldChar w:fldCharType="end"/>
        </w:r>
      </w:p>
    </w:sdtContent>
  </w:sdt>
  <w:p w14:paraId="4E0D6250" w14:textId="77777777" w:rsidR="00BC41D3" w:rsidRDefault="00BC41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6276A" w14:textId="77777777" w:rsidR="00BC41D3" w:rsidRDefault="00BC41D3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IČ: 68407700</w:t>
    </w:r>
  </w:p>
  <w:p w14:paraId="6592DAFB" w14:textId="77777777" w:rsidR="00BC41D3" w:rsidRDefault="00BC41D3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DIČ: CZ68407700</w:t>
    </w:r>
  </w:p>
  <w:p w14:paraId="4DE7C858" w14:textId="77777777" w:rsidR="00BC41D3" w:rsidRDefault="00BC41D3" w:rsidP="00C56EDD">
    <w:pPr>
      <w:framePr w:w="1985" w:h="907" w:hRule="exact" w:hSpace="142" w:wrap="around" w:vAnchor="page" w:hAnchor="page" w:x="14409" w:y="10636"/>
      <w:rPr>
        <w:noProof/>
        <w:sz w:val="16"/>
      </w:rPr>
    </w:pPr>
  </w:p>
  <w:p w14:paraId="4FFDA6CB" w14:textId="77777777" w:rsidR="00BC41D3" w:rsidRDefault="00BC41D3" w:rsidP="001352C3">
    <w:pPr>
      <w:framePr w:w="1985" w:h="907" w:hRule="exact" w:hSpace="142" w:wrap="around" w:vAnchor="page" w:hAnchor="page" w:x="9099" w:y="15331"/>
      <w:rPr>
        <w:noProof/>
        <w:sz w:val="16"/>
      </w:rPr>
    </w:pPr>
  </w:p>
  <w:p w14:paraId="50F496E2" w14:textId="77777777" w:rsidR="00BC41D3" w:rsidRDefault="00BC41D3">
    <w:pPr>
      <w:pStyle w:val="Zpa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2F3D4B54" wp14:editId="5D7FA4DD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6985" t="13970" r="10795" b="1460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2F1AD86" id="Line 4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56C43" w14:textId="77777777" w:rsidR="00872487" w:rsidRDefault="00872487">
      <w:r>
        <w:separator/>
      </w:r>
    </w:p>
  </w:footnote>
  <w:footnote w:type="continuationSeparator" w:id="0">
    <w:p w14:paraId="4132DCF1" w14:textId="77777777" w:rsidR="00872487" w:rsidRDefault="0087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E5543" w14:textId="77777777" w:rsidR="00BC41D3" w:rsidRPr="006B6ADE" w:rsidRDefault="00BC41D3" w:rsidP="006B6ADE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3C011674" wp14:editId="10C72A66">
          <wp:extent cx="2005200" cy="720000"/>
          <wp:effectExtent l="0" t="0" r="0" b="4445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CBAC" w14:textId="77777777" w:rsidR="00BC41D3" w:rsidRPr="0086381A" w:rsidRDefault="00BC41D3" w:rsidP="0086381A">
    <w:pPr>
      <w:pStyle w:val="Zhlav"/>
    </w:pPr>
    <w:r>
      <w:rPr>
        <w:noProof/>
      </w:rPr>
      <w:drawing>
        <wp:inline distT="0" distB="0" distL="0" distR="0" wp14:anchorId="43B23EC1" wp14:editId="281E58B1">
          <wp:extent cx="1085850" cy="10858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A1C23"/>
    <w:multiLevelType w:val="hybridMultilevel"/>
    <w:tmpl w:val="42843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D2C36"/>
    <w:multiLevelType w:val="hybridMultilevel"/>
    <w:tmpl w:val="872C04A4"/>
    <w:lvl w:ilvl="0" w:tplc="04050017">
      <w:start w:val="1"/>
      <w:numFmt w:val="lowerLetter"/>
      <w:lvlText w:val="%1)"/>
      <w:lvlJc w:val="left"/>
      <w:pPr>
        <w:tabs>
          <w:tab w:val="num" w:pos="1149"/>
        </w:tabs>
        <w:ind w:left="1149" w:hanging="360"/>
      </w:pPr>
    </w:lvl>
    <w:lvl w:ilvl="1" w:tplc="04050003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" w15:restartNumberingAfterBreak="0">
    <w:nsid w:val="6ED951EF"/>
    <w:multiLevelType w:val="hybridMultilevel"/>
    <w:tmpl w:val="F6B29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zNDE0tDcxMTY0sDEyUdpeDU4uLM/DyQAsNaAM1Nf2osAAAA"/>
  </w:docVars>
  <w:rsids>
    <w:rsidRoot w:val="00E410D7"/>
    <w:rsid w:val="00006E90"/>
    <w:rsid w:val="000264D5"/>
    <w:rsid w:val="000326DF"/>
    <w:rsid w:val="00047E2B"/>
    <w:rsid w:val="00054972"/>
    <w:rsid w:val="00055FDB"/>
    <w:rsid w:val="00060B1E"/>
    <w:rsid w:val="000646F4"/>
    <w:rsid w:val="000748A5"/>
    <w:rsid w:val="000952B4"/>
    <w:rsid w:val="000C735C"/>
    <w:rsid w:val="000D3F91"/>
    <w:rsid w:val="000D6766"/>
    <w:rsid w:val="000E4D74"/>
    <w:rsid w:val="000E5341"/>
    <w:rsid w:val="000E5801"/>
    <w:rsid w:val="000F324C"/>
    <w:rsid w:val="000F6D51"/>
    <w:rsid w:val="00105728"/>
    <w:rsid w:val="00115164"/>
    <w:rsid w:val="00120B25"/>
    <w:rsid w:val="001221C4"/>
    <w:rsid w:val="001352C3"/>
    <w:rsid w:val="00140AD5"/>
    <w:rsid w:val="00147160"/>
    <w:rsid w:val="00160872"/>
    <w:rsid w:val="00170653"/>
    <w:rsid w:val="00170B67"/>
    <w:rsid w:val="0018314D"/>
    <w:rsid w:val="00197542"/>
    <w:rsid w:val="00197CC2"/>
    <w:rsid w:val="001B50C6"/>
    <w:rsid w:val="001C53CA"/>
    <w:rsid w:val="001C6BEE"/>
    <w:rsid w:val="001F0B4B"/>
    <w:rsid w:val="001F77F7"/>
    <w:rsid w:val="00225C39"/>
    <w:rsid w:val="00230C79"/>
    <w:rsid w:val="00231B44"/>
    <w:rsid w:val="00235597"/>
    <w:rsid w:val="002369FC"/>
    <w:rsid w:val="002373A6"/>
    <w:rsid w:val="00241F52"/>
    <w:rsid w:val="00250DCE"/>
    <w:rsid w:val="002525A9"/>
    <w:rsid w:val="00255868"/>
    <w:rsid w:val="00265539"/>
    <w:rsid w:val="00275BE0"/>
    <w:rsid w:val="002809BC"/>
    <w:rsid w:val="00282CF8"/>
    <w:rsid w:val="002A5B5B"/>
    <w:rsid w:val="002B04A2"/>
    <w:rsid w:val="002D66C4"/>
    <w:rsid w:val="002F1C07"/>
    <w:rsid w:val="002F5C6E"/>
    <w:rsid w:val="00301CE7"/>
    <w:rsid w:val="0031090C"/>
    <w:rsid w:val="003118E9"/>
    <w:rsid w:val="00316A4B"/>
    <w:rsid w:val="00326005"/>
    <w:rsid w:val="0033366C"/>
    <w:rsid w:val="0034459D"/>
    <w:rsid w:val="003447A4"/>
    <w:rsid w:val="00365AA0"/>
    <w:rsid w:val="003665FD"/>
    <w:rsid w:val="00370896"/>
    <w:rsid w:val="00382DFA"/>
    <w:rsid w:val="00391714"/>
    <w:rsid w:val="003A2343"/>
    <w:rsid w:val="003A4F00"/>
    <w:rsid w:val="003A6539"/>
    <w:rsid w:val="003B2F80"/>
    <w:rsid w:val="003D1FA8"/>
    <w:rsid w:val="003D25AB"/>
    <w:rsid w:val="003D699B"/>
    <w:rsid w:val="003D76B4"/>
    <w:rsid w:val="003E26E4"/>
    <w:rsid w:val="003F1AF8"/>
    <w:rsid w:val="003F7EE3"/>
    <w:rsid w:val="004153BD"/>
    <w:rsid w:val="00423DB3"/>
    <w:rsid w:val="0043339A"/>
    <w:rsid w:val="00436F71"/>
    <w:rsid w:val="00441C8F"/>
    <w:rsid w:val="00467D15"/>
    <w:rsid w:val="00486C18"/>
    <w:rsid w:val="00487E7D"/>
    <w:rsid w:val="00490019"/>
    <w:rsid w:val="00491FE5"/>
    <w:rsid w:val="00494440"/>
    <w:rsid w:val="004B3388"/>
    <w:rsid w:val="004D3C04"/>
    <w:rsid w:val="004F0D27"/>
    <w:rsid w:val="00504F42"/>
    <w:rsid w:val="005058E9"/>
    <w:rsid w:val="00510088"/>
    <w:rsid w:val="00510768"/>
    <w:rsid w:val="005166B5"/>
    <w:rsid w:val="00522199"/>
    <w:rsid w:val="005252FD"/>
    <w:rsid w:val="005274E7"/>
    <w:rsid w:val="005279C5"/>
    <w:rsid w:val="0053355A"/>
    <w:rsid w:val="00543BE8"/>
    <w:rsid w:val="005442E0"/>
    <w:rsid w:val="00544EBF"/>
    <w:rsid w:val="005642D7"/>
    <w:rsid w:val="00564A79"/>
    <w:rsid w:val="00580304"/>
    <w:rsid w:val="00584F8B"/>
    <w:rsid w:val="0059527C"/>
    <w:rsid w:val="005A44F1"/>
    <w:rsid w:val="005A7708"/>
    <w:rsid w:val="005B5C5E"/>
    <w:rsid w:val="005D24F8"/>
    <w:rsid w:val="005D676E"/>
    <w:rsid w:val="005E22B9"/>
    <w:rsid w:val="005E513F"/>
    <w:rsid w:val="006111A4"/>
    <w:rsid w:val="00613B61"/>
    <w:rsid w:val="00616D4D"/>
    <w:rsid w:val="0061747B"/>
    <w:rsid w:val="006256F3"/>
    <w:rsid w:val="00633EB5"/>
    <w:rsid w:val="006348B0"/>
    <w:rsid w:val="0065304D"/>
    <w:rsid w:val="006752B5"/>
    <w:rsid w:val="006965F5"/>
    <w:rsid w:val="00697265"/>
    <w:rsid w:val="006A5345"/>
    <w:rsid w:val="006A6AB1"/>
    <w:rsid w:val="006B35FC"/>
    <w:rsid w:val="006B3C02"/>
    <w:rsid w:val="006B6ADE"/>
    <w:rsid w:val="006B6E67"/>
    <w:rsid w:val="006C1B6C"/>
    <w:rsid w:val="006D4CDF"/>
    <w:rsid w:val="006E66AB"/>
    <w:rsid w:val="006F3CFD"/>
    <w:rsid w:val="00707415"/>
    <w:rsid w:val="00732021"/>
    <w:rsid w:val="00753987"/>
    <w:rsid w:val="007849BD"/>
    <w:rsid w:val="0079124B"/>
    <w:rsid w:val="007A5CF4"/>
    <w:rsid w:val="007B2ABA"/>
    <w:rsid w:val="007E0694"/>
    <w:rsid w:val="007E0E21"/>
    <w:rsid w:val="007E2AA9"/>
    <w:rsid w:val="007E504D"/>
    <w:rsid w:val="007F287C"/>
    <w:rsid w:val="008071B2"/>
    <w:rsid w:val="0081636A"/>
    <w:rsid w:val="0082056D"/>
    <w:rsid w:val="00827853"/>
    <w:rsid w:val="00843486"/>
    <w:rsid w:val="00850BC6"/>
    <w:rsid w:val="0086381A"/>
    <w:rsid w:val="00864B15"/>
    <w:rsid w:val="00872487"/>
    <w:rsid w:val="0087755F"/>
    <w:rsid w:val="008A47B5"/>
    <w:rsid w:val="008B348A"/>
    <w:rsid w:val="008B78B2"/>
    <w:rsid w:val="008B7D7C"/>
    <w:rsid w:val="008B7F6D"/>
    <w:rsid w:val="008C48F5"/>
    <w:rsid w:val="008C7528"/>
    <w:rsid w:val="008E398C"/>
    <w:rsid w:val="00900EC6"/>
    <w:rsid w:val="00902098"/>
    <w:rsid w:val="0090649B"/>
    <w:rsid w:val="00912466"/>
    <w:rsid w:val="00935AAF"/>
    <w:rsid w:val="00937CAB"/>
    <w:rsid w:val="009439A7"/>
    <w:rsid w:val="009512F6"/>
    <w:rsid w:val="00966598"/>
    <w:rsid w:val="00966E39"/>
    <w:rsid w:val="009867D9"/>
    <w:rsid w:val="00987A3F"/>
    <w:rsid w:val="00991199"/>
    <w:rsid w:val="00996078"/>
    <w:rsid w:val="009C3D17"/>
    <w:rsid w:val="009D349C"/>
    <w:rsid w:val="009E61A7"/>
    <w:rsid w:val="00A2215F"/>
    <w:rsid w:val="00A233D9"/>
    <w:rsid w:val="00A40340"/>
    <w:rsid w:val="00A417C7"/>
    <w:rsid w:val="00A51A7E"/>
    <w:rsid w:val="00A54777"/>
    <w:rsid w:val="00A631B2"/>
    <w:rsid w:val="00A77C1F"/>
    <w:rsid w:val="00A864C2"/>
    <w:rsid w:val="00A90BEA"/>
    <w:rsid w:val="00AA6B42"/>
    <w:rsid w:val="00AB000F"/>
    <w:rsid w:val="00AB091B"/>
    <w:rsid w:val="00AB13A6"/>
    <w:rsid w:val="00AD2F0F"/>
    <w:rsid w:val="00B11192"/>
    <w:rsid w:val="00B5273D"/>
    <w:rsid w:val="00B81E71"/>
    <w:rsid w:val="00B83525"/>
    <w:rsid w:val="00B86D86"/>
    <w:rsid w:val="00B879CE"/>
    <w:rsid w:val="00B91613"/>
    <w:rsid w:val="00B938BE"/>
    <w:rsid w:val="00BC41D3"/>
    <w:rsid w:val="00BC4F59"/>
    <w:rsid w:val="00BC4FD6"/>
    <w:rsid w:val="00BD4D95"/>
    <w:rsid w:val="00BE65FA"/>
    <w:rsid w:val="00BF6BE2"/>
    <w:rsid w:val="00C005AA"/>
    <w:rsid w:val="00C029FA"/>
    <w:rsid w:val="00C43322"/>
    <w:rsid w:val="00C43582"/>
    <w:rsid w:val="00C44152"/>
    <w:rsid w:val="00C52837"/>
    <w:rsid w:val="00C53759"/>
    <w:rsid w:val="00C56EDD"/>
    <w:rsid w:val="00C60478"/>
    <w:rsid w:val="00C606C6"/>
    <w:rsid w:val="00C61448"/>
    <w:rsid w:val="00C92F60"/>
    <w:rsid w:val="00CA0315"/>
    <w:rsid w:val="00CA7530"/>
    <w:rsid w:val="00CB34B3"/>
    <w:rsid w:val="00CC24FE"/>
    <w:rsid w:val="00CC76B3"/>
    <w:rsid w:val="00CD2D77"/>
    <w:rsid w:val="00CD6EF5"/>
    <w:rsid w:val="00D12260"/>
    <w:rsid w:val="00D209C0"/>
    <w:rsid w:val="00D3332C"/>
    <w:rsid w:val="00D43598"/>
    <w:rsid w:val="00D50BE0"/>
    <w:rsid w:val="00D55582"/>
    <w:rsid w:val="00D56EF2"/>
    <w:rsid w:val="00D76456"/>
    <w:rsid w:val="00D90C8D"/>
    <w:rsid w:val="00D93D3D"/>
    <w:rsid w:val="00DA4F18"/>
    <w:rsid w:val="00DB282A"/>
    <w:rsid w:val="00DF2FF8"/>
    <w:rsid w:val="00DF68EA"/>
    <w:rsid w:val="00E14EE6"/>
    <w:rsid w:val="00E162C8"/>
    <w:rsid w:val="00E410D7"/>
    <w:rsid w:val="00E42A3E"/>
    <w:rsid w:val="00E43CFD"/>
    <w:rsid w:val="00E547D3"/>
    <w:rsid w:val="00E854C0"/>
    <w:rsid w:val="00E94574"/>
    <w:rsid w:val="00EB29CA"/>
    <w:rsid w:val="00ED3CF0"/>
    <w:rsid w:val="00ED4AF8"/>
    <w:rsid w:val="00ED7988"/>
    <w:rsid w:val="00EE0E70"/>
    <w:rsid w:val="00EF0A47"/>
    <w:rsid w:val="00EF1E9E"/>
    <w:rsid w:val="00F12983"/>
    <w:rsid w:val="00F230A0"/>
    <w:rsid w:val="00F24BAC"/>
    <w:rsid w:val="00F34CCF"/>
    <w:rsid w:val="00F4499A"/>
    <w:rsid w:val="00F54CB5"/>
    <w:rsid w:val="00F62103"/>
    <w:rsid w:val="00F70620"/>
    <w:rsid w:val="00F818C0"/>
    <w:rsid w:val="00F86A67"/>
    <w:rsid w:val="00F93521"/>
    <w:rsid w:val="00F95BDB"/>
    <w:rsid w:val="00FB4B5D"/>
    <w:rsid w:val="00FD30AA"/>
    <w:rsid w:val="00FD3F83"/>
    <w:rsid w:val="00FE094A"/>
    <w:rsid w:val="00FE1C33"/>
    <w:rsid w:val="00FE4149"/>
    <w:rsid w:val="00FF26E5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0EE81A1"/>
  <w15:docId w15:val="{044200F5-9059-43F9-8026-0E1C4EDD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50C6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655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hlavAdresa">
    <w:name w:val="Záhlaví Adresa"/>
    <w:basedOn w:val="ZhlavKatedra"/>
    <w:autoRedefine/>
    <w:rsid w:val="00F818C0"/>
    <w:pPr>
      <w:framePr w:wrap="around"/>
    </w:pPr>
    <w:rPr>
      <w:rFonts w:ascii="Times New Roman" w:hAnsi="Times New Roman"/>
      <w:b w:val="0"/>
    </w:rPr>
  </w:style>
  <w:style w:type="paragraph" w:customStyle="1" w:styleId="ZhlavCVUT">
    <w:name w:val="Záhlaví CVUT"/>
    <w:basedOn w:val="Normln"/>
    <w:autoRedefine/>
    <w:rsid w:val="00707415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</w:pPr>
    <w:rPr>
      <w:rFonts w:ascii="Arial" w:hAnsi="Arial" w:cs="Arial"/>
      <w:b/>
      <w:bCs/>
    </w:rPr>
  </w:style>
  <w:style w:type="paragraph" w:customStyle="1" w:styleId="ZhlavFEL">
    <w:name w:val="Záhlaví FEL"/>
    <w:basedOn w:val="Normln"/>
    <w:autoRedefine/>
    <w:rsid w:val="00707415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spacing w:before="120"/>
      <w:ind w:left="4536" w:hanging="4536"/>
    </w:pPr>
    <w:rPr>
      <w:rFonts w:ascii="Arial" w:hAnsi="Arial" w:cs="Arial"/>
      <w:b/>
      <w:noProof/>
      <w:sz w:val="20"/>
      <w:szCs w:val="20"/>
    </w:rPr>
  </w:style>
  <w:style w:type="paragraph" w:customStyle="1" w:styleId="ZhlavKatedra">
    <w:name w:val="Záhlaví Katedra"/>
    <w:basedOn w:val="ZhlavFEL"/>
    <w:autoRedefine/>
    <w:rsid w:val="00265539"/>
    <w:pPr>
      <w:framePr w:wrap="around"/>
      <w:spacing w:before="0" w:line="280" w:lineRule="exact"/>
    </w:pPr>
  </w:style>
  <w:style w:type="character" w:customStyle="1" w:styleId="ZpatChar">
    <w:name w:val="Zápatí Char"/>
    <w:basedOn w:val="Standardnpsmoodstavce"/>
    <w:link w:val="Zpat"/>
    <w:uiPriority w:val="99"/>
    <w:rsid w:val="00060B1E"/>
    <w:rPr>
      <w:sz w:val="24"/>
      <w:szCs w:val="24"/>
    </w:rPr>
  </w:style>
  <w:style w:type="paragraph" w:styleId="Textbubliny">
    <w:name w:val="Balloon Text"/>
    <w:basedOn w:val="Normln"/>
    <w:link w:val="TextbublinyChar"/>
    <w:rsid w:val="00A63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31B2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5A44F1"/>
    <w:rPr>
      <w:rFonts w:ascii="Arial" w:hAnsi="Arial" w:cs="Arial"/>
      <w:sz w:val="20"/>
      <w:szCs w:val="20"/>
    </w:rPr>
  </w:style>
  <w:style w:type="paragraph" w:styleId="Bezmezer">
    <w:name w:val="No Spacing"/>
    <w:rsid w:val="005A44F1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styleId="Siln">
    <w:name w:val="Strong"/>
    <w:basedOn w:val="Standardnpsmoodstavce"/>
    <w:qFormat/>
    <w:rsid w:val="00D56EF2"/>
    <w:rPr>
      <w:b/>
      <w:bCs/>
    </w:rPr>
  </w:style>
  <w:style w:type="paragraph" w:styleId="Odstavecseseznamem">
    <w:name w:val="List Paragraph"/>
    <w:basedOn w:val="Normln"/>
    <w:uiPriority w:val="34"/>
    <w:qFormat/>
    <w:rsid w:val="00D56EF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B50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252FD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F4499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449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4499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449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44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Svti\Manual%20FEL%20Dopisy%20WORD\Dopisy%20Word%20p&#367;vodn&#237;\CVUT%20fel%20DEK%20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4C0B-A578-4FB7-9FDC-CD0FD8F0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fel DEK dopis.dot</Template>
  <TotalTime>1</TotalTime>
  <Pages>1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FEL dopis</vt:lpstr>
    </vt:vector>
  </TitlesOfParts>
  <Company>Microsoft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 dopis</dc:title>
  <dc:creator>to</dc:creator>
  <cp:lastModifiedBy>Marek Tesař</cp:lastModifiedBy>
  <cp:revision>5</cp:revision>
  <cp:lastPrinted>2018-04-03T11:58:00Z</cp:lastPrinted>
  <dcterms:created xsi:type="dcterms:W3CDTF">2019-04-02T13:45:00Z</dcterms:created>
  <dcterms:modified xsi:type="dcterms:W3CDTF">2019-04-02T13:47:00Z</dcterms:modified>
</cp:coreProperties>
</file>