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EC" w:rsidRDefault="004A31EC">
      <w:pPr>
        <w:pStyle w:val="Nadpis10"/>
        <w:keepNext/>
        <w:keepLines/>
        <w:shd w:val="clear" w:color="auto" w:fill="auto"/>
      </w:pPr>
      <w:bookmarkStart w:id="0" w:name="bookmark0"/>
      <w:bookmarkStart w:id="1" w:name="bookmark1"/>
    </w:p>
    <w:p w:rsidR="00F51571" w:rsidRDefault="004A31EC">
      <w:pPr>
        <w:pStyle w:val="Nadpis10"/>
        <w:keepNext/>
        <w:keepLines/>
        <w:shd w:val="clear" w:color="auto" w:fill="auto"/>
      </w:pPr>
      <w:r>
        <w:t>SMLOUVA O POSKYTOVÁ</w:t>
      </w:r>
      <w:r w:rsidR="0084269D">
        <w:t>NÍ PRÁVNÍ POMOCI</w:t>
      </w:r>
      <w:bookmarkEnd w:id="0"/>
      <w:bookmarkEnd w:id="1"/>
    </w:p>
    <w:p w:rsidR="00F51571" w:rsidRDefault="0084269D">
      <w:pPr>
        <w:pStyle w:val="Nadpis30"/>
        <w:keepNext/>
        <w:keepLines/>
        <w:shd w:val="clear" w:color="auto" w:fill="auto"/>
        <w:spacing w:after="0"/>
      </w:pPr>
      <w:bookmarkStart w:id="2" w:name="bookmark2"/>
      <w:bookmarkStart w:id="3" w:name="bookmark3"/>
      <w:r>
        <w:t>Národní galerie v Praze</w:t>
      </w:r>
      <w:bookmarkEnd w:id="2"/>
      <w:bookmarkEnd w:id="3"/>
    </w:p>
    <w:p w:rsidR="004A31EC" w:rsidRDefault="0084269D">
      <w:pPr>
        <w:pStyle w:val="Zkladntext1"/>
        <w:shd w:val="clear" w:color="auto" w:fill="auto"/>
        <w:spacing w:after="0"/>
      </w:pPr>
      <w:r>
        <w:t xml:space="preserve">státní ústav v postavení státní příspěvkové organizace </w:t>
      </w:r>
    </w:p>
    <w:p w:rsidR="00F51571" w:rsidRDefault="0084269D">
      <w:pPr>
        <w:pStyle w:val="Zkladntext1"/>
        <w:shd w:val="clear" w:color="auto" w:fill="auto"/>
        <w:spacing w:after="0"/>
      </w:pPr>
      <w:r>
        <w:t>založen zák. č. 148/1949 Sb., o Národní galerii v Praze IČ: 00023281</w:t>
      </w:r>
    </w:p>
    <w:p w:rsidR="004A31EC" w:rsidRDefault="0084269D">
      <w:pPr>
        <w:pStyle w:val="Zkladntext1"/>
        <w:shd w:val="clear" w:color="auto" w:fill="auto"/>
        <w:spacing w:after="0" w:line="262" w:lineRule="auto"/>
      </w:pPr>
      <w:r>
        <w:t xml:space="preserve">se sídlem Staroměstské nám. 606/12, 110 00 Praha 1 </w:t>
      </w:r>
    </w:p>
    <w:p w:rsidR="004A31EC" w:rsidRDefault="0084269D">
      <w:pPr>
        <w:pStyle w:val="Zkladntext1"/>
        <w:shd w:val="clear" w:color="auto" w:fill="auto"/>
        <w:spacing w:after="0" w:line="262" w:lineRule="auto"/>
      </w:pPr>
      <w:r>
        <w:t xml:space="preserve">zastoupená </w:t>
      </w:r>
      <w:r>
        <w:rPr>
          <w:lang w:val="en-US" w:eastAsia="en-US" w:bidi="en-US"/>
        </w:rPr>
        <w:t xml:space="preserve">doc. </w:t>
      </w:r>
      <w:r>
        <w:t xml:space="preserve">Dr. et Ing. Jiřím Fajtem, Ph.D., generálním ředitelem Národní galerie v Praze </w:t>
      </w:r>
    </w:p>
    <w:p w:rsidR="00F51571" w:rsidRDefault="0084269D">
      <w:pPr>
        <w:pStyle w:val="Zkladntext1"/>
        <w:shd w:val="clear" w:color="auto" w:fill="auto"/>
        <w:spacing w:after="0" w:line="262" w:lineRule="auto"/>
      </w:pPr>
      <w:r>
        <w:t xml:space="preserve">(dále jen </w:t>
      </w:r>
      <w:r>
        <w:rPr>
          <w:b/>
          <w:bCs/>
        </w:rPr>
        <w:t>„klient")</w:t>
      </w:r>
    </w:p>
    <w:p w:rsidR="00F51571" w:rsidRDefault="0084269D">
      <w:pPr>
        <w:pStyle w:val="Zkladntext1"/>
        <w:shd w:val="clear" w:color="auto" w:fill="auto"/>
        <w:spacing w:after="0" w:line="262" w:lineRule="auto"/>
        <w:jc w:val="both"/>
      </w:pPr>
      <w:r>
        <w:t>a</w:t>
      </w:r>
    </w:p>
    <w:p w:rsidR="00F51571" w:rsidRDefault="0084269D">
      <w:pPr>
        <w:pStyle w:val="Zkladntext1"/>
        <w:shd w:val="clear" w:color="auto" w:fill="auto"/>
        <w:spacing w:after="0"/>
      </w:pPr>
      <w:r>
        <w:rPr>
          <w:b/>
          <w:bCs/>
        </w:rPr>
        <w:t>Koutník &amp; Partner, advokátní kancelář, s.r.o.</w:t>
      </w:r>
    </w:p>
    <w:p w:rsidR="00F51571" w:rsidRDefault="0084269D">
      <w:pPr>
        <w:pStyle w:val="Zkladntext1"/>
        <w:shd w:val="clear" w:color="auto" w:fill="auto"/>
        <w:spacing w:after="0"/>
      </w:pPr>
      <w:r>
        <w:t>se sídlem Praha 1 - Staré Město, Rybná 682/14</w:t>
      </w:r>
    </w:p>
    <w:p w:rsidR="00F51571" w:rsidRDefault="0084269D">
      <w:pPr>
        <w:pStyle w:val="Zkladntext1"/>
        <w:shd w:val="clear" w:color="auto" w:fill="auto"/>
        <w:spacing w:after="0"/>
      </w:pPr>
      <w:r>
        <w:t>IČ: 289 58 705</w:t>
      </w:r>
    </w:p>
    <w:p w:rsidR="004A31EC" w:rsidRDefault="0084269D">
      <w:pPr>
        <w:pStyle w:val="Zkladntext1"/>
        <w:shd w:val="clear" w:color="auto" w:fill="auto"/>
        <w:spacing w:after="0"/>
      </w:pPr>
      <w:r>
        <w:t>zapsaná v obchodním rejstříku vedeném Městským so</w:t>
      </w:r>
      <w:r>
        <w:t xml:space="preserve">udem v Praze, oddíl C, vložka 155892 </w:t>
      </w:r>
    </w:p>
    <w:p w:rsidR="00F51571" w:rsidRDefault="0084269D">
      <w:pPr>
        <w:pStyle w:val="Zkladntext1"/>
        <w:shd w:val="clear" w:color="auto" w:fill="auto"/>
        <w:spacing w:after="0"/>
      </w:pPr>
      <w:r>
        <w:t xml:space="preserve">zastoupená jednatelem společnosti </w:t>
      </w:r>
      <w:r w:rsidR="004A31EC">
        <w:t>XXXXXXXXXXXXXXXXXXXXX</w:t>
      </w:r>
    </w:p>
    <w:p w:rsidR="00F51571" w:rsidRDefault="0084269D">
      <w:pPr>
        <w:pStyle w:val="Zkladntext1"/>
        <w:shd w:val="clear" w:color="auto" w:fill="auto"/>
        <w:spacing w:after="260"/>
      </w:pPr>
      <w:r>
        <w:t xml:space="preserve">(dále jen </w:t>
      </w:r>
      <w:r>
        <w:rPr>
          <w:b/>
          <w:bCs/>
        </w:rPr>
        <w:t>„advokátní kancelář')</w:t>
      </w:r>
    </w:p>
    <w:p w:rsidR="00F51571" w:rsidRDefault="0084269D">
      <w:pPr>
        <w:pStyle w:val="Zkladntext1"/>
        <w:shd w:val="clear" w:color="auto" w:fill="auto"/>
        <w:spacing w:after="340"/>
        <w:jc w:val="center"/>
      </w:pPr>
      <w:r>
        <w:t>uzavřeli spolu níže uvedeného dne, měsíce a roku podle § 22 zák. č. 85/1996 Sb.,</w:t>
      </w:r>
      <w:r>
        <w:br/>
        <w:t xml:space="preserve">o advokacii, a § 1 odst. 1 a §§ 2 </w:t>
      </w:r>
      <w:r>
        <w:t xml:space="preserve">až 5 </w:t>
      </w:r>
      <w:proofErr w:type="spellStart"/>
      <w:r>
        <w:t>vyhl</w:t>
      </w:r>
      <w:proofErr w:type="spellEnd"/>
      <w:r>
        <w:t>. č. 177/1996 Sb., advokátní tarif,</w:t>
      </w:r>
      <w:r>
        <w:br/>
        <w:t>ve znění pozdějších předpisů, tuto</w:t>
      </w:r>
    </w:p>
    <w:p w:rsidR="00F51571" w:rsidRDefault="0084269D">
      <w:pPr>
        <w:pStyle w:val="Nadpis20"/>
        <w:keepNext/>
        <w:keepLines/>
        <w:shd w:val="clear" w:color="auto" w:fill="auto"/>
      </w:pPr>
      <w:bookmarkStart w:id="4" w:name="bookmark4"/>
      <w:bookmarkStart w:id="5" w:name="bookmark5"/>
      <w:r>
        <w:t>příkazní smlouvu o poskytování právní pomoci:</w:t>
      </w:r>
      <w:bookmarkEnd w:id="4"/>
      <w:bookmarkEnd w:id="5"/>
    </w:p>
    <w:p w:rsidR="00F51571" w:rsidRDefault="0084269D">
      <w:pPr>
        <w:pStyle w:val="Nadpis30"/>
        <w:keepNext/>
        <w:keepLines/>
        <w:shd w:val="clear" w:color="auto" w:fill="auto"/>
        <w:jc w:val="center"/>
      </w:pPr>
      <w:bookmarkStart w:id="6" w:name="bookmark6"/>
      <w:bookmarkStart w:id="7" w:name="bookmark7"/>
      <w:r>
        <w:t>Článek I.</w:t>
      </w:r>
      <w:r>
        <w:br/>
        <w:t>Předmět příkazu</w:t>
      </w:r>
      <w:bookmarkEnd w:id="6"/>
      <w:bookmarkEnd w:id="7"/>
    </w:p>
    <w:p w:rsidR="00F51571" w:rsidRDefault="0084269D">
      <w:pPr>
        <w:pStyle w:val="Zkladntext1"/>
        <w:numPr>
          <w:ilvl w:val="0"/>
          <w:numId w:val="1"/>
        </w:numPr>
        <w:shd w:val="clear" w:color="auto" w:fill="auto"/>
        <w:tabs>
          <w:tab w:val="left" w:pos="553"/>
        </w:tabs>
        <w:spacing w:after="340"/>
        <w:ind w:left="580" w:hanging="580"/>
        <w:jc w:val="both"/>
      </w:pPr>
      <w:r>
        <w:t>Advokátní kancelář se zavazuje poskytovat jménem a na účet klienta právní pomoc (služby) ve všech věcech</w:t>
      </w:r>
      <w:r>
        <w:t xml:space="preserve"> a právních vztazích konkrétně uvedených v odst. </w:t>
      </w:r>
      <w:proofErr w:type="gramStart"/>
      <w:r>
        <w:t>1.2. této</w:t>
      </w:r>
      <w:proofErr w:type="gramEnd"/>
      <w:r>
        <w:t xml:space="preserve"> smlouvy, a to vždy na základě příkazu klienta.</w:t>
      </w:r>
    </w:p>
    <w:p w:rsidR="00F51571" w:rsidRDefault="0084269D">
      <w:pPr>
        <w:pStyle w:val="Nadpis30"/>
        <w:keepNext/>
        <w:keepLines/>
        <w:numPr>
          <w:ilvl w:val="0"/>
          <w:numId w:val="1"/>
        </w:numPr>
        <w:shd w:val="clear" w:color="auto" w:fill="auto"/>
        <w:tabs>
          <w:tab w:val="left" w:pos="553"/>
        </w:tabs>
        <w:ind w:left="580" w:hanging="580"/>
        <w:jc w:val="both"/>
      </w:pPr>
      <w:bookmarkStart w:id="8" w:name="bookmark8"/>
      <w:bookmarkStart w:id="9" w:name="bookmark9"/>
      <w:r>
        <w:t xml:space="preserve">Specializovaná právní pomoc (právní služby) </w:t>
      </w:r>
      <w:r>
        <w:rPr>
          <w:b w:val="0"/>
          <w:bCs w:val="0"/>
        </w:rPr>
        <w:t xml:space="preserve">poskytovaná klientovi zahrnuje </w:t>
      </w:r>
      <w:r>
        <w:t>zejména dále uvedenou právní pomoc:</w:t>
      </w:r>
      <w:bookmarkEnd w:id="8"/>
      <w:bookmarkEnd w:id="9"/>
    </w:p>
    <w:p w:rsidR="00F51571" w:rsidRDefault="0084269D">
      <w:pPr>
        <w:pStyle w:val="Zkladntext1"/>
        <w:numPr>
          <w:ilvl w:val="0"/>
          <w:numId w:val="2"/>
        </w:numPr>
        <w:shd w:val="clear" w:color="auto" w:fill="auto"/>
        <w:tabs>
          <w:tab w:val="left" w:pos="938"/>
        </w:tabs>
        <w:ind w:left="940" w:hanging="360"/>
        <w:jc w:val="both"/>
      </w:pPr>
      <w:r>
        <w:t>sjednání úplného konečného obsahu a roz</w:t>
      </w:r>
      <w:r>
        <w:t xml:space="preserve">sahu všech smluvních závazků ve Smlouvě o dílo se </w:t>
      </w:r>
      <w:r w:rsidR="004A31EC">
        <w:t>XXXXXXXXXXXXXXXXXXXXXXXXXXXXXXX</w:t>
      </w:r>
      <w:r>
        <w:t xml:space="preserve"> (dále jen </w:t>
      </w:r>
      <w:r>
        <w:rPr>
          <w:b/>
          <w:bCs/>
        </w:rPr>
        <w:t xml:space="preserve">„zhotovitel"), </w:t>
      </w:r>
      <w:r>
        <w:t xml:space="preserve">jejímž předmětem je </w:t>
      </w:r>
      <w:r w:rsidR="004A31EC">
        <w:t>XXXXXXXXXXXXXXXXXXXXXXXXXXXXXXXXXXXXXXXXXX</w:t>
      </w:r>
      <w:r>
        <w:t xml:space="preserve"> (</w:t>
      </w:r>
      <w:r w:rsidR="004A31EC">
        <w:t>XXXXXXXXXXXXXXXX</w:t>
      </w:r>
      <w:r>
        <w:t xml:space="preserve">) </w:t>
      </w:r>
      <w:r w:rsidR="004A31EC">
        <w:t>XXXXXXXXXXX XXXXXXXXXXXXXXXXXXXXXXXXXXXXXXXXXXXXXXXXXXXXXXXXXXXXXXXXXXXXXXxXXXXXXXXXXXXXXXXXXXXXXXXXXXXXXXXXXXXXXXXXXXXXX</w:t>
      </w:r>
      <w:r>
        <w:t>, dále zpracování proje</w:t>
      </w:r>
      <w:r>
        <w:t xml:space="preserve">ktové dokumentace pro vydání územního souhlasu, která bude obsahovat veškeré náležitosti podle stavebního zákona a souvisejících právních předpisů, a dále projektové dokumentace pro ohlášení stavby nebo pro vydání stavebního povolení, která bude obsahovat </w:t>
      </w:r>
      <w:r>
        <w:t xml:space="preserve">veškeré náležitosti podle stavebního zákona a souvisejících právních předpisů (dále jen </w:t>
      </w:r>
      <w:r>
        <w:rPr>
          <w:b/>
          <w:bCs/>
        </w:rPr>
        <w:t>„dílo"),</w:t>
      </w:r>
    </w:p>
    <w:p w:rsidR="00F51571" w:rsidRDefault="0084269D">
      <w:pPr>
        <w:pStyle w:val="Zkladntext1"/>
        <w:shd w:val="clear" w:color="auto" w:fill="auto"/>
        <w:ind w:firstLine="940"/>
        <w:jc w:val="both"/>
      </w:pPr>
      <w:r>
        <w:t>nebo v případě, že mezi klientem a zhotovitelem nedojde k uzavření Smlouvy o dílo (písm. a)</w:t>
      </w:r>
    </w:p>
    <w:p w:rsidR="00F51571" w:rsidRDefault="0084269D">
      <w:pPr>
        <w:pStyle w:val="Zkladntext1"/>
        <w:numPr>
          <w:ilvl w:val="0"/>
          <w:numId w:val="2"/>
        </w:numPr>
        <w:shd w:val="clear" w:color="auto" w:fill="auto"/>
        <w:tabs>
          <w:tab w:val="left" w:pos="938"/>
        </w:tabs>
        <w:ind w:left="940" w:hanging="360"/>
        <w:jc w:val="both"/>
      </w:pPr>
      <w:r>
        <w:t>vypořádání veškerých dílčích plnění díla řádně provedených zhotovit</w:t>
      </w:r>
      <w:r>
        <w:t xml:space="preserve">elem </w:t>
      </w:r>
      <w:r w:rsidR="004A31EC">
        <w:t>XXXXXXXXXXXXXXXX XXXXXXXXXXXXXXXXXXXXXXXXXX</w:t>
      </w:r>
      <w:r>
        <w:t>, které budou mít pro klienta, jakožto objednatele, význam, a které klient akceptoval a schválil. Toto vypořádání bude provedeno zejména Dohodou o narovnání nebo jiným vhodným smluvním typem, včetně tzv. smlouvy ne</w:t>
      </w:r>
      <w:r>
        <w:t>pojmenované.</w:t>
      </w:r>
    </w:p>
    <w:p w:rsidR="00F51571" w:rsidRDefault="0084269D">
      <w:pPr>
        <w:pStyle w:val="Zkladntext1"/>
        <w:numPr>
          <w:ilvl w:val="0"/>
          <w:numId w:val="1"/>
        </w:numPr>
        <w:shd w:val="clear" w:color="auto" w:fill="auto"/>
        <w:tabs>
          <w:tab w:val="left" w:pos="553"/>
        </w:tabs>
        <w:ind w:left="580" w:hanging="580"/>
        <w:jc w:val="both"/>
      </w:pPr>
      <w:r>
        <w:t xml:space="preserve">Specializovanou </w:t>
      </w:r>
      <w:r>
        <w:rPr>
          <w:b/>
          <w:bCs/>
        </w:rPr>
        <w:t xml:space="preserve">právní pomoc </w:t>
      </w:r>
      <w:r>
        <w:t xml:space="preserve">(služby) vymezenou v předchozím odstavci se advokátní kancelář zavazuje </w:t>
      </w:r>
      <w:r>
        <w:rPr>
          <w:b/>
          <w:bCs/>
        </w:rPr>
        <w:t xml:space="preserve">poskytovat </w:t>
      </w:r>
      <w:r>
        <w:t xml:space="preserve">od okamžiku uzavření smlouvy, </w:t>
      </w:r>
      <w:r>
        <w:rPr>
          <w:b/>
          <w:bCs/>
        </w:rPr>
        <w:t>a to zejména formou:</w:t>
      </w:r>
    </w:p>
    <w:p w:rsidR="004A31EC" w:rsidRDefault="0084269D">
      <w:pPr>
        <w:pStyle w:val="Zkladntext1"/>
        <w:shd w:val="clear" w:color="auto" w:fill="auto"/>
        <w:ind w:left="940" w:hanging="360"/>
        <w:jc w:val="both"/>
      </w:pPr>
      <w:r>
        <w:t xml:space="preserve">a) poskytování právních porad, sepisování právních stanovisek, právních analýz, </w:t>
      </w:r>
      <w:r>
        <w:t xml:space="preserve">právních rozborů a vyjádření, přípravy smluvní dokumentace, jednání se zástupci státních orgánů a/nebo orgánů veřejné moci a/nebo orgánů veřejné správy České republiky, jednání s klientem </w:t>
      </w:r>
      <w:r>
        <w:rPr>
          <w:lang w:val="en-US" w:eastAsia="en-US" w:bidi="en-US"/>
        </w:rPr>
        <w:t xml:space="preserve">etc., </w:t>
      </w:r>
      <w:r>
        <w:t xml:space="preserve">a/nebo </w:t>
      </w:r>
    </w:p>
    <w:p w:rsidR="00F51571" w:rsidRDefault="0084269D">
      <w:pPr>
        <w:pStyle w:val="Zkladntext1"/>
        <w:shd w:val="clear" w:color="auto" w:fill="auto"/>
        <w:ind w:left="940" w:hanging="360"/>
        <w:jc w:val="both"/>
      </w:pPr>
      <w:r>
        <w:t>b) zastupováním před příslušnými státními orgány a/nebo</w:t>
      </w:r>
      <w:r>
        <w:t xml:space="preserve"> orgány veřejné správy a/nebo jinými orgány veřejné moci a při veškerých mimosoudních jednáních, s právnickými či fyzickými osobami a jinými právními subjekty v České republice.</w:t>
      </w:r>
    </w:p>
    <w:p w:rsidR="004A31EC" w:rsidRDefault="004A31EC">
      <w:pPr>
        <w:pStyle w:val="Zkladntext1"/>
        <w:shd w:val="clear" w:color="auto" w:fill="auto"/>
        <w:ind w:left="940" w:hanging="360"/>
        <w:jc w:val="both"/>
      </w:pPr>
    </w:p>
    <w:p w:rsidR="004A31EC" w:rsidRDefault="004A31EC">
      <w:pPr>
        <w:pStyle w:val="Zkladntext1"/>
        <w:shd w:val="clear" w:color="auto" w:fill="auto"/>
        <w:ind w:left="940" w:hanging="360"/>
        <w:jc w:val="both"/>
      </w:pPr>
    </w:p>
    <w:p w:rsidR="00F51571" w:rsidRDefault="0084269D">
      <w:pPr>
        <w:pStyle w:val="Zkladntext1"/>
        <w:numPr>
          <w:ilvl w:val="0"/>
          <w:numId w:val="1"/>
        </w:numPr>
        <w:shd w:val="clear" w:color="auto" w:fill="auto"/>
        <w:tabs>
          <w:tab w:val="left" w:pos="563"/>
        </w:tabs>
        <w:spacing w:after="0"/>
        <w:ind w:left="560" w:hanging="560"/>
        <w:jc w:val="both"/>
      </w:pPr>
      <w:r>
        <w:t xml:space="preserve">Právní služby/právní pomoc podle předchozích odstavců tohoto článku se advokátní kancelář zavazuje poskytovat pouze podle dispozic klienta a/nebo jeho konkrétních požadavků a/nebo jeho výslovných pokynů (dále jen společně </w:t>
      </w:r>
      <w:r>
        <w:rPr>
          <w:b/>
          <w:bCs/>
        </w:rPr>
        <w:t xml:space="preserve">„Příkaz"), </w:t>
      </w:r>
      <w:r>
        <w:t>a to písemně, v listinn</w:t>
      </w:r>
      <w:r>
        <w:t xml:space="preserve">é či elektronické formě a/nebo ústně a dále se zavazuje klienta průběžně informovat o postupu ve věci, která je předmětem příkazu. Klient je oprávněn udělovat advokátní kanceláři konkrétní Příkazy ve smyslu odst. </w:t>
      </w:r>
      <w:proofErr w:type="gramStart"/>
      <w:r>
        <w:t>1.2. této</w:t>
      </w:r>
      <w:proofErr w:type="gramEnd"/>
      <w:r>
        <w:t xml:space="preserve"> smlouvy. Za klienta jsou k udělov</w:t>
      </w:r>
      <w:r>
        <w:t>ání konkrétních Příkazů advokátní kanceláři oprávněni výlučně:</w:t>
      </w:r>
    </w:p>
    <w:p w:rsidR="00F51571" w:rsidRDefault="0084269D">
      <w:pPr>
        <w:pStyle w:val="Zkladntext1"/>
        <w:numPr>
          <w:ilvl w:val="0"/>
          <w:numId w:val="3"/>
        </w:numPr>
        <w:shd w:val="clear" w:color="auto" w:fill="auto"/>
        <w:tabs>
          <w:tab w:val="left" w:pos="869"/>
        </w:tabs>
        <w:spacing w:after="0"/>
        <w:ind w:firstLine="560"/>
        <w:jc w:val="both"/>
      </w:pPr>
      <w:r>
        <w:t>generální ředitel Národní galerie v Praze a/nebo</w:t>
      </w:r>
    </w:p>
    <w:p w:rsidR="00F51571" w:rsidRDefault="0084269D">
      <w:pPr>
        <w:pStyle w:val="Zkladntext1"/>
        <w:numPr>
          <w:ilvl w:val="0"/>
          <w:numId w:val="3"/>
        </w:numPr>
        <w:shd w:val="clear" w:color="auto" w:fill="auto"/>
        <w:tabs>
          <w:tab w:val="left" w:pos="869"/>
        </w:tabs>
        <w:spacing w:after="0"/>
        <w:ind w:firstLine="560"/>
        <w:jc w:val="both"/>
      </w:pPr>
      <w:r>
        <w:t>kancléřka Národní galerie v Praze a/nebo</w:t>
      </w:r>
    </w:p>
    <w:p w:rsidR="00F51571" w:rsidRDefault="0084269D">
      <w:pPr>
        <w:pStyle w:val="Zkladntext1"/>
        <w:numPr>
          <w:ilvl w:val="0"/>
          <w:numId w:val="3"/>
        </w:numPr>
        <w:shd w:val="clear" w:color="auto" w:fill="auto"/>
        <w:tabs>
          <w:tab w:val="left" w:pos="869"/>
        </w:tabs>
        <w:spacing w:after="0"/>
        <w:ind w:firstLine="560"/>
        <w:jc w:val="both"/>
      </w:pPr>
      <w:r>
        <w:t>vedoucí právního oddělení Národní galerie v Praze a/nebo</w:t>
      </w:r>
    </w:p>
    <w:p w:rsidR="00F51571" w:rsidRDefault="0084269D">
      <w:pPr>
        <w:pStyle w:val="Zkladntext1"/>
        <w:numPr>
          <w:ilvl w:val="0"/>
          <w:numId w:val="3"/>
        </w:numPr>
        <w:shd w:val="clear" w:color="auto" w:fill="auto"/>
        <w:tabs>
          <w:tab w:val="left" w:pos="876"/>
        </w:tabs>
        <w:ind w:firstLine="560"/>
        <w:jc w:val="both"/>
      </w:pPr>
      <w:r>
        <w:t>ředitel sekce ekonomicko-provozní.</w:t>
      </w:r>
    </w:p>
    <w:p w:rsidR="00F51571" w:rsidRDefault="0084269D">
      <w:pPr>
        <w:pStyle w:val="Zkladntext1"/>
        <w:numPr>
          <w:ilvl w:val="0"/>
          <w:numId w:val="1"/>
        </w:numPr>
        <w:shd w:val="clear" w:color="auto" w:fill="auto"/>
        <w:tabs>
          <w:tab w:val="left" w:pos="563"/>
        </w:tabs>
        <w:ind w:left="560" w:hanging="560"/>
        <w:jc w:val="both"/>
      </w:pPr>
      <w:r>
        <w:t xml:space="preserve">Klient se </w:t>
      </w:r>
      <w:r>
        <w:t>zavazuje poskytovat advokátní kanceláři potřebnou součinnost, zejména potřebné informace, podklady, doklady a instrukce týkající se záležitosti, jež má být předmětem poskytnutí právní služby, přičemž odpovídá za jejich správnost a úplnost. Klient se zavazu</w:t>
      </w:r>
      <w:r>
        <w:t>je na výzvu advokátní kanceláře účastnit se potřebných jednání, případně je na jeho výzvu svolat a zajistit. Advokátní kancelář není vázána právním názorem klienta.</w:t>
      </w:r>
    </w:p>
    <w:p w:rsidR="00F51571" w:rsidRDefault="0084269D">
      <w:pPr>
        <w:pStyle w:val="Zkladntext1"/>
        <w:numPr>
          <w:ilvl w:val="0"/>
          <w:numId w:val="1"/>
        </w:numPr>
        <w:shd w:val="clear" w:color="auto" w:fill="auto"/>
        <w:tabs>
          <w:tab w:val="left" w:pos="563"/>
        </w:tabs>
        <w:spacing w:after="220"/>
        <w:ind w:left="560" w:hanging="560"/>
        <w:jc w:val="both"/>
      </w:pPr>
      <w:r>
        <w:t>Klient výslovně souhlasí s tím, že advokátní kancelář se v rámci této smlouvy může dát zast</w:t>
      </w:r>
      <w:r>
        <w:t>oupit jinou advokátní kanceláří nebo jiným advokátem.</w:t>
      </w:r>
    </w:p>
    <w:p w:rsidR="00F51571" w:rsidRDefault="0084269D">
      <w:pPr>
        <w:pStyle w:val="Zkladntext1"/>
        <w:shd w:val="clear" w:color="auto" w:fill="auto"/>
        <w:spacing w:after="0"/>
        <w:jc w:val="center"/>
      </w:pPr>
      <w:r>
        <w:rPr>
          <w:b/>
          <w:bCs/>
        </w:rPr>
        <w:t>Článek II.</w:t>
      </w:r>
    </w:p>
    <w:p w:rsidR="00F51571" w:rsidRDefault="0084269D">
      <w:pPr>
        <w:pStyle w:val="Nadpis30"/>
        <w:keepNext/>
        <w:keepLines/>
        <w:shd w:val="clear" w:color="auto" w:fill="auto"/>
        <w:jc w:val="center"/>
      </w:pPr>
      <w:bookmarkStart w:id="10" w:name="bookmark10"/>
      <w:bookmarkStart w:id="11" w:name="bookmark11"/>
      <w:r>
        <w:t>Odměna advokáta a její vyúčtování</w:t>
      </w:r>
      <w:bookmarkEnd w:id="10"/>
      <w:bookmarkEnd w:id="11"/>
    </w:p>
    <w:p w:rsidR="00F51571" w:rsidRDefault="0084269D">
      <w:pPr>
        <w:pStyle w:val="Zkladntext1"/>
        <w:numPr>
          <w:ilvl w:val="0"/>
          <w:numId w:val="4"/>
        </w:numPr>
        <w:shd w:val="clear" w:color="auto" w:fill="auto"/>
        <w:tabs>
          <w:tab w:val="left" w:pos="563"/>
        </w:tabs>
        <w:ind w:left="560" w:hanging="560"/>
        <w:jc w:val="both"/>
      </w:pPr>
      <w:r>
        <w:t xml:space="preserve">Advokátní kancelář a klient se dohodli na smluvní odměně advokátní kanceláře účtované podle počtu hodin poskytnutých právních služeb/právní pomoci se sazbou ve výši </w:t>
      </w:r>
      <w:r>
        <w:rPr>
          <w:b/>
          <w:bCs/>
        </w:rPr>
        <w:t xml:space="preserve">2.000,- Kč </w:t>
      </w:r>
      <w:r>
        <w:t>(slovy: Dva tisíce korun českých) za hodinu bez DPH. Odměna je advokátní kancelá</w:t>
      </w:r>
      <w:r>
        <w:t>ří účtována po čtvrthodinových jednotkách (tj. za každou započatou čtvrthodinu poskytnutých právní služeb/právní pomoci náleží advokátní kanceláři alikvotní odměna vypočtená z hodinové odměny). Odměna za právní služby/právní pomoc poskytnuté podle této sml</w:t>
      </w:r>
      <w:r>
        <w:t xml:space="preserve">ouvy nepřesáhne 100.000,- Kč (slovy: </w:t>
      </w:r>
      <w:proofErr w:type="spellStart"/>
      <w:r>
        <w:t>jednostotisíc</w:t>
      </w:r>
      <w:proofErr w:type="spellEnd"/>
      <w:r>
        <w:t xml:space="preserve"> korun českých) bez DPH, tj. advokátní kancelář poskytne klientovi podle této smlouvy právní služby/právní pomoc nejvýše v rozsahu 50 hodin právních služeb.</w:t>
      </w:r>
    </w:p>
    <w:p w:rsidR="00F51571" w:rsidRDefault="0084269D">
      <w:pPr>
        <w:pStyle w:val="Zkladntext1"/>
        <w:numPr>
          <w:ilvl w:val="0"/>
          <w:numId w:val="4"/>
        </w:numPr>
        <w:shd w:val="clear" w:color="auto" w:fill="auto"/>
        <w:tabs>
          <w:tab w:val="left" w:pos="563"/>
        </w:tabs>
        <w:ind w:left="560" w:hanging="560"/>
        <w:jc w:val="both"/>
      </w:pPr>
      <w:r>
        <w:t xml:space="preserve">Klient a advokátní kancelář se výslovně dohodli, </w:t>
      </w:r>
      <w:r>
        <w:t xml:space="preserve">že advokátní kancelář je oprávněna účtovat klientovi režijní paušál ve výši 300,- Kč na jeden úkon právní pomoci v souladu s </w:t>
      </w:r>
      <w:proofErr w:type="spellStart"/>
      <w:r>
        <w:t>ust</w:t>
      </w:r>
      <w:proofErr w:type="spellEnd"/>
      <w:r>
        <w:t>. § 13 odst. 3 advokátního tarifu.</w:t>
      </w:r>
    </w:p>
    <w:p w:rsidR="00F51571" w:rsidRDefault="0084269D">
      <w:pPr>
        <w:pStyle w:val="Zkladntext1"/>
        <w:numPr>
          <w:ilvl w:val="0"/>
          <w:numId w:val="4"/>
        </w:numPr>
        <w:shd w:val="clear" w:color="auto" w:fill="auto"/>
        <w:tabs>
          <w:tab w:val="left" w:pos="563"/>
        </w:tabs>
        <w:ind w:left="560" w:hanging="560"/>
        <w:jc w:val="both"/>
      </w:pPr>
      <w:r>
        <w:t>Spolu s paušální odměnou je advokátní kancelář oprávněna také účtovat úhradu nezbytných a úče</w:t>
      </w:r>
      <w:r>
        <w:t xml:space="preserve">lně vynaložených hotových výdajů spojených s poskytováním právních služeb, tak jak je stanoví vyhláška Ministerstva spravedlnosti ČR č. 177/1996 Sb., o odměnách advokátů a náhradách advokátů za poskytování právních služeb ve znění </w:t>
      </w:r>
      <w:proofErr w:type="spellStart"/>
      <w:r>
        <w:t>vyhl</w:t>
      </w:r>
      <w:proofErr w:type="spellEnd"/>
      <w:r>
        <w:t>. č. 235/1997 Sb. (ad</w:t>
      </w:r>
      <w:r>
        <w:t xml:space="preserve">vokátní tarif), tj. soudní, správní či jiné poplatky, náklady znaleckých posudků, překladů, notářských zápisů, opisů, legalizace </w:t>
      </w:r>
      <w:r>
        <w:rPr>
          <w:lang w:val="en-US" w:eastAsia="en-US" w:bidi="en-US"/>
        </w:rPr>
        <w:t xml:space="preserve">etc., </w:t>
      </w:r>
      <w:r>
        <w:t xml:space="preserve">vynaložené v souvislosti s poskytováním právních služeb klientovi. Pokud hotové výdaje uvedené v předchozí větě neuhradí </w:t>
      </w:r>
      <w:r>
        <w:t xml:space="preserve">klient samostatně, je advokátní kancelář oprávněna vyúčtovat tyto hotové výdaje zvlášť spolu s odměnou v rámci měsíčního vyúčtování sjednané odměny podle odst. </w:t>
      </w:r>
      <w:proofErr w:type="gramStart"/>
      <w:r>
        <w:t>2.1. a 2.2</w:t>
      </w:r>
      <w:proofErr w:type="gramEnd"/>
      <w:r>
        <w:t>.</w:t>
      </w:r>
    </w:p>
    <w:p w:rsidR="00F51571" w:rsidRDefault="0084269D">
      <w:pPr>
        <w:pStyle w:val="Zkladntext1"/>
        <w:numPr>
          <w:ilvl w:val="0"/>
          <w:numId w:val="4"/>
        </w:numPr>
        <w:shd w:val="clear" w:color="auto" w:fill="auto"/>
        <w:tabs>
          <w:tab w:val="left" w:pos="563"/>
        </w:tabs>
        <w:ind w:left="560" w:hanging="560"/>
        <w:jc w:val="both"/>
      </w:pPr>
      <w:r>
        <w:t>Klient bere na vědomí, že ke dni uzavření této smlouvy je advokátní kancelář plátcem</w:t>
      </w:r>
      <w:r>
        <w:t xml:space="preserve"> DPH a souhlasí s tím, že ke všem peněžním plněním ve prospěch advokátní kanceláře podle této smlouvy, zejména ke smluvní odměně podle odst. 2.1 a </w:t>
      </w:r>
      <w:proofErr w:type="gramStart"/>
      <w:r>
        <w:t>2.2., jakož</w:t>
      </w:r>
      <w:proofErr w:type="gramEnd"/>
      <w:r>
        <w:t xml:space="preserve"> i ke všem ostatním peněžním plněním sjednaným touto smlouvou podle odst. 2.3., je advokátní kance</w:t>
      </w:r>
      <w:r>
        <w:t>lář oprávněna vyúčtovat klientovi i DPH ve výši stanovené platnými právními předpisy.</w:t>
      </w:r>
    </w:p>
    <w:p w:rsidR="00F51571" w:rsidRDefault="0084269D">
      <w:pPr>
        <w:pStyle w:val="Zkladntext1"/>
        <w:numPr>
          <w:ilvl w:val="0"/>
          <w:numId w:val="4"/>
        </w:numPr>
        <w:shd w:val="clear" w:color="auto" w:fill="auto"/>
        <w:tabs>
          <w:tab w:val="left" w:pos="563"/>
        </w:tabs>
        <w:spacing w:after="40"/>
        <w:ind w:left="560" w:hanging="560"/>
        <w:jc w:val="both"/>
      </w:pPr>
      <w:r>
        <w:t xml:space="preserve">Advokátní kancelář se zavazuje provádět měsíční vyúčtování sjednané odměny podle odstavce </w:t>
      </w:r>
      <w:proofErr w:type="gramStart"/>
      <w:r>
        <w:t>2.1</w:t>
      </w:r>
      <w:proofErr w:type="gramEnd"/>
      <w:r>
        <w:t>. a 2.2.a to včetně vyúčtování případných dalších nákladů a/nebo výdajů podle</w:t>
      </w:r>
      <w:r>
        <w:t xml:space="preserve"> odst. 2.3., v rámci kterého předkládá klientovi fakturu spolu s věcnou a časovou specifikací právních služeb/právní pomoci poskytnutých advokátní kanceláří klientovi za předcházející kalendářní měsíc. Splatnost sjednané odměny, jakož i všech případných da</w:t>
      </w:r>
      <w:r>
        <w:t xml:space="preserve">lších nákladů a/nebo výdajů a/nebo jiných peněžitých plnění, je </w:t>
      </w:r>
      <w:r>
        <w:rPr>
          <w:b/>
          <w:bCs/>
        </w:rPr>
        <w:t xml:space="preserve">15 </w:t>
      </w:r>
      <w:r>
        <w:t xml:space="preserve">(slovy: patnáct) </w:t>
      </w:r>
      <w:r>
        <w:rPr>
          <w:b/>
          <w:bCs/>
        </w:rPr>
        <w:t xml:space="preserve">kalendářních dnů </w:t>
      </w:r>
      <w:r>
        <w:t>ode dne vystavení faktury advokátní</w:t>
      </w:r>
    </w:p>
    <w:p w:rsidR="00F51571" w:rsidRDefault="0084269D">
      <w:pPr>
        <w:jc w:val="right"/>
        <w:rPr>
          <w:sz w:val="2"/>
          <w:szCs w:val="2"/>
        </w:rPr>
      </w:pPr>
      <w:r>
        <w:br w:type="page"/>
      </w:r>
    </w:p>
    <w:p w:rsidR="00F51571" w:rsidRDefault="0084269D">
      <w:pPr>
        <w:pStyle w:val="Zkladntext1"/>
        <w:shd w:val="clear" w:color="auto" w:fill="auto"/>
        <w:spacing w:after="220"/>
        <w:ind w:left="580"/>
        <w:jc w:val="both"/>
      </w:pPr>
      <w:r>
        <w:lastRenderedPageBreak/>
        <w:t xml:space="preserve">kanceláří, a to </w:t>
      </w:r>
      <w:r>
        <w:rPr>
          <w:b/>
          <w:bCs/>
        </w:rPr>
        <w:t xml:space="preserve">na její bankovní účet č. </w:t>
      </w:r>
      <w:r w:rsidR="004A31EC">
        <w:rPr>
          <w:b/>
          <w:bCs/>
        </w:rPr>
        <w:t>XXXXXXXXXXXXXXXXXX</w:t>
      </w:r>
      <w:r>
        <w:rPr>
          <w:b/>
          <w:bCs/>
        </w:rPr>
        <w:t xml:space="preserve"> </w:t>
      </w:r>
      <w:r>
        <w:t xml:space="preserve">vedený u </w:t>
      </w:r>
      <w:r w:rsidR="004A31EC">
        <w:t>XXXXXXXXXXXXXXXXXX.</w:t>
      </w:r>
      <w:r>
        <w:rPr>
          <w:b/>
          <w:bCs/>
        </w:rPr>
        <w:t xml:space="preserve"> </w:t>
      </w:r>
      <w:r>
        <w:t>Faktura musí splňovat náležitost</w:t>
      </w:r>
      <w:r>
        <w:t>i daňového dokladu.</w:t>
      </w:r>
    </w:p>
    <w:p w:rsidR="00F51571" w:rsidRDefault="0084269D">
      <w:pPr>
        <w:pStyle w:val="Zkladntext1"/>
        <w:shd w:val="clear" w:color="auto" w:fill="auto"/>
        <w:spacing w:after="0"/>
        <w:jc w:val="center"/>
      </w:pPr>
      <w:r>
        <w:rPr>
          <w:b/>
          <w:bCs/>
        </w:rPr>
        <w:t>Článek III.</w:t>
      </w:r>
    </w:p>
    <w:p w:rsidR="00F51571" w:rsidRDefault="0084269D">
      <w:pPr>
        <w:pStyle w:val="Nadpis30"/>
        <w:keepNext/>
        <w:keepLines/>
        <w:shd w:val="clear" w:color="auto" w:fill="auto"/>
        <w:jc w:val="center"/>
      </w:pPr>
      <w:bookmarkStart w:id="12" w:name="bookmark12"/>
      <w:bookmarkStart w:id="13" w:name="bookmark13"/>
      <w:r>
        <w:t>Závěrečná ujednání</w:t>
      </w:r>
      <w:bookmarkEnd w:id="12"/>
      <w:bookmarkEnd w:id="13"/>
    </w:p>
    <w:p w:rsidR="00F51571" w:rsidRDefault="0084269D">
      <w:pPr>
        <w:pStyle w:val="Zkladntext1"/>
        <w:numPr>
          <w:ilvl w:val="0"/>
          <w:numId w:val="5"/>
        </w:numPr>
        <w:shd w:val="clear" w:color="auto" w:fill="auto"/>
        <w:tabs>
          <w:tab w:val="left" w:pos="559"/>
        </w:tabs>
        <w:jc w:val="both"/>
      </w:pPr>
      <w:r>
        <w:t>Tato smlouva se uzavírá na dobu určitou do 31. prosince 2019.</w:t>
      </w:r>
    </w:p>
    <w:p w:rsidR="00F51571" w:rsidRDefault="0084269D">
      <w:pPr>
        <w:pStyle w:val="Zkladntext1"/>
        <w:numPr>
          <w:ilvl w:val="0"/>
          <w:numId w:val="5"/>
        </w:numPr>
        <w:shd w:val="clear" w:color="auto" w:fill="auto"/>
        <w:tabs>
          <w:tab w:val="left" w:pos="559"/>
        </w:tabs>
        <w:ind w:left="580" w:hanging="580"/>
        <w:jc w:val="both"/>
      </w:pPr>
      <w:r>
        <w:t>Tato smlouva nabývá platnosti dnem jejího podpisu smluvními stranami a obligačně právní účinnosti dnem jejího uveřejnění v registru smluv podle</w:t>
      </w:r>
      <w:r>
        <w:t xml:space="preserve"> zákona č. 340/2015 Sb., o zvláštních podmínkách účinnosti některých smluv, uveřejňování těchto smluv a o registru smluv (zákon o registru smluv), ve znění pozdějších předpisů. Účastníci této smlouvy se výslovně dohodli na tom, že pokud advokátní kancelář </w:t>
      </w:r>
      <w:r>
        <w:t>poskytla klientovi v neodkladných věcech na základě výslovného pokynu (dispozice) klienta právní služby/právní pomoc s předmětem příkazu v období od 1. ledna 2019 ke dni uzavření této smlouvy, platí, že jde o právní služby/právní pomoc poskytnuté advokátní</w:t>
      </w:r>
      <w:r>
        <w:t xml:space="preserve"> kanceláří klientovi podle této smlouvy.</w:t>
      </w:r>
    </w:p>
    <w:p w:rsidR="00F51571" w:rsidRDefault="0084269D">
      <w:pPr>
        <w:pStyle w:val="Zkladntext1"/>
        <w:numPr>
          <w:ilvl w:val="0"/>
          <w:numId w:val="5"/>
        </w:numPr>
        <w:shd w:val="clear" w:color="auto" w:fill="auto"/>
        <w:tabs>
          <w:tab w:val="left" w:pos="559"/>
        </w:tabs>
        <w:ind w:left="580" w:hanging="580"/>
        <w:jc w:val="both"/>
      </w:pPr>
      <w:r>
        <w:t xml:space="preserve">Klient je oprávněn tuto smlouvu vypovědět bez uvedení důvodu, je však povinen uhradit advokátní kanceláři bez zbytečného odkladu sjednanou odměnu za do té doby poskytnuté právní služby/právní pomoc, včetně hotových </w:t>
      </w:r>
      <w:r>
        <w:t xml:space="preserve">výdajů a ostatních nákladů podle odstavců </w:t>
      </w:r>
      <w:proofErr w:type="gramStart"/>
      <w:r>
        <w:t>2.2. a 2.3</w:t>
      </w:r>
      <w:proofErr w:type="gramEnd"/>
      <w:r>
        <w:t>.</w:t>
      </w:r>
    </w:p>
    <w:p w:rsidR="00F51571" w:rsidRDefault="0084269D">
      <w:pPr>
        <w:pStyle w:val="Zkladntext1"/>
        <w:numPr>
          <w:ilvl w:val="0"/>
          <w:numId w:val="5"/>
        </w:numPr>
        <w:shd w:val="clear" w:color="auto" w:fill="auto"/>
        <w:tabs>
          <w:tab w:val="left" w:pos="559"/>
        </w:tabs>
        <w:ind w:left="580" w:hanging="580"/>
        <w:jc w:val="both"/>
      </w:pPr>
      <w:r>
        <w:t>Advokátní kancelář je oprávněna tuto smlouvu vypovědět jen tehdy, dojde-li k narušení důvěry mezi ní a klientem, neposkytuje-li klient potřebnou součinnost, anebo je-li klient v prodlení s úhradou faktu</w:t>
      </w:r>
      <w:r>
        <w:t>ry za právní služby po dobu delší než 14 kalendářních dnů.</w:t>
      </w:r>
    </w:p>
    <w:p w:rsidR="00F51571" w:rsidRDefault="0084269D">
      <w:pPr>
        <w:pStyle w:val="Zkladntext1"/>
        <w:numPr>
          <w:ilvl w:val="0"/>
          <w:numId w:val="5"/>
        </w:numPr>
        <w:shd w:val="clear" w:color="auto" w:fill="auto"/>
        <w:tabs>
          <w:tab w:val="left" w:pos="559"/>
        </w:tabs>
        <w:ind w:left="580" w:hanging="580"/>
        <w:jc w:val="both"/>
      </w:pPr>
      <w:r>
        <w:t>Výpověď smlouvy musí být doručena druhému účastníkovi této smlouvy a touto právní skutečností nastávají i její účinky. Advokátní kancelář je však povinna po dobu 15 dnů ode dne zániku účinnosti tét</w:t>
      </w:r>
      <w:r>
        <w:t>o smlouvy učinit všechny neodkladné úkony tak, aby klient neutrpěl na svých právech nebo oprávněných zájmech újmu. To neplatí, pokud klient advokátní kanceláři sdělí, že na splnění této povinnosti netrvá, či pokud klient učiní jiná opatření, aby takovou új</w:t>
      </w:r>
      <w:r>
        <w:t>mu neutrpěl.</w:t>
      </w:r>
    </w:p>
    <w:p w:rsidR="00F51571" w:rsidRDefault="0084269D">
      <w:pPr>
        <w:pStyle w:val="Zkladntext1"/>
        <w:numPr>
          <w:ilvl w:val="0"/>
          <w:numId w:val="5"/>
        </w:numPr>
        <w:shd w:val="clear" w:color="auto" w:fill="auto"/>
        <w:tabs>
          <w:tab w:val="left" w:pos="559"/>
        </w:tabs>
        <w:ind w:left="580" w:hanging="580"/>
        <w:jc w:val="both"/>
      </w:pPr>
      <w:r>
        <w:t>Právní vztahy touto smlouvou neupravené se řídí příslušnými obecně závaznými právními předpisy, a to zejména ustanovením § 2430 až 2444 zák. č. 89/2012 Sb., občanský zákoník, v platném znění, o příkazní smlouvě, dále zák. č. 85/1996 Sb., o adv</w:t>
      </w:r>
      <w:r>
        <w:t>okacii, ve znění pozdějších předpisů a dále vyhláškou Ministerstva spravedlnosti ČR č. 177/1996 Sb., ve znění pozdějších předpisů (advokátní tarif).</w:t>
      </w:r>
    </w:p>
    <w:p w:rsidR="00F51571" w:rsidRDefault="0084269D">
      <w:pPr>
        <w:pStyle w:val="Zkladntext1"/>
        <w:numPr>
          <w:ilvl w:val="0"/>
          <w:numId w:val="5"/>
        </w:numPr>
        <w:shd w:val="clear" w:color="auto" w:fill="auto"/>
        <w:tabs>
          <w:tab w:val="left" w:pos="559"/>
        </w:tabs>
        <w:ind w:left="580" w:hanging="580"/>
        <w:jc w:val="both"/>
      </w:pPr>
      <w:r>
        <w:t>Tuto smlouvu lze měnit nebo doplňovat pouze písemnými chronologicky číslovanými dodatky podepsanými oběma ú</w:t>
      </w:r>
      <w:r>
        <w:t>častníky této smlouvy.</w:t>
      </w:r>
    </w:p>
    <w:p w:rsidR="00F51571" w:rsidRDefault="0084269D">
      <w:pPr>
        <w:pStyle w:val="Zkladntext1"/>
        <w:numPr>
          <w:ilvl w:val="0"/>
          <w:numId w:val="5"/>
        </w:numPr>
        <w:shd w:val="clear" w:color="auto" w:fill="auto"/>
        <w:tabs>
          <w:tab w:val="left" w:pos="559"/>
        </w:tabs>
        <w:ind w:left="580" w:hanging="580"/>
        <w:jc w:val="both"/>
      </w:pPr>
      <w:r>
        <w:t xml:space="preserve">Účastníci prohlašují, že si tuto smlouvu řádně přečetli, rozumí zcela jejímu obsahu a veškerým závazkům ze smlouvy vyplývajícím a uzavírají ji na základě své pravé vůle a nikoli v tísni za nápadně nevýhodných podmínek a ani jim není </w:t>
      </w:r>
      <w:r>
        <w:t>známa jakákoli skutečnost, která by mohla vést k neplatnosti či neúčinnosti této smlouvy.</w:t>
      </w:r>
    </w:p>
    <w:p w:rsidR="00F51571" w:rsidRDefault="0084269D">
      <w:pPr>
        <w:pStyle w:val="Zkladntext1"/>
        <w:numPr>
          <w:ilvl w:val="0"/>
          <w:numId w:val="5"/>
        </w:numPr>
        <w:shd w:val="clear" w:color="auto" w:fill="auto"/>
        <w:tabs>
          <w:tab w:val="left" w:pos="559"/>
        </w:tabs>
        <w:spacing w:after="480"/>
        <w:ind w:left="580" w:hanging="580"/>
        <w:jc w:val="both"/>
      </w:pPr>
      <w:r>
        <w:t>Tato smlouva je vyhotovena ve dvou stejnopisech s platností originálu, z nichž každý z účastníků obdrží po jednom vyhotovení.</w:t>
      </w:r>
    </w:p>
    <w:p w:rsidR="00F51571" w:rsidRDefault="0084269D">
      <w:pPr>
        <w:pStyle w:val="Nadpis30"/>
        <w:keepNext/>
        <w:keepLines/>
        <w:shd w:val="clear" w:color="auto" w:fill="auto"/>
        <w:spacing w:after="220"/>
        <w:jc w:val="both"/>
      </w:pPr>
      <w:r>
        <w:rPr>
          <w:noProof/>
          <w:lang w:bidi="ar-SA"/>
        </w:rPr>
        <mc:AlternateContent>
          <mc:Choice Requires="wps">
            <w:drawing>
              <wp:anchor distT="0" distB="302260" distL="114300" distR="508000" simplePos="0" relativeHeight="125829378" behindDoc="0" locked="0" layoutInCell="1" allowOverlap="1">
                <wp:simplePos x="0" y="0"/>
                <wp:positionH relativeFrom="page">
                  <wp:posOffset>4345305</wp:posOffset>
                </wp:positionH>
                <wp:positionV relativeFrom="paragraph">
                  <wp:posOffset>12700</wp:posOffset>
                </wp:positionV>
                <wp:extent cx="1300480" cy="180340"/>
                <wp:effectExtent l="0" t="0" r="0" b="0"/>
                <wp:wrapSquare wrapText="left"/>
                <wp:docPr id="2" name="Shape 2"/>
                <wp:cNvGraphicFramePr/>
                <a:graphic xmlns:a="http://schemas.openxmlformats.org/drawingml/2006/main">
                  <a:graphicData uri="http://schemas.microsoft.com/office/word/2010/wordprocessingShape">
                    <wps:wsp>
                      <wps:cNvSpPr txBox="1"/>
                      <wps:spPr>
                        <a:xfrm>
                          <a:off x="0" y="0"/>
                          <a:ext cx="1300480" cy="180340"/>
                        </a:xfrm>
                        <a:prstGeom prst="rect">
                          <a:avLst/>
                        </a:prstGeom>
                        <a:noFill/>
                      </wps:spPr>
                      <wps:txbx>
                        <w:txbxContent>
                          <w:p w:rsidR="00F51571" w:rsidRDefault="0084269D">
                            <w:pPr>
                              <w:pStyle w:val="Zkladntext1"/>
                              <w:shd w:val="clear" w:color="auto" w:fill="auto"/>
                              <w:spacing w:after="0"/>
                              <w:jc w:val="right"/>
                            </w:pPr>
                            <w:r>
                              <w:rPr>
                                <w:b/>
                                <w:bCs/>
                              </w:rPr>
                              <w:t>Advokátní kancelář:</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342.14999999999998pt;margin-top:1.pt;width:102.40000000000001pt;height:14.199999999999999pt;z-index:-125829375;mso-wrap-distance-left:9.pt;mso-wrap-distance-right:40.pt;mso-wrap-distance-bottom:23.8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Advokátní kancelář:</w:t>
                      </w:r>
                    </w:p>
                  </w:txbxContent>
                </v:textbox>
                <w10:wrap type="square" side="left" anchorx="page"/>
              </v:shape>
            </w:pict>
          </mc:Fallback>
        </mc:AlternateContent>
      </w:r>
      <w:bookmarkStart w:id="14" w:name="bookmark14"/>
      <w:bookmarkStart w:id="15" w:name="bookmark15"/>
      <w:r>
        <w:t>K</w:t>
      </w:r>
      <w:r>
        <w:t>lient:</w:t>
      </w:r>
      <w:bookmarkEnd w:id="14"/>
      <w:bookmarkEnd w:id="15"/>
    </w:p>
    <w:p w:rsidR="00F51571" w:rsidRDefault="004A31EC">
      <w:pPr>
        <w:pStyle w:val="Zkladntext1"/>
        <w:shd w:val="clear" w:color="auto" w:fill="auto"/>
        <w:spacing w:after="0"/>
        <w:jc w:val="both"/>
        <w:sectPr w:rsidR="00F51571">
          <w:footerReference w:type="default" r:id="rId7"/>
          <w:footerReference w:type="first" r:id="rId8"/>
          <w:pgSz w:w="11900" w:h="16840"/>
          <w:pgMar w:top="934" w:right="1299" w:bottom="752" w:left="1169" w:header="0" w:footer="3" w:gutter="0"/>
          <w:pgNumType w:start="1"/>
          <w:cols w:space="720"/>
          <w:noEndnote/>
          <w:titlePg/>
          <w:docGrid w:linePitch="360"/>
        </w:sectPr>
      </w:pPr>
      <w:r>
        <w:rPr>
          <w:noProof/>
          <w:lang w:bidi="ar-SA"/>
        </w:rPr>
        <mc:AlternateContent>
          <mc:Choice Requires="wps">
            <w:drawing>
              <wp:anchor distT="0" distB="0" distL="0" distR="0" simplePos="0" relativeHeight="251658240" behindDoc="0" locked="0" layoutInCell="1" allowOverlap="1">
                <wp:simplePos x="0" y="0"/>
                <wp:positionH relativeFrom="page">
                  <wp:posOffset>4343400</wp:posOffset>
                </wp:positionH>
                <wp:positionV relativeFrom="paragraph">
                  <wp:posOffset>18415</wp:posOffset>
                </wp:positionV>
                <wp:extent cx="1905000" cy="361950"/>
                <wp:effectExtent l="0" t="0" r="0" b="0"/>
                <wp:wrapNone/>
                <wp:docPr id="6" name="Shape 6"/>
                <wp:cNvGraphicFramePr/>
                <a:graphic xmlns:a="http://schemas.openxmlformats.org/drawingml/2006/main">
                  <a:graphicData uri="http://schemas.microsoft.com/office/word/2010/wordprocessingShape">
                    <wps:wsp>
                      <wps:cNvSpPr txBox="1"/>
                      <wps:spPr>
                        <a:xfrm>
                          <a:off x="0" y="0"/>
                          <a:ext cx="1905000" cy="361950"/>
                        </a:xfrm>
                        <a:prstGeom prst="rect">
                          <a:avLst/>
                        </a:prstGeom>
                        <a:noFill/>
                      </wps:spPr>
                      <wps:txbx>
                        <w:txbxContent>
                          <w:p w:rsidR="00F51571" w:rsidRDefault="0084269D">
                            <w:pPr>
                              <w:pStyle w:val="Titulekobrzku0"/>
                              <w:shd w:val="clear" w:color="auto" w:fill="auto"/>
                            </w:pPr>
                            <w:r>
                              <w:t>V Praze dne</w:t>
                            </w:r>
                            <w:r w:rsidR="004A31EC">
                              <w:t xml:space="preserve">   21. 3. 2019</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6" o:spid="_x0000_s1027" type="#_x0000_t202" style="position:absolute;left:0;text-align:left;margin-left:342pt;margin-top:1.45pt;width:150pt;height:2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" filled="f" stroked="f">
                <v:textbox inset="0,0,0,0">
                  <w:txbxContent>
                    <w:p w:rsidR="00F51571" w:rsidRDefault="0084269D">
                      <w:pPr>
                        <w:pStyle w:val="Titulekobrzku0"/>
                        <w:shd w:val="clear" w:color="auto" w:fill="auto"/>
                      </w:pPr>
                      <w:r>
                        <w:t>V Praze dne</w:t>
                      </w:r>
                      <w:r w:rsidR="004A31EC">
                        <w:t xml:space="preserve">   21. 3. 2019</w:t>
                      </w:r>
                    </w:p>
                  </w:txbxContent>
                </v:textbox>
                <w10:wrap anchorx="page"/>
              </v:shape>
            </w:pict>
          </mc:Fallback>
        </mc:AlternateContent>
      </w:r>
      <w:r w:rsidR="0084269D">
        <w:t>V Praze dne</w:t>
      </w:r>
      <w:r>
        <w:t xml:space="preserve">  21. 3. 2019  </w:t>
      </w:r>
    </w:p>
    <w:p w:rsidR="00F51571" w:rsidRDefault="00F51571">
      <w:pPr>
        <w:spacing w:line="199" w:lineRule="exact"/>
        <w:rPr>
          <w:sz w:val="16"/>
          <w:szCs w:val="16"/>
        </w:rPr>
      </w:pPr>
    </w:p>
    <w:p w:rsidR="00F51571" w:rsidRDefault="00F51571">
      <w:pPr>
        <w:spacing w:line="1" w:lineRule="exact"/>
        <w:sectPr w:rsidR="00F51571">
          <w:type w:val="continuous"/>
          <w:pgSz w:w="11900" w:h="16840"/>
          <w:pgMar w:top="1094" w:right="0" w:bottom="850" w:left="0" w:header="0" w:footer="3" w:gutter="0"/>
          <w:cols w:space="720"/>
          <w:noEndnote/>
          <w:docGrid w:linePitch="360"/>
        </w:sectPr>
      </w:pPr>
    </w:p>
    <w:p w:rsidR="004A31EC" w:rsidRDefault="0084269D">
      <w:pPr>
        <w:pStyle w:val="Titulekobrzku0"/>
        <w:framePr w:w="3060" w:h="1019" w:wrap="none" w:vAnchor="text" w:hAnchor="page" w:x="6829" w:y="928"/>
        <w:shd w:val="clear" w:color="auto" w:fill="auto"/>
      </w:pPr>
      <w:r>
        <w:t xml:space="preserve">Za </w:t>
      </w:r>
      <w:proofErr w:type="gramStart"/>
      <w:r>
        <w:t>Koutník</w:t>
      </w:r>
      <w:proofErr w:type="gramEnd"/>
      <w:r>
        <w:t xml:space="preserve"> &amp; Partner, </w:t>
      </w:r>
    </w:p>
    <w:p w:rsidR="00F51571" w:rsidRDefault="0084269D">
      <w:pPr>
        <w:pStyle w:val="Titulekobrzku0"/>
        <w:framePr w:w="3060" w:h="1019" w:wrap="none" w:vAnchor="text" w:hAnchor="page" w:x="6829" w:y="928"/>
        <w:shd w:val="clear" w:color="auto" w:fill="auto"/>
      </w:pPr>
      <w:r>
        <w:t>advokátní kancelář, s.r.o.</w:t>
      </w:r>
    </w:p>
    <w:p w:rsidR="00F51571" w:rsidRDefault="004A31EC">
      <w:pPr>
        <w:pStyle w:val="Titulekobrzku0"/>
        <w:framePr w:w="3060" w:h="1019" w:wrap="none" w:vAnchor="text" w:hAnchor="page" w:x="6829" w:y="928"/>
        <w:shd w:val="clear" w:color="auto" w:fill="auto"/>
      </w:pPr>
      <w:r>
        <w:t>XXXXXXXXXXXXXXXXXXXX</w:t>
      </w:r>
      <w:r w:rsidR="0084269D">
        <w:t xml:space="preserve"> jednatel</w:t>
      </w:r>
    </w:p>
    <w:p w:rsidR="00F51571" w:rsidRDefault="00F51571">
      <w:pPr>
        <w:spacing w:line="360" w:lineRule="exact"/>
      </w:pPr>
    </w:p>
    <w:p w:rsidR="00F51571" w:rsidRDefault="00F51571">
      <w:pPr>
        <w:spacing w:line="360" w:lineRule="exact"/>
      </w:pPr>
      <w:bookmarkStart w:id="16" w:name="_GoBack"/>
      <w:bookmarkEnd w:id="16"/>
    </w:p>
    <w:p w:rsidR="004A31EC" w:rsidRDefault="004A31EC" w:rsidP="004A31EC">
      <w:pPr>
        <w:pStyle w:val="Titulekobrzku0"/>
        <w:framePr w:w="3601" w:h="721" w:wrap="none" w:vAnchor="text" w:hAnchor="page" w:x="1156" w:y="220"/>
        <w:shd w:val="clear" w:color="auto" w:fill="auto"/>
        <w:rPr>
          <w:lang w:val="en-US" w:eastAsia="en-US" w:bidi="en-US"/>
        </w:rPr>
      </w:pPr>
      <w:r>
        <w:rPr>
          <w:lang w:val="en-US" w:eastAsia="en-US" w:bidi="en-US"/>
        </w:rPr>
        <w:t xml:space="preserve">Za </w:t>
      </w:r>
      <w:proofErr w:type="spellStart"/>
      <w:r>
        <w:rPr>
          <w:lang w:val="en-US" w:eastAsia="en-US" w:bidi="en-US"/>
        </w:rPr>
        <w:t>Národní</w:t>
      </w:r>
      <w:proofErr w:type="spellEnd"/>
      <w:r>
        <w:rPr>
          <w:lang w:val="en-US" w:eastAsia="en-US" w:bidi="en-US"/>
        </w:rPr>
        <w:t xml:space="preserve"> </w:t>
      </w:r>
      <w:proofErr w:type="spellStart"/>
      <w:r>
        <w:rPr>
          <w:lang w:val="en-US" w:eastAsia="en-US" w:bidi="en-US"/>
        </w:rPr>
        <w:t>galerii</w:t>
      </w:r>
      <w:proofErr w:type="spellEnd"/>
      <w:r>
        <w:rPr>
          <w:lang w:val="en-US" w:eastAsia="en-US" w:bidi="en-US"/>
        </w:rPr>
        <w:t xml:space="preserve"> v </w:t>
      </w:r>
      <w:proofErr w:type="spellStart"/>
      <w:r>
        <w:rPr>
          <w:lang w:val="en-US" w:eastAsia="en-US" w:bidi="en-US"/>
        </w:rPr>
        <w:t>Praze</w:t>
      </w:r>
      <w:proofErr w:type="spellEnd"/>
    </w:p>
    <w:p w:rsidR="004A31EC" w:rsidRDefault="004A31EC" w:rsidP="004A31EC">
      <w:pPr>
        <w:pStyle w:val="Titulekobrzku0"/>
        <w:framePr w:w="3601" w:h="721" w:wrap="none" w:vAnchor="text" w:hAnchor="page" w:x="1156" w:y="220"/>
        <w:shd w:val="clear" w:color="auto" w:fill="auto"/>
      </w:pPr>
      <w:r>
        <w:rPr>
          <w:lang w:val="en-US" w:eastAsia="en-US" w:bidi="en-US"/>
        </w:rPr>
        <w:t xml:space="preserve">doc. </w:t>
      </w:r>
      <w:r>
        <w:t xml:space="preserve">Dr. </w:t>
      </w:r>
      <w:proofErr w:type="gramStart"/>
      <w:r>
        <w:t>et</w:t>
      </w:r>
      <w:proofErr w:type="gramEnd"/>
      <w:r>
        <w:t xml:space="preserve"> Ing. Jiří Fajt, Ph.D. </w:t>
      </w:r>
    </w:p>
    <w:p w:rsidR="004A31EC" w:rsidRDefault="004A31EC" w:rsidP="004A31EC">
      <w:pPr>
        <w:pStyle w:val="Titulekobrzku0"/>
        <w:framePr w:w="3601" w:h="721" w:wrap="none" w:vAnchor="text" w:hAnchor="page" w:x="1156" w:y="220"/>
        <w:shd w:val="clear" w:color="auto" w:fill="auto"/>
      </w:pPr>
      <w:r>
        <w:t>generální ředitel Národní galerie v Praze</w:t>
      </w:r>
    </w:p>
    <w:p w:rsidR="00F51571" w:rsidRDefault="00F51571">
      <w:pPr>
        <w:spacing w:line="360" w:lineRule="exact"/>
      </w:pPr>
    </w:p>
    <w:p w:rsidR="00F51571" w:rsidRDefault="00F51571">
      <w:pPr>
        <w:spacing w:line="360" w:lineRule="exact"/>
      </w:pPr>
    </w:p>
    <w:p w:rsidR="00F51571" w:rsidRDefault="00F51571">
      <w:pPr>
        <w:spacing w:after="485" w:line="1" w:lineRule="exact"/>
      </w:pPr>
    </w:p>
    <w:p w:rsidR="00F51571" w:rsidRDefault="00F51571">
      <w:pPr>
        <w:spacing w:line="1" w:lineRule="exact"/>
      </w:pPr>
    </w:p>
    <w:sectPr w:rsidR="00F51571">
      <w:type w:val="continuous"/>
      <w:pgSz w:w="11900" w:h="16840"/>
      <w:pgMar w:top="1094" w:right="1303" w:bottom="850" w:left="11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9D" w:rsidRDefault="0084269D">
      <w:r>
        <w:separator/>
      </w:r>
    </w:p>
  </w:endnote>
  <w:endnote w:type="continuationSeparator" w:id="0">
    <w:p w:rsidR="0084269D" w:rsidRDefault="0084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71" w:rsidRDefault="0084269D">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6638290</wp:posOffset>
              </wp:positionH>
              <wp:positionV relativeFrom="page">
                <wp:posOffset>10279380</wp:posOffset>
              </wp:positionV>
              <wp:extent cx="59690" cy="93980"/>
              <wp:effectExtent l="0" t="0" r="0" b="0"/>
              <wp:wrapNone/>
              <wp:docPr id="8" name="Shape 8"/>
              <wp:cNvGraphicFramePr/>
              <a:graphic xmlns:a="http://schemas.openxmlformats.org/drawingml/2006/main">
                <a:graphicData uri="http://schemas.microsoft.com/office/word/2010/wordprocessingShape">
                  <wps:wsp>
                    <wps:cNvSpPr txBox="1"/>
                    <wps:spPr>
                      <a:xfrm>
                        <a:off x="0" y="0"/>
                        <a:ext cx="59690" cy="93980"/>
                      </a:xfrm>
                      <a:prstGeom prst="rect">
                        <a:avLst/>
                      </a:prstGeom>
                      <a:noFill/>
                    </wps:spPr>
                    <wps:txbx>
                      <w:txbxContent>
                        <w:p w:rsidR="00F51571" w:rsidRDefault="0084269D">
                          <w:pPr>
                            <w:pStyle w:val="Zhlavnebozpat20"/>
                            <w:shd w:val="clear" w:color="auto" w:fill="auto"/>
                          </w:pPr>
                          <w:r>
                            <w:rPr>
                              <w:rFonts w:ascii="Tahoma" w:eastAsia="Tahoma" w:hAnsi="Tahoma" w:cs="Tahoma"/>
                            </w:rPr>
                            <w:fldChar w:fldCharType="begin"/>
                          </w:r>
                          <w:r>
                            <w:rPr>
                              <w:rFonts w:ascii="Tahoma" w:eastAsia="Tahoma" w:hAnsi="Tahoma" w:cs="Tahoma"/>
                            </w:rPr>
                            <w:instrText xml:space="preserve"> PAGE \* MERGEFORMAT </w:instrText>
                          </w:r>
                          <w:r>
                            <w:rPr>
                              <w:rFonts w:ascii="Tahoma" w:eastAsia="Tahoma" w:hAnsi="Tahoma" w:cs="Tahoma"/>
                            </w:rPr>
                            <w:fldChar w:fldCharType="separate"/>
                          </w:r>
                          <w:r w:rsidR="004A31EC">
                            <w:rPr>
                              <w:rFonts w:ascii="Tahoma" w:eastAsia="Tahoma" w:hAnsi="Tahoma" w:cs="Tahoma"/>
                              <w:noProof/>
                            </w:rPr>
                            <w:t>3</w:t>
                          </w:r>
                          <w:r>
                            <w:rPr>
                              <w:rFonts w:ascii="Tahoma" w:eastAsia="Tahoma" w:hAnsi="Tahoma" w:cs="Tahom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8" type="#_x0000_t202" style="position:absolute;margin-left:522.7pt;margin-top:809.4pt;width:4.7pt;height:7.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" filled="f" stroked="f">
              <v:textbox style="mso-fit-shape-to-text:t" inset="0,0,0,0">
                <w:txbxContent>
                  <w:p w:rsidR="00F51571" w:rsidRDefault="0084269D">
                    <w:pPr>
                      <w:pStyle w:val="Zhlavnebozpat20"/>
                      <w:shd w:val="clear" w:color="auto" w:fill="auto"/>
                    </w:pPr>
                    <w:r>
                      <w:rPr>
                        <w:rFonts w:ascii="Tahoma" w:eastAsia="Tahoma" w:hAnsi="Tahoma" w:cs="Tahoma"/>
                      </w:rPr>
                      <w:fldChar w:fldCharType="begin"/>
                    </w:r>
                    <w:r>
                      <w:rPr>
                        <w:rFonts w:ascii="Tahoma" w:eastAsia="Tahoma" w:hAnsi="Tahoma" w:cs="Tahoma"/>
                      </w:rPr>
                      <w:instrText xml:space="preserve"> PAGE \* MERGEFORMAT </w:instrText>
                    </w:r>
                    <w:r>
                      <w:rPr>
                        <w:rFonts w:ascii="Tahoma" w:eastAsia="Tahoma" w:hAnsi="Tahoma" w:cs="Tahoma"/>
                      </w:rPr>
                      <w:fldChar w:fldCharType="separate"/>
                    </w:r>
                    <w:r w:rsidR="004A31EC">
                      <w:rPr>
                        <w:rFonts w:ascii="Tahoma" w:eastAsia="Tahoma" w:hAnsi="Tahoma" w:cs="Tahoma"/>
                        <w:noProof/>
                      </w:rPr>
                      <w:t>3</w:t>
                    </w:r>
                    <w:r>
                      <w:rPr>
                        <w:rFonts w:ascii="Tahoma" w:eastAsia="Tahoma" w:hAnsi="Tahoma" w:cs="Tahom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71" w:rsidRDefault="00F5157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9D" w:rsidRDefault="0084269D"/>
  </w:footnote>
  <w:footnote w:type="continuationSeparator" w:id="0">
    <w:p w:rsidR="0084269D" w:rsidRDefault="0084269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2379"/>
    <w:multiLevelType w:val="multilevel"/>
    <w:tmpl w:val="2304B28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D8251F"/>
    <w:multiLevelType w:val="multilevel"/>
    <w:tmpl w:val="AD621C18"/>
    <w:lvl w:ilvl="0">
      <w:start w:val="1"/>
      <w:numFmt w:val="decimal"/>
      <w:lvlText w:val="1.%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400F5B"/>
    <w:multiLevelType w:val="multilevel"/>
    <w:tmpl w:val="995E36AA"/>
    <w:lvl w:ilvl="0">
      <w:start w:val="1"/>
      <w:numFmt w:val="decimal"/>
      <w:lvlText w:val="2.%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E16A9D"/>
    <w:multiLevelType w:val="multilevel"/>
    <w:tmpl w:val="A45CC9FC"/>
    <w:lvl w:ilvl="0">
      <w:start w:val="1"/>
      <w:numFmt w:val="decimal"/>
      <w:lvlText w:val="3.%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0861A9"/>
    <w:multiLevelType w:val="multilevel"/>
    <w:tmpl w:val="A2F4E7C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71"/>
    <w:rsid w:val="004A31EC"/>
    <w:rsid w:val="0084269D"/>
    <w:rsid w:val="00F515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6C9A"/>
  <w15:docId w15:val="{B4416BF0-073E-4779-968B-1FE0E3C2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20"/>
      <w:szCs w:val="20"/>
      <w:u w:val="none"/>
    </w:rPr>
  </w:style>
  <w:style w:type="character" w:customStyle="1" w:styleId="Nadpis1">
    <w:name w:val="Nadpis #1_"/>
    <w:basedOn w:val="Standardnpsmoodstavce"/>
    <w:link w:val="Nadpis10"/>
    <w:rPr>
      <w:rFonts w:ascii="Tahoma" w:eastAsia="Tahoma" w:hAnsi="Tahoma" w:cs="Tahoma"/>
      <w:b/>
      <w:bCs/>
      <w:i w:val="0"/>
      <w:iCs w:val="0"/>
      <w:smallCaps w:val="0"/>
      <w:strike w:val="0"/>
      <w:sz w:val="28"/>
      <w:szCs w:val="28"/>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20"/>
      <w:szCs w:val="20"/>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00"/>
    </w:pPr>
    <w:rPr>
      <w:rFonts w:ascii="Tahoma" w:eastAsia="Tahoma" w:hAnsi="Tahoma" w:cs="Tahoma"/>
      <w:sz w:val="20"/>
      <w:szCs w:val="20"/>
    </w:rPr>
  </w:style>
  <w:style w:type="paragraph" w:customStyle="1" w:styleId="Titulekobrzku0">
    <w:name w:val="Titulek obrázku"/>
    <w:basedOn w:val="Normln"/>
    <w:link w:val="Titulekobrzku"/>
    <w:pPr>
      <w:shd w:val="clear" w:color="auto" w:fill="FFFFFF"/>
    </w:pPr>
    <w:rPr>
      <w:rFonts w:ascii="Tahoma" w:eastAsia="Tahoma" w:hAnsi="Tahoma" w:cs="Tahoma"/>
      <w:sz w:val="20"/>
      <w:szCs w:val="20"/>
    </w:rPr>
  </w:style>
  <w:style w:type="paragraph" w:customStyle="1" w:styleId="Nadpis10">
    <w:name w:val="Nadpis #1"/>
    <w:basedOn w:val="Normln"/>
    <w:link w:val="Nadpis1"/>
    <w:pPr>
      <w:shd w:val="clear" w:color="auto" w:fill="FFFFFF"/>
      <w:spacing w:after="480"/>
      <w:jc w:val="center"/>
      <w:outlineLvl w:val="0"/>
    </w:pPr>
    <w:rPr>
      <w:rFonts w:ascii="Tahoma" w:eastAsia="Tahoma" w:hAnsi="Tahoma" w:cs="Tahoma"/>
      <w:b/>
      <w:bCs/>
      <w:sz w:val="28"/>
      <w:szCs w:val="28"/>
    </w:rPr>
  </w:style>
  <w:style w:type="paragraph" w:customStyle="1" w:styleId="Nadpis30">
    <w:name w:val="Nadpis #3"/>
    <w:basedOn w:val="Normln"/>
    <w:link w:val="Nadpis3"/>
    <w:pPr>
      <w:shd w:val="clear" w:color="auto" w:fill="FFFFFF"/>
      <w:spacing w:after="100"/>
      <w:outlineLvl w:val="2"/>
    </w:pPr>
    <w:rPr>
      <w:rFonts w:ascii="Tahoma" w:eastAsia="Tahoma" w:hAnsi="Tahoma" w:cs="Tahoma"/>
      <w:b/>
      <w:bCs/>
      <w:sz w:val="20"/>
      <w:szCs w:val="20"/>
    </w:rPr>
  </w:style>
  <w:style w:type="paragraph" w:customStyle="1" w:styleId="Nadpis20">
    <w:name w:val="Nadpis #2"/>
    <w:basedOn w:val="Normln"/>
    <w:link w:val="Nadpis2"/>
    <w:pPr>
      <w:shd w:val="clear" w:color="auto" w:fill="FFFFFF"/>
      <w:spacing w:after="260" w:line="218" w:lineRule="auto"/>
      <w:jc w:val="center"/>
      <w:outlineLvl w:val="1"/>
    </w:pPr>
    <w:rPr>
      <w:rFonts w:ascii="Tahoma" w:eastAsia="Tahoma" w:hAnsi="Tahoma" w:cs="Tahoma"/>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1487</Words>
  <Characters>8780</Characters>
  <Application>Microsoft Office Word</Application>
  <DocSecurity>0</DocSecurity>
  <Lines>73</Lines>
  <Paragraphs>20</Paragraphs>
  <ScaleCrop>false</ScaleCrop>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kopirka2.VP-20190328151314</dc:title>
  <dc:subject/>
  <dc:creator/>
  <cp:keywords/>
  <cp:lastModifiedBy>Zdenka Šímová</cp:lastModifiedBy>
  <cp:revision>2</cp:revision>
  <dcterms:created xsi:type="dcterms:W3CDTF">2019-04-02T09:17:00Z</dcterms:created>
  <dcterms:modified xsi:type="dcterms:W3CDTF">2019-04-02T09:27:00Z</dcterms:modified>
</cp:coreProperties>
</file>