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C" w:rsidRDefault="005C13AC" w:rsidP="005C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5064E2" w:rsidRDefault="005C13AC" w:rsidP="0050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>o poskytnutí vyrovnávací platby na záva</w:t>
      </w:r>
      <w:r>
        <w:rPr>
          <w:rFonts w:ascii="Times New Roman" w:hAnsi="Times New Roman" w:cs="Times New Roman"/>
          <w:b/>
          <w:sz w:val="28"/>
          <w:szCs w:val="28"/>
        </w:rPr>
        <w:t>zek veřejné služby na zajištění </w:t>
      </w:r>
      <w:r w:rsidRPr="00EF7F87">
        <w:rPr>
          <w:rFonts w:ascii="Times New Roman" w:hAnsi="Times New Roman" w:cs="Times New Roman"/>
          <w:b/>
          <w:sz w:val="28"/>
          <w:szCs w:val="28"/>
        </w:rPr>
        <w:t>lékařské pohotovostní služby pro rok 201</w:t>
      </w:r>
      <w:r w:rsidR="005064E2">
        <w:rPr>
          <w:rFonts w:ascii="Times New Roman" w:hAnsi="Times New Roman" w:cs="Times New Roman"/>
          <w:b/>
          <w:sz w:val="28"/>
          <w:szCs w:val="28"/>
        </w:rPr>
        <w:t>9</w:t>
      </w:r>
    </w:p>
    <w:p w:rsidR="00203EF2" w:rsidRDefault="005C13AC" w:rsidP="005C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>č</w:t>
      </w:r>
      <w:r w:rsidRPr="00203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EF2">
        <w:rPr>
          <w:rFonts w:ascii="Times New Roman" w:hAnsi="Times New Roman" w:cs="Times New Roman"/>
          <w:b/>
          <w:sz w:val="28"/>
          <w:szCs w:val="28"/>
        </w:rPr>
        <w:t>SO/2019/0091</w:t>
      </w:r>
    </w:p>
    <w:p w:rsidR="005C13AC" w:rsidRPr="005C13AC" w:rsidRDefault="005C13AC" w:rsidP="005C1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3AC">
        <w:rPr>
          <w:rFonts w:ascii="Times New Roman" w:hAnsi="Times New Roman" w:cs="Times New Roman"/>
          <w:sz w:val="24"/>
          <w:szCs w:val="24"/>
        </w:rPr>
        <w:t xml:space="preserve">schválená zastupitelstvem Statutárního města Jablonec nad Nisou dne </w:t>
      </w:r>
      <w:r w:rsidR="00E430D3">
        <w:rPr>
          <w:rFonts w:ascii="Times New Roman" w:hAnsi="Times New Roman" w:cs="Times New Roman"/>
          <w:sz w:val="24"/>
          <w:szCs w:val="24"/>
        </w:rPr>
        <w:t>21. 3. 2019,</w:t>
      </w:r>
    </w:p>
    <w:p w:rsidR="005C13AC" w:rsidRDefault="005C13AC" w:rsidP="0003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AC">
        <w:rPr>
          <w:rFonts w:ascii="Times New Roman" w:hAnsi="Times New Roman" w:cs="Times New Roman"/>
          <w:sz w:val="24"/>
          <w:szCs w:val="24"/>
        </w:rPr>
        <w:t>usnesením  Z</w:t>
      </w:r>
      <w:r w:rsidRPr="00493063">
        <w:rPr>
          <w:rFonts w:ascii="Times New Roman" w:hAnsi="Times New Roman" w:cs="Times New Roman"/>
          <w:sz w:val="24"/>
          <w:szCs w:val="24"/>
        </w:rPr>
        <w:t>M/</w:t>
      </w:r>
      <w:r w:rsidR="00E430D3">
        <w:rPr>
          <w:rFonts w:ascii="Times New Roman" w:hAnsi="Times New Roman" w:cs="Times New Roman"/>
          <w:sz w:val="24"/>
          <w:szCs w:val="24"/>
        </w:rPr>
        <w:t>53/</w:t>
      </w:r>
      <w:r w:rsidR="00493063" w:rsidRPr="00493063">
        <w:rPr>
          <w:rFonts w:ascii="Times New Roman" w:hAnsi="Times New Roman" w:cs="Times New Roman"/>
          <w:sz w:val="24"/>
          <w:szCs w:val="24"/>
        </w:rPr>
        <w:t>2</w:t>
      </w:r>
      <w:r w:rsidRPr="005C13AC">
        <w:rPr>
          <w:rFonts w:ascii="Times New Roman" w:hAnsi="Times New Roman" w:cs="Times New Roman"/>
          <w:sz w:val="24"/>
          <w:szCs w:val="24"/>
        </w:rPr>
        <w:t>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 w:rsidR="00EE5694">
        <w:rPr>
          <w:rFonts w:ascii="Times New Roman" w:hAnsi="Times New Roman" w:cs="Times New Roman"/>
          <w:sz w:val="24"/>
          <w:szCs w:val="24"/>
        </w:rPr>
        <w:t xml:space="preserve">, pod </w:t>
      </w:r>
      <w:proofErr w:type="gramStart"/>
      <w:r w:rsidR="00F61D10">
        <w:rPr>
          <w:rFonts w:ascii="Times New Roman" w:hAnsi="Times New Roman" w:cs="Times New Roman"/>
          <w:sz w:val="24"/>
          <w:szCs w:val="24"/>
        </w:rPr>
        <w:t>bodem</w:t>
      </w:r>
      <w:r w:rsidR="00493063">
        <w:rPr>
          <w:rFonts w:ascii="Times New Roman" w:hAnsi="Times New Roman" w:cs="Times New Roman"/>
          <w:sz w:val="24"/>
          <w:szCs w:val="24"/>
        </w:rPr>
        <w:t xml:space="preserve">  </w:t>
      </w:r>
      <w:r w:rsidR="00E430D3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E430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C13AC" w:rsidRDefault="005C13AC" w:rsidP="005C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F87">
        <w:rPr>
          <w:rFonts w:ascii="Times New Roman" w:hAnsi="Times New Roman" w:cs="Times New Roman"/>
          <w:b/>
          <w:sz w:val="24"/>
          <w:szCs w:val="24"/>
        </w:rPr>
        <w:t>Smluvní stran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5C13AC" w:rsidRDefault="005C13AC" w:rsidP="005C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Jablonec nad Nisou</w:t>
      </w:r>
    </w:p>
    <w:p w:rsidR="005C13AC" w:rsidRDefault="005C13AC" w:rsidP="005C13A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F7F87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             Mírové náměstí 3100/19, 46</w:t>
      </w:r>
      <w:r w:rsidR="005347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7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Jablonec nad Nisou</w:t>
      </w:r>
    </w:p>
    <w:p w:rsidR="005C13AC" w:rsidRDefault="005C13AC" w:rsidP="005C13AC">
      <w:pPr>
        <w:pStyle w:val="Odstavecseseznamem"/>
        <w:spacing w:after="0" w:line="240" w:lineRule="auto"/>
        <w:ind w:left="2410" w:hanging="1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         </w:t>
      </w:r>
      <w:r w:rsidR="005064E2">
        <w:rPr>
          <w:rFonts w:ascii="Times New Roman" w:hAnsi="Times New Roman" w:cs="Times New Roman"/>
          <w:sz w:val="24"/>
          <w:szCs w:val="24"/>
        </w:rPr>
        <w:t>Bc. Milanem Kroupou</w:t>
      </w:r>
      <w:r>
        <w:rPr>
          <w:rFonts w:ascii="Times New Roman" w:hAnsi="Times New Roman" w:cs="Times New Roman"/>
          <w:sz w:val="24"/>
          <w:szCs w:val="24"/>
        </w:rPr>
        <w:t xml:space="preserve">, primátorem a </w:t>
      </w:r>
      <w:r w:rsidR="005064E2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4E2">
        <w:rPr>
          <w:rFonts w:ascii="Times New Roman" w:hAnsi="Times New Roman" w:cs="Times New Roman"/>
          <w:sz w:val="24"/>
          <w:szCs w:val="24"/>
        </w:rPr>
        <w:t>Davidem Mánkem,</w:t>
      </w:r>
      <w:r>
        <w:rPr>
          <w:rFonts w:ascii="Times New Roman" w:hAnsi="Times New Roman" w:cs="Times New Roman"/>
          <w:sz w:val="24"/>
          <w:szCs w:val="24"/>
        </w:rPr>
        <w:t xml:space="preserve"> náměstkem primátora 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00262340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banka, a.s.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121451/0100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AB3C33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198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C13AC" w:rsidRDefault="005C13AC" w:rsidP="005C13AC">
      <w:pPr>
        <w:pStyle w:val="Odstavecseseznamem"/>
        <w:spacing w:after="0" w:line="240" w:lineRule="auto"/>
        <w:ind w:left="1985" w:hanging="170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C33">
        <w:rPr>
          <w:rFonts w:ascii="Times New Roman" w:hAnsi="Times New Roman" w:cs="Times New Roman"/>
          <w:b/>
          <w:sz w:val="24"/>
          <w:szCs w:val="24"/>
        </w:rPr>
        <w:t>Nemocnice Jablonec nad Nisou, p. o.</w:t>
      </w:r>
    </w:p>
    <w:p w:rsidR="005C13AC" w:rsidRDefault="005C13AC" w:rsidP="005C13A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B3C33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 Nemocniční 4446/15, 466 0</w:t>
      </w:r>
      <w:r w:rsidR="00F61D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Jablonec nad Nisou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          MUDr. Vítem Němečkem, MBA, ředitelem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00829838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Česká spořitelna, a.s.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2227711359/0800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vedená v obchodním rejstříku u Krajského soudu v Ústí nad Labem, oddíl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vložka 107 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606D22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níže uvedeného dne, měsíce a roku v souladu s ustanovením § 10a odst. 3 zákona č. 250/2000 Sb., o rozpočtových pravidlech územních rozpočtů a v souladu s ustanovením § 159 a násl. zákona č. 500/2004 Sb., správní řád, ve znění pozdějších předpisů a v souladu s rozhodnutím Komise ze dne 20. prosince 2011 o použití čl. 106 odst. 2 Smlouvy o  fungování Evropské unie na státní podporu ve formě vyrovnávací platby za závazek veřejné služby poskytované určitým podnikům pověřeným poskytováním služeb obecného hospodářského zájmu č. 2012/21/EU (dále jen „Rozhodnutí“), tuto 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62E40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40">
        <w:rPr>
          <w:rFonts w:ascii="Times New Roman" w:hAnsi="Times New Roman" w:cs="Times New Roman"/>
          <w:b/>
          <w:sz w:val="24"/>
          <w:szCs w:val="24"/>
        </w:rPr>
        <w:t>veřejnoprávní smlouvu o poskytnutí vyrovnávací platby na závazek veřejné služby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40">
        <w:rPr>
          <w:rFonts w:ascii="Times New Roman" w:hAnsi="Times New Roman" w:cs="Times New Roman"/>
          <w:b/>
          <w:sz w:val="24"/>
          <w:szCs w:val="24"/>
        </w:rPr>
        <w:t>z rozpočtu Statutárního města Jablonec nad Nisou</w:t>
      </w:r>
    </w:p>
    <w:p w:rsidR="00686D1C" w:rsidRDefault="00686D1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B1" w:rsidRDefault="000339B1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B1" w:rsidRDefault="000339B1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  <w:r w:rsidRPr="00EC44D0">
        <w:rPr>
          <w:rFonts w:ascii="Times New Roman" w:hAnsi="Times New Roman" w:cs="Times New Roman"/>
          <w:sz w:val="24"/>
          <w:szCs w:val="24"/>
        </w:rPr>
        <w:t xml:space="preserve">Účelem této smlouvy je zajištění služeb obecného hospodářského zájmu na území Statutárního města Jablonec nad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44D0">
        <w:rPr>
          <w:rFonts w:ascii="Times New Roman" w:hAnsi="Times New Roman" w:cs="Times New Roman"/>
          <w:sz w:val="24"/>
          <w:szCs w:val="24"/>
        </w:rPr>
        <w:t xml:space="preserve">isou, způsob stanovení vyrovnávací platby za výkon těchto služeb a dalších úkonů v návaznosti na práva a povinnosti smluvních stran vyplývajících z Rozhodnutí. Obecným hospodářským zájmem se rozumí zájem poskytovatele spočívající v zajištění veřejné služby dle čl. II této smlouvy. 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EC44D0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D0">
        <w:rPr>
          <w:rFonts w:ascii="Times New Roman" w:hAnsi="Times New Roman" w:cs="Times New Roman"/>
          <w:b/>
          <w:sz w:val="24"/>
          <w:szCs w:val="24"/>
        </w:rPr>
        <w:t>II.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D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Příjemce by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A5632">
        <w:rPr>
          <w:rFonts w:ascii="Times New Roman" w:hAnsi="Times New Roman" w:cs="Times New Roman"/>
          <w:sz w:val="24"/>
          <w:szCs w:val="24"/>
        </w:rPr>
        <w:t xml:space="preserve"> na základě Pověření Libereckého kraje k poskytování služeb v obecném hospodářském zájmu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6E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března 2013, schváleného usnesením Rady Libereckého kraje č. 321/13/RK, pověřen výkonem veřejné služby v obecném hospodářském zájmu (dále </w:t>
      </w:r>
      <w:r w:rsidRPr="00A614E1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„Pověření“) a příjemce na sebe vzal závazek poskytovat tuto službu za podmínek uvedených v Pověření. Veřejnou službou se rozumí rozsah činnosti uvedené v čl. II odst. 1 Pověření.</w:t>
      </w: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Statutární město Jablonec nad Nisou touto smlouvou přistupuje k Pověření Libereckého kraje a příspěvek poskytnutý touto smlouvou </w:t>
      </w:r>
      <w:r>
        <w:rPr>
          <w:rFonts w:ascii="Times New Roman" w:hAnsi="Times New Roman" w:cs="Times New Roman"/>
          <w:sz w:val="24"/>
          <w:szCs w:val="24"/>
        </w:rPr>
        <w:t>je součástí vyrovnávací platby dle čl. III Pověření.</w:t>
      </w: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prohlašuje, že k datu uzavření této smlouvy splňuje všechny podmínky pro poskytování veřejné služby v souladu s Pověřením a s obecně závaznými právními předpisy.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6A5632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32">
        <w:rPr>
          <w:rFonts w:ascii="Times New Roman" w:hAnsi="Times New Roman" w:cs="Times New Roman"/>
          <w:b/>
          <w:sz w:val="24"/>
          <w:szCs w:val="24"/>
        </w:rPr>
        <w:t>III.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32">
        <w:rPr>
          <w:rFonts w:ascii="Times New Roman" w:hAnsi="Times New Roman" w:cs="Times New Roman"/>
          <w:b/>
          <w:sz w:val="24"/>
          <w:szCs w:val="24"/>
        </w:rPr>
        <w:t>Vyrovnávací platba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platbou se rozumí platba poskytnutá z rozpočtu poskytovatele. Výše vyrovnávací platby se stanoví jako rozdíl mezi náklady a výnosy, které příjemci prokazatelně vzniknou v souvislosti s poskytováním veřejné služby, maximálně však ve výši dle odst. 2 tohoto článku. Poskytnuté finanční prostředky lze použít pouze v hlavní činnosti příjemce na úhradu nákladů souvisejících s poskytováním veřejné služby.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platba pro rok 201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se poskytuje max. do výše 500.000,- Kč, slovy: pět set tisíc korun českých, na základě schváleného rozpočtu Statutárního města Jablonec nad Nisou</w:t>
      </w:r>
      <w:r w:rsidR="008B0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dle usnesení ZM/</w:t>
      </w:r>
      <w:r w:rsidR="005064E2">
        <w:rPr>
          <w:rFonts w:ascii="Times New Roman" w:hAnsi="Times New Roman" w:cs="Times New Roman"/>
          <w:sz w:val="24"/>
          <w:szCs w:val="24"/>
        </w:rPr>
        <w:t>22</w:t>
      </w:r>
      <w:r w:rsidR="000339B1">
        <w:rPr>
          <w:rFonts w:ascii="Times New Roman" w:hAnsi="Times New Roman" w:cs="Times New Roman"/>
          <w:sz w:val="24"/>
          <w:szCs w:val="24"/>
        </w:rPr>
        <w:t>/</w:t>
      </w:r>
      <w:r w:rsidRPr="00EC7E59">
        <w:rPr>
          <w:rFonts w:ascii="Times New Roman" w:hAnsi="Times New Roman" w:cs="Times New Roman"/>
          <w:sz w:val="24"/>
          <w:szCs w:val="24"/>
        </w:rPr>
        <w:t>201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 w:rsidRPr="00EC7E5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2</w:t>
      </w:r>
      <w:r w:rsidRPr="00A614E1">
        <w:rPr>
          <w:rFonts w:ascii="Times New Roman" w:hAnsi="Times New Roman" w:cs="Times New Roman"/>
          <w:sz w:val="24"/>
          <w:szCs w:val="24"/>
        </w:rPr>
        <w:t>. zasedání zastupitelstva</w:t>
      </w:r>
      <w:r>
        <w:rPr>
          <w:rFonts w:ascii="Times New Roman" w:hAnsi="Times New Roman" w:cs="Times New Roman"/>
          <w:sz w:val="24"/>
          <w:szCs w:val="24"/>
        </w:rPr>
        <w:t xml:space="preserve"> Statutárního města Jablonec nad Nisou konaného dne </w:t>
      </w:r>
      <w:r w:rsidR="005064E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2. 201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platba dle odst. 2 tohoto článku se skládá z provozního příspěvku na úhradu prokazatelné ztráty, tj. na krytí rozdílu mezi náklady a výnosy, které příjemci vzniknou v přímé souvislosti s poskytováním veřejné služby.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Vyrovnávací platba bude poskytnuta </w:t>
      </w:r>
      <w:r w:rsidRPr="00F22A43">
        <w:rPr>
          <w:rFonts w:ascii="Times New Roman" w:hAnsi="Times New Roman" w:cs="Times New Roman"/>
          <w:sz w:val="24"/>
          <w:szCs w:val="24"/>
        </w:rPr>
        <w:t>příjemci v jedné splátce po</w:t>
      </w:r>
      <w:r>
        <w:rPr>
          <w:rFonts w:ascii="Times New Roman" w:hAnsi="Times New Roman" w:cs="Times New Roman"/>
          <w:sz w:val="24"/>
          <w:szCs w:val="24"/>
        </w:rPr>
        <w:t xml:space="preserve"> uzavření této smlouvy na účet příjemce, uvedený v záhlaví této smlouvy, do 30 dnů od doručení písemné žádosti příjemce poskytovateli. 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poskytovateli předložit vyúčtování vyrovnávací platby, ze kterého bude zřejmé, že všechny finanční prostředky, poukázané poskytovatelem, byly výhradně použity na služby obecného hospodářského zájmu, a to v souladu s Pověřením a s platnými právními předpisy.</w:t>
      </w:r>
    </w:p>
    <w:p w:rsidR="005C13AC" w:rsidRPr="008E1C6D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1C6D">
        <w:rPr>
          <w:rFonts w:ascii="Times New Roman" w:hAnsi="Times New Roman" w:cs="Times New Roman"/>
          <w:sz w:val="24"/>
          <w:szCs w:val="24"/>
        </w:rPr>
        <w:t xml:space="preserve">Příslušné náklady a výnosy musí být vyúčtovány, </w:t>
      </w:r>
      <w:proofErr w:type="gramStart"/>
      <w:r w:rsidRPr="008E1C6D">
        <w:rPr>
          <w:rFonts w:ascii="Times New Roman" w:hAnsi="Times New Roman" w:cs="Times New Roman"/>
          <w:sz w:val="24"/>
          <w:szCs w:val="24"/>
        </w:rPr>
        <w:t>uhrazeny   a promítnuty</w:t>
      </w:r>
      <w:proofErr w:type="gramEnd"/>
      <w:r w:rsidRPr="008E1C6D">
        <w:rPr>
          <w:rFonts w:ascii="Times New Roman" w:hAnsi="Times New Roman" w:cs="Times New Roman"/>
          <w:sz w:val="24"/>
          <w:szCs w:val="24"/>
        </w:rPr>
        <w:t xml:space="preserve"> v účetnictví příjemce a doloženy poskytovateli, a to nejpozději do 1</w:t>
      </w:r>
      <w:r w:rsidR="005064E2">
        <w:rPr>
          <w:rFonts w:ascii="Times New Roman" w:hAnsi="Times New Roman" w:cs="Times New Roman"/>
          <w:sz w:val="24"/>
          <w:szCs w:val="24"/>
        </w:rPr>
        <w:t>5</w:t>
      </w:r>
      <w:r w:rsidRPr="008E1C6D">
        <w:rPr>
          <w:rFonts w:ascii="Times New Roman" w:hAnsi="Times New Roman" w:cs="Times New Roman"/>
          <w:sz w:val="24"/>
          <w:szCs w:val="24"/>
        </w:rPr>
        <w:t>. 1. 20</w:t>
      </w:r>
      <w:r w:rsidR="005064E2">
        <w:rPr>
          <w:rFonts w:ascii="Times New Roman" w:hAnsi="Times New Roman" w:cs="Times New Roman"/>
          <w:sz w:val="24"/>
          <w:szCs w:val="24"/>
        </w:rPr>
        <w:t>20</w:t>
      </w:r>
      <w:r w:rsidRPr="008E1C6D">
        <w:rPr>
          <w:rFonts w:ascii="Times New Roman" w:hAnsi="Times New Roman" w:cs="Times New Roman"/>
          <w:sz w:val="24"/>
          <w:szCs w:val="24"/>
        </w:rPr>
        <w:t xml:space="preserve">. Příjemce je povinen </w:t>
      </w:r>
      <w:r w:rsidRPr="008E1C6D">
        <w:rPr>
          <w:rFonts w:ascii="Times New Roman" w:hAnsi="Times New Roman" w:cs="Times New Roman"/>
          <w:sz w:val="24"/>
          <w:szCs w:val="24"/>
        </w:rPr>
        <w:lastRenderedPageBreak/>
        <w:t>v souladu s vyhláškou č. 410/2009 Sb., kterou se provádě</w:t>
      </w:r>
      <w:r>
        <w:rPr>
          <w:rFonts w:ascii="Times New Roman" w:hAnsi="Times New Roman" w:cs="Times New Roman"/>
          <w:sz w:val="24"/>
          <w:szCs w:val="24"/>
        </w:rPr>
        <w:t>jí některá ustanovení zákona č. </w:t>
      </w:r>
      <w:r w:rsidRPr="008E1C6D">
        <w:rPr>
          <w:rFonts w:ascii="Times New Roman" w:hAnsi="Times New Roman" w:cs="Times New Roman"/>
          <w:sz w:val="24"/>
          <w:szCs w:val="24"/>
        </w:rPr>
        <w:t>563/1991 Sb., o účetnictví, ve znění pozdějších předpisů pro některé vybrané účetní jednotky, vést oddělené účetnictví o hlavní a o doplňkové činnosti.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1C6D">
        <w:rPr>
          <w:rFonts w:ascii="Times New Roman" w:hAnsi="Times New Roman" w:cs="Times New Roman"/>
          <w:sz w:val="24"/>
          <w:szCs w:val="24"/>
        </w:rPr>
        <w:t>Pokud příjemce obdrží</w:t>
      </w:r>
      <w:r>
        <w:rPr>
          <w:rFonts w:ascii="Times New Roman" w:hAnsi="Times New Roman" w:cs="Times New Roman"/>
          <w:sz w:val="24"/>
          <w:szCs w:val="24"/>
        </w:rPr>
        <w:t xml:space="preserve"> vyrovnávací platbu, která převyšuje rozdíl mezi náklady a výnosy, které příjemci prokazatelně vzniknou v souvislosti s poskyto</w:t>
      </w:r>
      <w:r w:rsidR="000339B1">
        <w:rPr>
          <w:rFonts w:ascii="Times New Roman" w:hAnsi="Times New Roman" w:cs="Times New Roman"/>
          <w:sz w:val="24"/>
          <w:szCs w:val="24"/>
        </w:rPr>
        <w:t>váním veřejné služby v roce 201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musí nadměrně vyplacenou částku vrátit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poskytovateli  nejpozději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30 dnů ode dne doložení příslušných nákladů a výnosů poskytovateli dle odst. 5 tohoto článku, a to na účet poskytovatele uvedený v záhlaví této smlouvy s variabilním symbolem 829838. 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10">
        <w:rPr>
          <w:rFonts w:ascii="Times New Roman" w:hAnsi="Times New Roman" w:cs="Times New Roman"/>
          <w:b/>
          <w:sz w:val="24"/>
          <w:szCs w:val="24"/>
        </w:rPr>
        <w:t>IV.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zrušení oprávnění pro výkon veřejné služby nebo při jejím předčasném ukončení je příjemce povinen vrátit nevyčerpanou část vyrovnávací platby ve výši odpovídající podílu z celkové platby a počtu měsíců nerealizované činnosti ve lhůtě třiceti (30) dnů od ukončení činnosti.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oprávněn ve smyslu zákona č. 320/2001 Sb., o finanční kontrole ve veřejné správě a o změně některých zákonů, ve znění pozdějších předpisů, kontrolovat hospodárnost a účelnost čerpání platby včetně plnění podmínek této smlouvy.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Poruší-li příjemce některou z povinností, která je uvedena v této smlouvě, je poskytovatel oprávněn tuto smlouvu vypovědět.  Výpověď musí být písemná a výpovědní doba činí jeden (1) měsíc, která počíná běžet první den v měsíci následujícím po měsíci, ve kterém byla výpověď doručena druhé smluvní straně. Do </w:t>
      </w:r>
      <w:proofErr w:type="gramStart"/>
      <w:r>
        <w:rPr>
          <w:rFonts w:ascii="Times New Roman" w:hAnsi="Times New Roman" w:cs="Times New Roman"/>
          <w:sz w:val="24"/>
          <w:szCs w:val="24"/>
        </w:rPr>
        <w:t>30ti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po uplynutí výpovědní doby je příjemce povinen vrátit poskytovateli veškeré finanční prostředky, které byly vyúčtovány nebo použity v rozporu s touto smlouvou.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přeměny nebo zrušení příjemce s likvidací je </w:t>
      </w:r>
      <w:r w:rsidRPr="00F22A43">
        <w:rPr>
          <w:rFonts w:ascii="Times New Roman" w:hAnsi="Times New Roman" w:cs="Times New Roman"/>
          <w:sz w:val="24"/>
          <w:szCs w:val="24"/>
        </w:rPr>
        <w:t>příjemce vyrovnávací platby povinen</w:t>
      </w:r>
      <w:r>
        <w:rPr>
          <w:rFonts w:ascii="Times New Roman" w:hAnsi="Times New Roman" w:cs="Times New Roman"/>
          <w:sz w:val="24"/>
          <w:szCs w:val="24"/>
        </w:rPr>
        <w:t xml:space="preserve"> vyrovnávací platbu vyúčtovat ke dni přeměny nebo zrušení s likvidací a do </w:t>
      </w:r>
      <w:proofErr w:type="gramStart"/>
      <w:r>
        <w:rPr>
          <w:rFonts w:ascii="Times New Roman" w:hAnsi="Times New Roman" w:cs="Times New Roman"/>
          <w:sz w:val="24"/>
          <w:szCs w:val="24"/>
        </w:rPr>
        <w:t>30ti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ode dne, kdy k přeměně nebo zrušení s likvidací došlo, předložit vyúčtování poskytovateli.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při kontrole zjištěno porušování rozpočtové kázně dle § 28 odst. 7 zákona č. 250/2000 Sb., o rozpočtových pravidlech územních rozpočtů, ve znění pozdějších předpisů, bude poskytovatel postupovat v souladu s § 28 odst. 8 a odst. 9 zákona.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F088D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V.</w:t>
      </w:r>
    </w:p>
    <w:p w:rsidR="005C13AC" w:rsidRPr="000F088D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Trvání smlouvy</w:t>
      </w:r>
    </w:p>
    <w:p w:rsidR="005C13AC" w:rsidRDefault="005C13AC" w:rsidP="005C13AC">
      <w:pPr>
        <w:pStyle w:val="Odstavecseseznamem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určitou do 31. prosince 201</w:t>
      </w:r>
      <w:r w:rsidR="00506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3AC" w:rsidRDefault="005C13AC" w:rsidP="005C13AC">
      <w:pPr>
        <w:pStyle w:val="Odstavecseseznamem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ukončena: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písemnou dohodou smluvních stran,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písemnou výpovědí dle čl. IV. odst. 3.</w:t>
      </w:r>
    </w:p>
    <w:p w:rsidR="007114F2" w:rsidRPr="000339B1" w:rsidRDefault="007114F2" w:rsidP="000339B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F088D" w:rsidRDefault="005C13AC" w:rsidP="005C13AC">
      <w:pPr>
        <w:pStyle w:val="Odstavecseseznamem"/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VI.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</w:t>
      </w:r>
      <w:r w:rsidRPr="00A614E1">
        <w:rPr>
          <w:rFonts w:ascii="Times New Roman" w:hAnsi="Times New Roman" w:cs="Times New Roman"/>
          <w:sz w:val="24"/>
          <w:szCs w:val="24"/>
        </w:rPr>
        <w:t>n</w:t>
      </w:r>
      <w:r w:rsidRPr="00E61E48">
        <w:rPr>
          <w:rFonts w:ascii="Times New Roman" w:hAnsi="Times New Roman" w:cs="Times New Roman"/>
          <w:sz w:val="24"/>
          <w:szCs w:val="24"/>
        </w:rPr>
        <w:t>a</w:t>
      </w:r>
      <w:r w:rsidRPr="00A614E1">
        <w:rPr>
          <w:rFonts w:ascii="Times New Roman" w:hAnsi="Times New Roman" w:cs="Times New Roman"/>
          <w:sz w:val="24"/>
          <w:szCs w:val="24"/>
        </w:rPr>
        <w:t>bývá</w:t>
      </w:r>
      <w:r>
        <w:rPr>
          <w:rFonts w:ascii="Times New Roman" w:hAnsi="Times New Roman" w:cs="Times New Roman"/>
          <w:sz w:val="24"/>
          <w:szCs w:val="24"/>
        </w:rPr>
        <w:t xml:space="preserve"> platnosti a účinnosti dnem podpisu oběma smluvními stranami s tím, že smlouva bude jako první podepsána příjemcem a poté poskytovatelem, nejdříve však jejím schválením zastupitelstvem Statutárního města Jablonec nad Nisou.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této smlouvy lze provádět pouze formou písemných postupně číslovaných dodatků na základě dohody obou smluvních stran.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smlouva se vyhotovuje ve </w:t>
      </w:r>
      <w:r w:rsidR="007A5277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stejnopisech s platností originálu, z nichž </w:t>
      </w:r>
      <w:r w:rsidR="007A5277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stejnopisy obdrží poskytovatel a jeden příjemce.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557ECA">
        <w:rPr>
          <w:rFonts w:ascii="Times New Roman" w:hAnsi="Times New Roman" w:cs="Times New Roman"/>
          <w:sz w:val="24"/>
          <w:szCs w:val="24"/>
        </w:rPr>
        <w:t>Smluvní strany shodně prohlašují, že si smlouvu před jejím podpisem přečetly, že byla uzavřena po vzájemném projednání podle jejich pravé a s</w:t>
      </w:r>
      <w:r>
        <w:rPr>
          <w:rFonts w:ascii="Times New Roman" w:hAnsi="Times New Roman" w:cs="Times New Roman"/>
          <w:sz w:val="24"/>
          <w:szCs w:val="24"/>
        </w:rPr>
        <w:t>vobodné vůle, určitě, vážně a </w:t>
      </w:r>
      <w:r w:rsidRPr="00557ECA">
        <w:rPr>
          <w:rFonts w:ascii="Times New Roman" w:hAnsi="Times New Roman" w:cs="Times New Roman"/>
          <w:sz w:val="24"/>
          <w:szCs w:val="24"/>
        </w:rPr>
        <w:t xml:space="preserve">srozumitelně a že se dohodly o celém jejím obsahu, což stvrzují svými podpisy. </w:t>
      </w:r>
    </w:p>
    <w:p w:rsidR="005C13AC" w:rsidRPr="000C53E4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b/>
          <w:snapToGrid w:val="0"/>
          <w:kern w:val="24"/>
          <w:sz w:val="24"/>
          <w:szCs w:val="24"/>
        </w:rPr>
        <w:t>„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berou na vědomí, že tato smlouva a další případné dodatky budou zveřejněny v registru smluv podle zákona č. 340/2015 Sb., o zvláštních podmínkách účinnosti některých smluv, uveřejňování těchto smluv a o registru smluv (o registru smluv)“.</w:t>
      </w:r>
    </w:p>
    <w:p w:rsidR="005C13AC" w:rsidRPr="000C53E4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jsou povinny označit údaje ve smlouvě, které jsou chráněny zvláštními zákony a nemohou být poskytnuty, a to žlutou barv</w:t>
      </w:r>
      <w:r w:rsidR="000339B1">
        <w:rPr>
          <w:rFonts w:ascii="Times New Roman" w:hAnsi="Times New Roman" w:cs="Times New Roman"/>
          <w:snapToGrid w:val="0"/>
          <w:kern w:val="24"/>
          <w:sz w:val="24"/>
          <w:szCs w:val="24"/>
        </w:rPr>
        <w:t>ou zvýraznění textu či přímo ve 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zvláštním ustanovení smlouvy je označit např. jako obchodní, bankovní tajemství nebo jinou utajovanou skutečnost podle zvláštního zákona.</w:t>
      </w:r>
    </w:p>
    <w:p w:rsidR="005C13AC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Smlouva nabývá účinnosti nejdříve dnem uveřejnění v regis</w:t>
      </w:r>
      <w:r>
        <w:rPr>
          <w:rFonts w:ascii="Times New Roman" w:hAnsi="Times New Roman" w:cs="Times New Roman"/>
          <w:snapToGrid w:val="0"/>
          <w:kern w:val="24"/>
          <w:sz w:val="24"/>
          <w:szCs w:val="24"/>
        </w:rPr>
        <w:t>tru smluv v souladu s § 6 odst. 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1 zákona č. 340/2015 Sb., o zvláštních podmínkách účinnosti některých smluv, uveřejňování těchto smluv a o registru smluv (zákon o registru smluv).</w:t>
      </w:r>
    </w:p>
    <w:p w:rsidR="000339B1" w:rsidRPr="000339B1" w:rsidRDefault="000339B1" w:rsidP="000339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kern w:val="24"/>
          <w:sz w:val="24"/>
          <w:szCs w:val="24"/>
        </w:rPr>
      </w:pPr>
      <w:r w:rsidRPr="000339B1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jakožto subjekty povinné dle § 2 zákona č. 340/2015 Sb., o zvláštních podmínkách účinnosti některých smluv, uveřejňování těchto smluv a o registru smluv (o registru smluv), se výslovně dohodly, že smlouvu vč. jejích všech případných dodatků či změn zveřejní v souladu se zák. o registru smluv v příslušném registru smluv poskytovatel.</w:t>
      </w:r>
    </w:p>
    <w:p w:rsidR="000339B1" w:rsidRPr="000339B1" w:rsidRDefault="000339B1" w:rsidP="000339B1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kern w:val="24"/>
          <w:sz w:val="24"/>
          <w:szCs w:val="24"/>
        </w:rPr>
      </w:pPr>
    </w:p>
    <w:p w:rsidR="005C13AC" w:rsidRDefault="005C13AC" w:rsidP="005C13AC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557ECA" w:rsidRDefault="005C13AC" w:rsidP="005C13AC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Jablonci nad Nisou dne:                                         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Poskytovatel:                                                            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Pr="00E756DB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                        ……………………………………..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 xml:space="preserve">Statutární město Jablonec nad </w:t>
      </w:r>
      <w:proofErr w:type="gramStart"/>
      <w:r w:rsidRPr="00E756DB">
        <w:rPr>
          <w:rFonts w:ascii="Times New Roman" w:hAnsi="Times New Roman" w:cs="Times New Roman"/>
          <w:sz w:val="24"/>
          <w:szCs w:val="24"/>
        </w:rPr>
        <w:t>Nisou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56DB">
        <w:rPr>
          <w:rFonts w:ascii="Times New Roman" w:hAnsi="Times New Roman" w:cs="Times New Roman"/>
          <w:sz w:val="24"/>
          <w:szCs w:val="24"/>
        </w:rPr>
        <w:t>Statutární</w:t>
      </w:r>
      <w:proofErr w:type="gramEnd"/>
      <w:r w:rsidRPr="00E756DB">
        <w:rPr>
          <w:rFonts w:ascii="Times New Roman" w:hAnsi="Times New Roman" w:cs="Times New Roman"/>
          <w:sz w:val="24"/>
          <w:szCs w:val="24"/>
        </w:rPr>
        <w:t xml:space="preserve"> město Jablonec nad Nisou</w:t>
      </w:r>
    </w:p>
    <w:p w:rsidR="005C13AC" w:rsidRDefault="005064E2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Milan Kroupa</w:t>
      </w:r>
      <w:r w:rsidR="005C13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13AC">
        <w:rPr>
          <w:rFonts w:ascii="Times New Roman" w:hAnsi="Times New Roman" w:cs="Times New Roman"/>
          <w:sz w:val="24"/>
          <w:szCs w:val="24"/>
        </w:rPr>
        <w:t xml:space="preserve">primátor                                     </w:t>
      </w:r>
      <w:r>
        <w:rPr>
          <w:rFonts w:ascii="Times New Roman" w:hAnsi="Times New Roman" w:cs="Times New Roman"/>
          <w:sz w:val="24"/>
          <w:szCs w:val="24"/>
        </w:rPr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David Mánek,</w:t>
      </w:r>
      <w:r w:rsidR="005C13AC">
        <w:rPr>
          <w:rFonts w:ascii="Times New Roman" w:hAnsi="Times New Roman" w:cs="Times New Roman"/>
          <w:sz w:val="24"/>
          <w:szCs w:val="24"/>
        </w:rPr>
        <w:t xml:space="preserve"> náměstek primátora</w:t>
      </w:r>
    </w:p>
    <w:p w:rsidR="005C13AC" w:rsidRPr="00E756DB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0339B1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7A5277" w:rsidRPr="000339B1" w:rsidRDefault="007A5277" w:rsidP="000339B1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5C13AC" w:rsidRPr="001663B8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 w:rsidRPr="001663B8">
        <w:rPr>
          <w:rFonts w:ascii="Times New Roman" w:hAnsi="Times New Roman" w:cs="Times New Roman"/>
          <w:b/>
          <w:sz w:val="24"/>
          <w:szCs w:val="24"/>
        </w:rPr>
        <w:t>Příjemce: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Pr="001663B8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Nemocnice Jablonec nad Nisou, p. o.</w:t>
      </w:r>
    </w:p>
    <w:p w:rsidR="005C13AC" w:rsidRDefault="005C13AC" w:rsidP="005C13AC">
      <w:pPr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MUDr. Vít Němeček, MBA, ředitel</w:t>
      </w:r>
    </w:p>
    <w:p w:rsidR="005C13AC" w:rsidRPr="00EC7E59" w:rsidRDefault="005C13AC" w:rsidP="005C13AC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7A5277" w:rsidRDefault="007A5277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5C13AC" w:rsidRPr="005C13AC" w:rsidRDefault="005C13AC" w:rsidP="000339B1">
      <w:pPr>
        <w:spacing w:after="0" w:line="240" w:lineRule="auto"/>
        <w:ind w:right="-113"/>
        <w:rPr>
          <w:rFonts w:ascii="Times New Roman" w:hAnsi="Times New Roman" w:cs="Times New Roman"/>
          <w:sz w:val="18"/>
          <w:szCs w:val="18"/>
        </w:rPr>
      </w:pPr>
    </w:p>
    <w:p w:rsidR="005C13AC" w:rsidRPr="00EC7E59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  <w:r w:rsidRPr="00EC7E59">
        <w:rPr>
          <w:rFonts w:ascii="Times New Roman" w:hAnsi="Times New Roman" w:cs="Times New Roman"/>
          <w:sz w:val="18"/>
          <w:szCs w:val="18"/>
        </w:rPr>
        <w:t xml:space="preserve">Za věcnou správnost: Hana Hladíková, rozpočtář </w:t>
      </w:r>
      <w:proofErr w:type="spellStart"/>
      <w:r w:rsidRPr="00EC7E59">
        <w:rPr>
          <w:rFonts w:ascii="Times New Roman" w:hAnsi="Times New Roman" w:cs="Times New Roman"/>
          <w:sz w:val="18"/>
          <w:szCs w:val="18"/>
        </w:rPr>
        <w:t>OSVaZ</w:t>
      </w:r>
      <w:proofErr w:type="spellEnd"/>
    </w:p>
    <w:sectPr w:rsidR="005C13AC" w:rsidRPr="00EC7E59" w:rsidSect="000339B1">
      <w:footerReference w:type="default" r:id="rId8"/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AC" w:rsidRDefault="005C13AC" w:rsidP="005C13AC">
      <w:pPr>
        <w:spacing w:after="0" w:line="240" w:lineRule="auto"/>
      </w:pPr>
      <w:r>
        <w:separator/>
      </w:r>
    </w:p>
  </w:endnote>
  <w:endnote w:type="continuationSeparator" w:id="0">
    <w:p w:rsidR="005C13AC" w:rsidRDefault="005C13AC" w:rsidP="005C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444926"/>
      <w:docPartObj>
        <w:docPartGallery w:val="Page Numbers (Bottom of Page)"/>
        <w:docPartUnique/>
      </w:docPartObj>
    </w:sdtPr>
    <w:sdtEndPr/>
    <w:sdtContent>
      <w:p w:rsidR="005C13AC" w:rsidRDefault="005C13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D3">
          <w:rPr>
            <w:noProof/>
          </w:rPr>
          <w:t>4</w:t>
        </w:r>
        <w:r>
          <w:fldChar w:fldCharType="end"/>
        </w:r>
      </w:p>
    </w:sdtContent>
  </w:sdt>
  <w:p w:rsidR="005C13AC" w:rsidRDefault="005C13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AC" w:rsidRDefault="005C13AC" w:rsidP="005C13AC">
      <w:pPr>
        <w:spacing w:after="0" w:line="240" w:lineRule="auto"/>
      </w:pPr>
      <w:r>
        <w:separator/>
      </w:r>
    </w:p>
  </w:footnote>
  <w:footnote w:type="continuationSeparator" w:id="0">
    <w:p w:rsidR="005C13AC" w:rsidRDefault="005C13AC" w:rsidP="005C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AFE"/>
    <w:multiLevelType w:val="hybridMultilevel"/>
    <w:tmpl w:val="8A58B866"/>
    <w:lvl w:ilvl="0" w:tplc="981E1E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979A4"/>
    <w:multiLevelType w:val="hybridMultilevel"/>
    <w:tmpl w:val="9F3AFB0C"/>
    <w:lvl w:ilvl="0" w:tplc="3F481D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F82096"/>
    <w:multiLevelType w:val="hybridMultilevel"/>
    <w:tmpl w:val="DA72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0012"/>
    <w:multiLevelType w:val="hybridMultilevel"/>
    <w:tmpl w:val="464ADF70"/>
    <w:lvl w:ilvl="0" w:tplc="47643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F76A6F"/>
    <w:multiLevelType w:val="hybridMultilevel"/>
    <w:tmpl w:val="19206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6DDD"/>
    <w:multiLevelType w:val="hybridMultilevel"/>
    <w:tmpl w:val="166EF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45D"/>
    <w:multiLevelType w:val="hybridMultilevel"/>
    <w:tmpl w:val="5BA06F56"/>
    <w:lvl w:ilvl="0" w:tplc="99E8F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AC"/>
    <w:rsid w:val="000339B1"/>
    <w:rsid w:val="00203EF2"/>
    <w:rsid w:val="003556DA"/>
    <w:rsid w:val="00492741"/>
    <w:rsid w:val="00493063"/>
    <w:rsid w:val="005064E2"/>
    <w:rsid w:val="005347D0"/>
    <w:rsid w:val="0053739A"/>
    <w:rsid w:val="005C13AC"/>
    <w:rsid w:val="00686D1C"/>
    <w:rsid w:val="006A1495"/>
    <w:rsid w:val="006E423D"/>
    <w:rsid w:val="00711260"/>
    <w:rsid w:val="007114F2"/>
    <w:rsid w:val="007A5277"/>
    <w:rsid w:val="008B0EDB"/>
    <w:rsid w:val="00B8363A"/>
    <w:rsid w:val="00E430D3"/>
    <w:rsid w:val="00EE5694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92B5-3B86-4868-A5B0-DC9B72A3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3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3AC"/>
  </w:style>
  <w:style w:type="paragraph" w:styleId="Zpat">
    <w:name w:val="footer"/>
    <w:basedOn w:val="Normln"/>
    <w:link w:val="ZpatChar"/>
    <w:uiPriority w:val="99"/>
    <w:unhideWhenUsed/>
    <w:rsid w:val="005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3A5C-1A3B-4455-B7B6-B0091349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1374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Hladíková, Hana</dc:creator>
  <cp:keywords/>
  <dc:description/>
  <cp:lastModifiedBy>Hladíková, Hana</cp:lastModifiedBy>
  <cp:revision>6</cp:revision>
  <cp:lastPrinted>2019-03-22T10:57:00Z</cp:lastPrinted>
  <dcterms:created xsi:type="dcterms:W3CDTF">2019-02-26T10:05:00Z</dcterms:created>
  <dcterms:modified xsi:type="dcterms:W3CDTF">2019-03-22T11:03:00Z</dcterms:modified>
</cp:coreProperties>
</file>