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84" w:rsidRPr="006368D9" w:rsidRDefault="003865AB" w:rsidP="00F31EB4">
      <w:pPr>
        <w:jc w:val="right"/>
      </w:pPr>
      <w:r w:rsidRPr="006368D9">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EB555E" w:rsidRDefault="00EB555E" w:rsidP="00D7357B">
      <w:pPr>
        <w:rPr>
          <w:rFonts w:cs="Arial"/>
          <w:b/>
          <w:sz w:val="32"/>
        </w:rPr>
      </w:pPr>
      <w:bookmarkStart w:id="0" w:name="Priloha_1"/>
      <w:bookmarkEnd w:id="0"/>
    </w:p>
    <w:p w:rsidR="00EB555E" w:rsidRDefault="00EB555E" w:rsidP="00D7357B">
      <w:pPr>
        <w:rPr>
          <w:rFonts w:cs="Arial"/>
          <w:b/>
          <w:sz w:val="32"/>
        </w:rPr>
      </w:pPr>
    </w:p>
    <w:p w:rsidR="00EB555E" w:rsidRDefault="00EB555E" w:rsidP="00D7357B">
      <w:pPr>
        <w:rPr>
          <w:rFonts w:cs="Arial"/>
          <w:b/>
          <w:sz w:val="32"/>
        </w:rPr>
      </w:pPr>
    </w:p>
    <w:p w:rsidR="008C70C4" w:rsidRDefault="008C70C4" w:rsidP="00D7357B">
      <w:pPr>
        <w:rPr>
          <w:rFonts w:cs="Arial"/>
          <w:b/>
          <w:sz w:val="32"/>
        </w:rPr>
      </w:pPr>
      <w:r>
        <w:rPr>
          <w:rFonts w:cs="Arial"/>
          <w:b/>
          <w:sz w:val="32"/>
        </w:rPr>
        <w:t xml:space="preserve">Dodatek č. </w:t>
      </w:r>
      <w:r w:rsidR="000273D3">
        <w:rPr>
          <w:rFonts w:cs="Arial"/>
          <w:b/>
          <w:sz w:val="32"/>
        </w:rPr>
        <w:t>3</w:t>
      </w:r>
    </w:p>
    <w:p w:rsidR="00D7357B" w:rsidRPr="006368D9" w:rsidRDefault="000A7B53" w:rsidP="00D7357B">
      <w:pPr>
        <w:rPr>
          <w:rFonts w:cs="Arial"/>
          <w:b/>
          <w:sz w:val="32"/>
        </w:rPr>
      </w:pPr>
      <w:r>
        <w:rPr>
          <w:rFonts w:cs="Arial"/>
          <w:b/>
          <w:sz w:val="32"/>
        </w:rPr>
        <w:t>k</w:t>
      </w:r>
      <w:r w:rsidR="008C70C4">
        <w:rPr>
          <w:rFonts w:cs="Arial"/>
          <w:b/>
          <w:sz w:val="32"/>
        </w:rPr>
        <w:t xml:space="preserve"> pojistné smlouvě</w:t>
      </w:r>
      <w:r w:rsidR="00D7357B" w:rsidRPr="006368D9">
        <w:rPr>
          <w:rFonts w:cs="Arial"/>
          <w:b/>
          <w:sz w:val="32"/>
        </w:rPr>
        <w:t xml:space="preserve"> č. </w:t>
      </w:r>
      <w:r w:rsidR="00EB555E">
        <w:rPr>
          <w:rFonts w:cs="Arial"/>
          <w:b/>
          <w:sz w:val="32"/>
        </w:rPr>
        <w:t>7720864928</w:t>
      </w:r>
    </w:p>
    <w:p w:rsidR="00D7357B" w:rsidRDefault="00D7357B" w:rsidP="00D7357B">
      <w:pPr>
        <w:rPr>
          <w:rFonts w:cs="Arial"/>
          <w:b/>
        </w:rPr>
      </w:pPr>
      <w:r w:rsidRPr="006368D9">
        <w:rPr>
          <w:rFonts w:cs="Arial"/>
          <w:b/>
        </w:rPr>
        <w:t>Úsek pojištění hospodářských rizik</w:t>
      </w:r>
    </w:p>
    <w:p w:rsidR="00D7357B" w:rsidRPr="006368D9" w:rsidRDefault="00D7357B" w:rsidP="00D7357B">
      <w:pPr>
        <w:rPr>
          <w:rFonts w:cs="Arial"/>
        </w:rPr>
      </w:pPr>
    </w:p>
    <w:p w:rsidR="00EB555E" w:rsidRPr="006368D9" w:rsidRDefault="00EB555E" w:rsidP="00EB555E">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Group</w:t>
      </w:r>
    </w:p>
    <w:p w:rsidR="00EB555E" w:rsidRPr="006368D9" w:rsidRDefault="00EB555E" w:rsidP="00EB555E">
      <w:pPr>
        <w:rPr>
          <w:rFonts w:cs="Arial"/>
          <w:b/>
        </w:rPr>
      </w:pPr>
      <w:r w:rsidRPr="006368D9">
        <w:rPr>
          <w:rFonts w:cs="Arial"/>
          <w:b/>
        </w:rPr>
        <w:t xml:space="preserve">se sídlem Praha 8, Pobřežní 665/21, PSČ 186 00, Česká republika </w:t>
      </w:r>
    </w:p>
    <w:p w:rsidR="00EB555E" w:rsidRPr="006368D9" w:rsidRDefault="00EB555E" w:rsidP="00EB555E">
      <w:pPr>
        <w:rPr>
          <w:rFonts w:cs="Arial"/>
          <w:b/>
        </w:rPr>
      </w:pPr>
      <w:r w:rsidRPr="006368D9">
        <w:rPr>
          <w:rFonts w:cs="Arial"/>
          <w:b/>
        </w:rPr>
        <w:t xml:space="preserve">IČO: 47116617 </w:t>
      </w:r>
    </w:p>
    <w:p w:rsidR="00EB555E" w:rsidRPr="006368D9" w:rsidRDefault="00EB555E" w:rsidP="00EB555E">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rsidR="00EB555E" w:rsidRPr="006368D9" w:rsidRDefault="00EB555E" w:rsidP="00EB555E">
      <w:pPr>
        <w:rPr>
          <w:rFonts w:cs="Arial"/>
          <w:sz w:val="20"/>
        </w:rPr>
      </w:pPr>
      <w:r>
        <w:rPr>
          <w:rFonts w:cs="Arial"/>
          <w:sz w:val="20"/>
        </w:rPr>
        <w:t xml:space="preserve">jako vedoucí pojistitel </w:t>
      </w:r>
      <w:r w:rsidRPr="006368D9">
        <w:rPr>
          <w:rFonts w:cs="Arial"/>
          <w:sz w:val="20"/>
        </w:rPr>
        <w:t xml:space="preserve">(dále jen </w:t>
      </w:r>
      <w:r w:rsidRPr="00015562">
        <w:rPr>
          <w:rFonts w:cs="Arial"/>
          <w:b/>
          <w:sz w:val="20"/>
        </w:rPr>
        <w:t>„</w:t>
      </w:r>
      <w:r>
        <w:rPr>
          <w:rFonts w:cs="Arial"/>
          <w:b/>
          <w:sz w:val="20"/>
        </w:rPr>
        <w:t xml:space="preserve">vedoucí </w:t>
      </w:r>
      <w:r w:rsidRPr="006368D9">
        <w:rPr>
          <w:rFonts w:cs="Arial"/>
          <w:b/>
          <w:sz w:val="20"/>
        </w:rPr>
        <w:t>pojistitel“</w:t>
      </w:r>
      <w:r w:rsidR="00015562">
        <w:rPr>
          <w:rFonts w:cs="Arial"/>
          <w:sz w:val="20"/>
        </w:rPr>
        <w:t>)</w:t>
      </w:r>
    </w:p>
    <w:p w:rsidR="004C72B1" w:rsidRDefault="00EB555E" w:rsidP="008C699D">
      <w:pPr>
        <w:spacing w:line="240" w:lineRule="exact"/>
        <w:rPr>
          <w:rFonts w:cs="Arial"/>
          <w:sz w:val="20"/>
        </w:rPr>
      </w:pPr>
      <w:r w:rsidRPr="006368D9">
        <w:rPr>
          <w:rFonts w:cs="Arial"/>
          <w:sz w:val="20"/>
        </w:rPr>
        <w:t xml:space="preserve">zastoupený </w:t>
      </w:r>
      <w:r w:rsidR="00985F90">
        <w:rPr>
          <w:rFonts w:cs="Arial"/>
          <w:sz w:val="20"/>
        </w:rPr>
        <w:tab/>
      </w:r>
      <w:proofErr w:type="spellStart"/>
      <w:r w:rsidR="00316DC8">
        <w:rPr>
          <w:rFonts w:cs="Arial"/>
          <w:sz w:val="20"/>
        </w:rPr>
        <w:t>xxxxx</w:t>
      </w:r>
      <w:proofErr w:type="spellEnd"/>
      <w:r w:rsidR="004C72B1">
        <w:rPr>
          <w:rFonts w:cs="Arial"/>
          <w:sz w:val="20"/>
        </w:rPr>
        <w:t>, obchodním ředitelem Úseku pojištění hospodářských rizik</w:t>
      </w:r>
    </w:p>
    <w:p w:rsidR="00EB555E" w:rsidRDefault="00316DC8" w:rsidP="008C699D">
      <w:pPr>
        <w:spacing w:line="240" w:lineRule="exact"/>
        <w:ind w:left="1418"/>
        <w:jc w:val="both"/>
        <w:rPr>
          <w:rFonts w:cs="Arial"/>
          <w:sz w:val="20"/>
        </w:rPr>
      </w:pPr>
      <w:proofErr w:type="spellStart"/>
      <w:r>
        <w:rPr>
          <w:rFonts w:cs="Arial"/>
          <w:sz w:val="20"/>
        </w:rPr>
        <w:t>xxxxx</w:t>
      </w:r>
      <w:proofErr w:type="spellEnd"/>
      <w:r w:rsidR="00EB555E">
        <w:rPr>
          <w:rFonts w:cs="Arial"/>
          <w:sz w:val="20"/>
        </w:rPr>
        <w:t xml:space="preserve">, vedoucím oddělení </w:t>
      </w:r>
      <w:r w:rsidR="008C699D">
        <w:rPr>
          <w:rFonts w:cs="Arial"/>
          <w:sz w:val="20"/>
        </w:rPr>
        <w:t xml:space="preserve">pojištění </w:t>
      </w:r>
      <w:r w:rsidR="00EB555E">
        <w:rPr>
          <w:rFonts w:cs="Arial"/>
          <w:sz w:val="20"/>
        </w:rPr>
        <w:t xml:space="preserve">majetku a technických rizik Úseku </w:t>
      </w:r>
      <w:r w:rsidR="004C72B1">
        <w:rPr>
          <w:rFonts w:cs="Arial"/>
          <w:sz w:val="20"/>
        </w:rPr>
        <w:t xml:space="preserve">pojištění hospodářských rizik </w:t>
      </w:r>
    </w:p>
    <w:p w:rsidR="00EB555E" w:rsidRPr="005E1D2B" w:rsidRDefault="00EB555E" w:rsidP="00EB555E">
      <w:pPr>
        <w:spacing w:before="40" w:line="280" w:lineRule="exact"/>
        <w:rPr>
          <w:rFonts w:cs="Arial"/>
          <w:sz w:val="20"/>
        </w:rPr>
      </w:pPr>
      <w:r w:rsidRPr="005E1D2B">
        <w:rPr>
          <w:rFonts w:cs="Arial"/>
          <w:sz w:val="20"/>
        </w:rPr>
        <w:t xml:space="preserve">Pracoviště: Kooperativa pojišťovna, a.s., </w:t>
      </w:r>
      <w:proofErr w:type="spellStart"/>
      <w:r w:rsidRPr="005E1D2B">
        <w:rPr>
          <w:rFonts w:cs="Arial"/>
          <w:sz w:val="20"/>
        </w:rPr>
        <w:t>Vienna</w:t>
      </w:r>
      <w:proofErr w:type="spellEnd"/>
      <w:r w:rsidRPr="005E1D2B">
        <w:rPr>
          <w:rFonts w:cs="Arial"/>
          <w:sz w:val="20"/>
        </w:rPr>
        <w:t xml:space="preserve"> </w:t>
      </w:r>
      <w:proofErr w:type="spellStart"/>
      <w:r w:rsidRPr="005E1D2B">
        <w:rPr>
          <w:rFonts w:cs="Arial"/>
          <w:sz w:val="20"/>
        </w:rPr>
        <w:t>Insurance</w:t>
      </w:r>
      <w:proofErr w:type="spellEnd"/>
      <w:r w:rsidRPr="005E1D2B">
        <w:rPr>
          <w:rFonts w:cs="Arial"/>
          <w:sz w:val="20"/>
        </w:rPr>
        <w:t xml:space="preserve"> Group, Praha </w:t>
      </w:r>
      <w:r>
        <w:rPr>
          <w:rFonts w:cs="Arial"/>
          <w:sz w:val="20"/>
        </w:rPr>
        <w:t>8</w:t>
      </w:r>
      <w:r w:rsidRPr="005E1D2B">
        <w:rPr>
          <w:rFonts w:cs="Arial"/>
          <w:sz w:val="20"/>
        </w:rPr>
        <w:t xml:space="preserve">, </w:t>
      </w:r>
      <w:r>
        <w:rPr>
          <w:rFonts w:cs="Arial"/>
          <w:sz w:val="20"/>
        </w:rPr>
        <w:t>Pobřežní 665/21, PSČ 186 00</w:t>
      </w:r>
    </w:p>
    <w:p w:rsidR="00EB555E" w:rsidRPr="005E1D2B" w:rsidRDefault="00EB555E" w:rsidP="00EB555E">
      <w:pPr>
        <w:spacing w:line="280" w:lineRule="exact"/>
        <w:rPr>
          <w:rFonts w:cs="Arial"/>
          <w:sz w:val="20"/>
        </w:rPr>
      </w:pPr>
      <w:r w:rsidRPr="005E1D2B">
        <w:rPr>
          <w:rFonts w:cs="Arial"/>
          <w:sz w:val="20"/>
        </w:rPr>
        <w:t xml:space="preserve">tel. </w:t>
      </w:r>
      <w:r>
        <w:rPr>
          <w:rFonts w:cs="Arial"/>
          <w:sz w:val="20"/>
        </w:rPr>
        <w:t>956 421 111 fax 956 449</w:t>
      </w:r>
      <w:r w:rsidR="00615ED5">
        <w:rPr>
          <w:rFonts w:cs="Arial"/>
          <w:sz w:val="20"/>
        </w:rPr>
        <w:t> </w:t>
      </w:r>
      <w:r>
        <w:rPr>
          <w:rFonts w:cs="Arial"/>
          <w:sz w:val="20"/>
        </w:rPr>
        <w:t>000</w:t>
      </w:r>
    </w:p>
    <w:p w:rsidR="00EB555E" w:rsidRDefault="00EB555E" w:rsidP="00EB555E">
      <w:pPr>
        <w:rPr>
          <w:rFonts w:cs="Arial"/>
          <w:sz w:val="20"/>
        </w:rPr>
      </w:pPr>
    </w:p>
    <w:p w:rsidR="00615ED5" w:rsidRDefault="00615ED5" w:rsidP="00EB555E">
      <w:pPr>
        <w:rPr>
          <w:rFonts w:cs="Arial"/>
          <w:sz w:val="20"/>
        </w:rPr>
      </w:pPr>
    </w:p>
    <w:p w:rsidR="00EB555E" w:rsidRDefault="00EB555E" w:rsidP="00EB555E">
      <w:pPr>
        <w:rPr>
          <w:rFonts w:cs="Arial"/>
          <w:sz w:val="20"/>
        </w:rPr>
      </w:pPr>
      <w:r>
        <w:rPr>
          <w:rFonts w:cs="Arial"/>
          <w:sz w:val="20"/>
        </w:rPr>
        <w:t>a</w:t>
      </w:r>
    </w:p>
    <w:p w:rsidR="00EB555E" w:rsidRDefault="00EB555E" w:rsidP="00EB555E">
      <w:pPr>
        <w:rPr>
          <w:rFonts w:cs="Arial"/>
          <w:sz w:val="20"/>
        </w:rPr>
      </w:pPr>
    </w:p>
    <w:p w:rsidR="00615ED5" w:rsidRDefault="00615ED5" w:rsidP="00EB555E">
      <w:pPr>
        <w:rPr>
          <w:rFonts w:cs="Arial"/>
          <w:sz w:val="20"/>
        </w:rPr>
      </w:pPr>
    </w:p>
    <w:p w:rsidR="00EB555E" w:rsidRDefault="00EB555E" w:rsidP="00EB555E">
      <w:pPr>
        <w:rPr>
          <w:rFonts w:cs="Arial"/>
          <w:b/>
          <w:spacing w:val="20"/>
          <w:sz w:val="32"/>
        </w:rPr>
      </w:pPr>
      <w:proofErr w:type="spellStart"/>
      <w:r>
        <w:rPr>
          <w:rFonts w:cs="Arial"/>
          <w:b/>
          <w:spacing w:val="20"/>
          <w:sz w:val="32"/>
        </w:rPr>
        <w:t>Generali</w:t>
      </w:r>
      <w:proofErr w:type="spellEnd"/>
      <w:r>
        <w:rPr>
          <w:rFonts w:cs="Arial"/>
          <w:b/>
          <w:spacing w:val="20"/>
          <w:sz w:val="32"/>
        </w:rPr>
        <w:t xml:space="preserve"> Pojišťovna a.s.</w:t>
      </w:r>
    </w:p>
    <w:p w:rsidR="00EB555E" w:rsidRPr="006368D9" w:rsidRDefault="00EB555E" w:rsidP="00EB555E">
      <w:pPr>
        <w:rPr>
          <w:rFonts w:cs="Arial"/>
          <w:b/>
        </w:rPr>
      </w:pPr>
      <w:r w:rsidRPr="006368D9">
        <w:rPr>
          <w:rFonts w:cs="Arial"/>
          <w:b/>
        </w:rPr>
        <w:t xml:space="preserve">se sídlem Praha </w:t>
      </w:r>
      <w:r>
        <w:rPr>
          <w:rFonts w:cs="Arial"/>
          <w:b/>
        </w:rPr>
        <w:t>2</w:t>
      </w:r>
      <w:r w:rsidRPr="006368D9">
        <w:rPr>
          <w:rFonts w:cs="Arial"/>
          <w:b/>
        </w:rPr>
        <w:t xml:space="preserve">, </w:t>
      </w:r>
      <w:r>
        <w:rPr>
          <w:rFonts w:cs="Arial"/>
          <w:b/>
        </w:rPr>
        <w:t>Bělehradská 132, PSČ 120 00, Česká republika</w:t>
      </w:r>
    </w:p>
    <w:p w:rsidR="00EB555E" w:rsidRPr="006368D9" w:rsidRDefault="00EB555E" w:rsidP="00EB555E">
      <w:pPr>
        <w:rPr>
          <w:rFonts w:cs="Arial"/>
          <w:b/>
        </w:rPr>
      </w:pPr>
      <w:r w:rsidRPr="006368D9">
        <w:rPr>
          <w:rFonts w:cs="Arial"/>
          <w:b/>
        </w:rPr>
        <w:t xml:space="preserve">IČO: </w:t>
      </w:r>
      <w:r>
        <w:rPr>
          <w:rFonts w:cs="Arial"/>
          <w:b/>
        </w:rPr>
        <w:t>61859869</w:t>
      </w:r>
    </w:p>
    <w:p w:rsidR="00EB555E" w:rsidRPr="006368D9" w:rsidRDefault="00EB555E" w:rsidP="00EB555E">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xml:space="preserve">. zn. B </w:t>
      </w:r>
      <w:r>
        <w:rPr>
          <w:rFonts w:cs="Arial"/>
          <w:sz w:val="20"/>
        </w:rPr>
        <w:t>2866</w:t>
      </w:r>
    </w:p>
    <w:p w:rsidR="00EB555E" w:rsidRPr="006368D9" w:rsidRDefault="00EB555E" w:rsidP="00EB555E">
      <w:pPr>
        <w:rPr>
          <w:rFonts w:cs="Arial"/>
          <w:sz w:val="20"/>
        </w:rPr>
      </w:pPr>
      <w:r>
        <w:rPr>
          <w:rFonts w:cs="Arial"/>
          <w:sz w:val="20"/>
        </w:rPr>
        <w:t>jako (</w:t>
      </w:r>
      <w:proofErr w:type="spellStart"/>
      <w:r>
        <w:rPr>
          <w:rFonts w:cs="Arial"/>
          <w:sz w:val="20"/>
        </w:rPr>
        <w:t>sou</w:t>
      </w:r>
      <w:proofErr w:type="spellEnd"/>
      <w:r>
        <w:rPr>
          <w:rFonts w:cs="Arial"/>
          <w:sz w:val="20"/>
        </w:rPr>
        <w:t xml:space="preserve">)pojistitel </w:t>
      </w:r>
      <w:r w:rsidRPr="006368D9">
        <w:rPr>
          <w:rFonts w:cs="Arial"/>
          <w:sz w:val="20"/>
        </w:rPr>
        <w:t xml:space="preserve">(dále jen </w:t>
      </w:r>
      <w:r w:rsidRPr="00015562">
        <w:rPr>
          <w:rFonts w:cs="Arial"/>
          <w:b/>
          <w:sz w:val="20"/>
        </w:rPr>
        <w:t>„</w:t>
      </w:r>
      <w:r>
        <w:rPr>
          <w:rFonts w:cs="Arial"/>
          <w:b/>
          <w:sz w:val="20"/>
        </w:rPr>
        <w:t>(</w:t>
      </w:r>
      <w:proofErr w:type="spellStart"/>
      <w:r>
        <w:rPr>
          <w:rFonts w:cs="Arial"/>
          <w:b/>
          <w:sz w:val="20"/>
        </w:rPr>
        <w:t>sou</w:t>
      </w:r>
      <w:proofErr w:type="spellEnd"/>
      <w:r>
        <w:rPr>
          <w:rFonts w:cs="Arial"/>
          <w:b/>
          <w:sz w:val="20"/>
        </w:rPr>
        <w:t>)</w:t>
      </w:r>
      <w:r w:rsidRPr="006368D9">
        <w:rPr>
          <w:rFonts w:cs="Arial"/>
          <w:b/>
          <w:sz w:val="20"/>
        </w:rPr>
        <w:t>pojistitel“</w:t>
      </w:r>
      <w:r w:rsidR="00015562">
        <w:rPr>
          <w:rFonts w:cs="Arial"/>
          <w:sz w:val="20"/>
        </w:rPr>
        <w:t>)</w:t>
      </w:r>
    </w:p>
    <w:p w:rsidR="00985F90" w:rsidRDefault="00EB555E" w:rsidP="00985F90">
      <w:pPr>
        <w:rPr>
          <w:rFonts w:cs="Arial"/>
          <w:sz w:val="20"/>
        </w:rPr>
      </w:pPr>
      <w:r w:rsidRPr="006368D9">
        <w:rPr>
          <w:rFonts w:cs="Arial"/>
          <w:sz w:val="20"/>
        </w:rPr>
        <w:t>zastoupený</w:t>
      </w:r>
      <w:r w:rsidR="00985F90">
        <w:rPr>
          <w:rFonts w:cs="Arial"/>
          <w:sz w:val="20"/>
        </w:rPr>
        <w:tab/>
      </w:r>
      <w:proofErr w:type="spellStart"/>
      <w:r w:rsidR="00316DC8">
        <w:rPr>
          <w:rFonts w:cs="Arial"/>
          <w:sz w:val="20"/>
        </w:rPr>
        <w:t>xxxxx</w:t>
      </w:r>
      <w:proofErr w:type="spellEnd"/>
      <w:r w:rsidR="00985F90">
        <w:rPr>
          <w:rFonts w:cs="Arial"/>
          <w:sz w:val="20"/>
        </w:rPr>
        <w:t xml:space="preserve">, </w:t>
      </w:r>
      <w:r w:rsidR="00DA03DF">
        <w:rPr>
          <w:rFonts w:cs="Arial"/>
          <w:sz w:val="20"/>
        </w:rPr>
        <w:t>hlavním upisovatelem</w:t>
      </w:r>
      <w:r w:rsidR="00985F90">
        <w:rPr>
          <w:rFonts w:cs="Arial"/>
          <w:sz w:val="20"/>
        </w:rPr>
        <w:t>, Úpis korporátních a průmyslových obchodů</w:t>
      </w:r>
    </w:p>
    <w:p w:rsidR="00985F90" w:rsidRDefault="00316DC8" w:rsidP="00985F90">
      <w:pPr>
        <w:ind w:left="709" w:firstLine="709"/>
        <w:rPr>
          <w:rFonts w:cs="Arial"/>
          <w:sz w:val="20"/>
        </w:rPr>
      </w:pPr>
      <w:proofErr w:type="spellStart"/>
      <w:r>
        <w:rPr>
          <w:rFonts w:cs="Arial"/>
          <w:sz w:val="20"/>
        </w:rPr>
        <w:t>xxxxx</w:t>
      </w:r>
      <w:proofErr w:type="spellEnd"/>
      <w:r w:rsidR="00985F90">
        <w:rPr>
          <w:rFonts w:cs="Arial"/>
          <w:sz w:val="20"/>
        </w:rPr>
        <w:t>, upisovatelem, Úpis korporátních a průmyslových obchodů</w:t>
      </w:r>
    </w:p>
    <w:p w:rsidR="00EB555E" w:rsidRDefault="00EB555E" w:rsidP="00EB555E">
      <w:pPr>
        <w:rPr>
          <w:rFonts w:cs="Arial"/>
          <w:sz w:val="20"/>
        </w:rPr>
      </w:pPr>
    </w:p>
    <w:p w:rsidR="00615ED5" w:rsidRDefault="00615ED5" w:rsidP="00EB555E">
      <w:pPr>
        <w:rPr>
          <w:rFonts w:cs="Arial"/>
          <w:sz w:val="20"/>
        </w:rPr>
      </w:pPr>
    </w:p>
    <w:p w:rsidR="00EB555E" w:rsidRDefault="00EB555E" w:rsidP="00EB555E">
      <w:pPr>
        <w:rPr>
          <w:rFonts w:cs="Arial"/>
          <w:sz w:val="20"/>
        </w:rPr>
      </w:pPr>
      <w:r>
        <w:rPr>
          <w:rFonts w:cs="Arial"/>
          <w:sz w:val="20"/>
        </w:rPr>
        <w:t>a</w:t>
      </w:r>
    </w:p>
    <w:p w:rsidR="00EB555E" w:rsidRDefault="00EB555E" w:rsidP="00EB555E">
      <w:pPr>
        <w:rPr>
          <w:rFonts w:cs="Arial"/>
          <w:sz w:val="20"/>
        </w:rPr>
      </w:pPr>
    </w:p>
    <w:p w:rsidR="00615ED5" w:rsidRDefault="00615ED5" w:rsidP="00EB555E">
      <w:pPr>
        <w:rPr>
          <w:rFonts w:cs="Arial"/>
          <w:sz w:val="20"/>
        </w:rPr>
      </w:pPr>
    </w:p>
    <w:p w:rsidR="00EB555E" w:rsidRPr="006368D9" w:rsidRDefault="00EB555E" w:rsidP="00EB555E">
      <w:pPr>
        <w:rPr>
          <w:rFonts w:cs="Arial"/>
          <w:b/>
          <w:spacing w:val="20"/>
          <w:sz w:val="32"/>
        </w:rPr>
      </w:pPr>
      <w:r w:rsidRPr="002163F3">
        <w:rPr>
          <w:rFonts w:cs="Arial"/>
          <w:b/>
          <w:spacing w:val="20"/>
          <w:sz w:val="32"/>
        </w:rPr>
        <w:t>Pojišťovna VZP, a.s.</w:t>
      </w:r>
    </w:p>
    <w:p w:rsidR="00DA03DF" w:rsidRPr="00DA03DF" w:rsidRDefault="00DA03DF" w:rsidP="00DA03DF">
      <w:pPr>
        <w:rPr>
          <w:rFonts w:cs="Arial"/>
          <w:b/>
        </w:rPr>
      </w:pPr>
      <w:r w:rsidRPr="00DA03DF">
        <w:rPr>
          <w:rFonts w:cs="Arial"/>
          <w:b/>
        </w:rPr>
        <w:t xml:space="preserve">se sídlem Praha 8, Ke Štvanici 656/3, PSČ 186 00, Česká republika </w:t>
      </w:r>
    </w:p>
    <w:p w:rsidR="00DA03DF" w:rsidRPr="00DA03DF" w:rsidRDefault="00DA03DF" w:rsidP="00DA03DF">
      <w:pPr>
        <w:rPr>
          <w:rFonts w:cs="Arial"/>
          <w:b/>
        </w:rPr>
      </w:pPr>
      <w:r w:rsidRPr="00DA03DF">
        <w:rPr>
          <w:rFonts w:cs="Arial"/>
          <w:b/>
        </w:rPr>
        <w:t xml:space="preserve">IČO: 27116913 </w:t>
      </w:r>
    </w:p>
    <w:p w:rsidR="00DA03DF" w:rsidRPr="00DA03DF" w:rsidRDefault="00DA03DF" w:rsidP="00DA03DF">
      <w:pPr>
        <w:rPr>
          <w:rFonts w:cs="Arial"/>
          <w:sz w:val="20"/>
        </w:rPr>
      </w:pPr>
      <w:r w:rsidRPr="00DA03DF">
        <w:rPr>
          <w:rFonts w:cs="Arial"/>
          <w:sz w:val="20"/>
        </w:rPr>
        <w:t xml:space="preserve">zapsaná v obchodním rejstříku u Městského soudu v Praze, </w:t>
      </w:r>
      <w:proofErr w:type="spellStart"/>
      <w:r w:rsidRPr="00DA03DF">
        <w:rPr>
          <w:rFonts w:cs="Arial"/>
          <w:sz w:val="20"/>
        </w:rPr>
        <w:t>sp</w:t>
      </w:r>
      <w:proofErr w:type="spellEnd"/>
      <w:r w:rsidRPr="00DA03DF">
        <w:rPr>
          <w:rFonts w:cs="Arial"/>
          <w:sz w:val="20"/>
        </w:rPr>
        <w:t>. zn. B 9100</w:t>
      </w:r>
    </w:p>
    <w:p w:rsidR="00DA03DF" w:rsidRPr="00DA03DF" w:rsidRDefault="00DA03DF" w:rsidP="00DA03DF">
      <w:pPr>
        <w:rPr>
          <w:rFonts w:cs="Arial"/>
          <w:sz w:val="20"/>
        </w:rPr>
      </w:pPr>
      <w:r w:rsidRPr="00DA03DF">
        <w:rPr>
          <w:rFonts w:cs="Arial"/>
          <w:sz w:val="20"/>
        </w:rPr>
        <w:t>jako (</w:t>
      </w:r>
      <w:proofErr w:type="spellStart"/>
      <w:r w:rsidRPr="00DA03DF">
        <w:rPr>
          <w:rFonts w:cs="Arial"/>
          <w:sz w:val="20"/>
        </w:rPr>
        <w:t>sou</w:t>
      </w:r>
      <w:proofErr w:type="spellEnd"/>
      <w:r w:rsidRPr="00DA03DF">
        <w:rPr>
          <w:rFonts w:cs="Arial"/>
          <w:sz w:val="20"/>
        </w:rPr>
        <w:t xml:space="preserve">)pojistitel (dále jen </w:t>
      </w:r>
      <w:r w:rsidRPr="00DA03DF">
        <w:rPr>
          <w:rFonts w:cs="Arial"/>
          <w:b/>
          <w:sz w:val="20"/>
        </w:rPr>
        <w:t>„(</w:t>
      </w:r>
      <w:proofErr w:type="spellStart"/>
      <w:r w:rsidRPr="00DA03DF">
        <w:rPr>
          <w:rFonts w:cs="Arial"/>
          <w:b/>
          <w:sz w:val="20"/>
        </w:rPr>
        <w:t>sou</w:t>
      </w:r>
      <w:proofErr w:type="spellEnd"/>
      <w:r w:rsidRPr="00DA03DF">
        <w:rPr>
          <w:rFonts w:cs="Arial"/>
          <w:b/>
          <w:sz w:val="20"/>
        </w:rPr>
        <w:t>)pojistitel“</w:t>
      </w:r>
      <w:r w:rsidRPr="00DA03DF">
        <w:rPr>
          <w:rFonts w:cs="Arial"/>
          <w:sz w:val="20"/>
        </w:rPr>
        <w:t>)</w:t>
      </w:r>
    </w:p>
    <w:p w:rsidR="00DA03DF" w:rsidRPr="00DA03DF" w:rsidRDefault="00DA03DF" w:rsidP="00DA03DF">
      <w:pPr>
        <w:rPr>
          <w:rFonts w:cs="Arial"/>
          <w:sz w:val="20"/>
        </w:rPr>
      </w:pPr>
      <w:r w:rsidRPr="00DA03DF">
        <w:rPr>
          <w:rFonts w:cs="Arial"/>
          <w:sz w:val="20"/>
        </w:rPr>
        <w:t xml:space="preserve">zastoupený </w:t>
      </w:r>
      <w:r w:rsidRPr="00DA03DF">
        <w:rPr>
          <w:rFonts w:cs="Arial"/>
          <w:sz w:val="20"/>
        </w:rPr>
        <w:tab/>
      </w:r>
      <w:proofErr w:type="spellStart"/>
      <w:r w:rsidR="00316DC8">
        <w:rPr>
          <w:rFonts w:cs="Arial"/>
          <w:sz w:val="20"/>
        </w:rPr>
        <w:t>xxxxx</w:t>
      </w:r>
      <w:proofErr w:type="spellEnd"/>
      <w:r w:rsidRPr="00DA03DF">
        <w:rPr>
          <w:rFonts w:cs="Arial"/>
          <w:sz w:val="20"/>
        </w:rPr>
        <w:t xml:space="preserve">, předsedou představenstva </w:t>
      </w:r>
    </w:p>
    <w:p w:rsidR="00DA03DF" w:rsidRPr="00DA03DF" w:rsidRDefault="00316DC8" w:rsidP="00DA03DF">
      <w:pPr>
        <w:ind w:left="709" w:firstLine="709"/>
        <w:rPr>
          <w:rFonts w:cs="Arial"/>
          <w:sz w:val="20"/>
        </w:rPr>
      </w:pPr>
      <w:proofErr w:type="spellStart"/>
      <w:r>
        <w:rPr>
          <w:rFonts w:cs="Arial"/>
          <w:sz w:val="20"/>
        </w:rPr>
        <w:t>xxxxx</w:t>
      </w:r>
      <w:proofErr w:type="spellEnd"/>
      <w:r w:rsidR="00DA03DF" w:rsidRPr="00DA03DF">
        <w:rPr>
          <w:rFonts w:cs="Arial"/>
          <w:sz w:val="20"/>
        </w:rPr>
        <w:t>, místopředsedkyní představenstva</w:t>
      </w:r>
    </w:p>
    <w:p w:rsidR="00EB555E" w:rsidRPr="00DA03DF" w:rsidRDefault="00EB555E" w:rsidP="00C0211D">
      <w:pPr>
        <w:spacing w:line="280" w:lineRule="exact"/>
        <w:jc w:val="both"/>
        <w:rPr>
          <w:rFonts w:cs="Arial"/>
          <w:sz w:val="20"/>
        </w:rPr>
      </w:pPr>
    </w:p>
    <w:p w:rsidR="00EB555E" w:rsidRDefault="00EB555E" w:rsidP="00EB555E">
      <w:pPr>
        <w:rPr>
          <w:rFonts w:cs="Arial"/>
          <w:sz w:val="20"/>
        </w:rPr>
      </w:pPr>
    </w:p>
    <w:p w:rsidR="00615ED5" w:rsidRDefault="00615ED5" w:rsidP="00EB555E">
      <w:pPr>
        <w:rPr>
          <w:rFonts w:cs="Arial"/>
          <w:sz w:val="20"/>
        </w:rPr>
      </w:pPr>
    </w:p>
    <w:p w:rsidR="00615ED5" w:rsidRDefault="00615ED5" w:rsidP="00EB555E">
      <w:pPr>
        <w:rPr>
          <w:rFonts w:cs="Arial"/>
          <w:sz w:val="20"/>
        </w:rPr>
      </w:pPr>
    </w:p>
    <w:p w:rsidR="00EB555E" w:rsidRDefault="00EB555E" w:rsidP="00EB555E">
      <w:pPr>
        <w:rPr>
          <w:rFonts w:cs="Arial"/>
          <w:sz w:val="20"/>
        </w:rPr>
      </w:pPr>
      <w:r>
        <w:rPr>
          <w:rFonts w:cs="Arial"/>
          <w:sz w:val="20"/>
        </w:rPr>
        <w:t xml:space="preserve">(dále jen </w:t>
      </w:r>
      <w:r w:rsidRPr="00015562">
        <w:rPr>
          <w:rFonts w:cs="Arial"/>
          <w:b/>
          <w:sz w:val="20"/>
        </w:rPr>
        <w:t>„</w:t>
      </w:r>
      <w:r>
        <w:rPr>
          <w:rFonts w:cs="Arial"/>
          <w:b/>
          <w:sz w:val="20"/>
        </w:rPr>
        <w:t>pojistitel“</w:t>
      </w:r>
      <w:r>
        <w:rPr>
          <w:rFonts w:cs="Arial"/>
          <w:sz w:val="20"/>
        </w:rPr>
        <w:t>)</w:t>
      </w:r>
    </w:p>
    <w:p w:rsidR="00EB555E" w:rsidRPr="004E0017" w:rsidRDefault="00EB555E" w:rsidP="00EB555E">
      <w:pPr>
        <w:rPr>
          <w:rFonts w:cs="Arial"/>
          <w:sz w:val="20"/>
        </w:rPr>
      </w:pPr>
    </w:p>
    <w:p w:rsidR="00EB555E" w:rsidRPr="006368D9" w:rsidRDefault="00EB555E" w:rsidP="00EB555E">
      <w:pPr>
        <w:pStyle w:val="Zkladntext32"/>
        <w:tabs>
          <w:tab w:val="clear" w:pos="-720"/>
        </w:tabs>
        <w:spacing w:line="240" w:lineRule="auto"/>
        <w:rPr>
          <w:rFonts w:ascii="Koop Office" w:hAnsi="Koop Office" w:cs="Arial"/>
        </w:rPr>
      </w:pPr>
      <w:r w:rsidRPr="006368D9">
        <w:rPr>
          <w:rFonts w:ascii="Koop Office" w:hAnsi="Koop Office" w:cs="Arial"/>
        </w:rPr>
        <w:lastRenderedPageBreak/>
        <w:t>a</w:t>
      </w:r>
    </w:p>
    <w:p w:rsidR="00EB555E" w:rsidRDefault="00EB555E" w:rsidP="00EB555E">
      <w:pPr>
        <w:rPr>
          <w:rFonts w:cs="Arial"/>
          <w:sz w:val="20"/>
        </w:rPr>
      </w:pPr>
    </w:p>
    <w:p w:rsidR="00EB555E" w:rsidRPr="00E71674" w:rsidRDefault="00EB555E" w:rsidP="00EB555E">
      <w:pPr>
        <w:jc w:val="both"/>
        <w:rPr>
          <w:rFonts w:cs="Arial"/>
          <w:b/>
          <w:i/>
          <w:sz w:val="32"/>
        </w:rPr>
      </w:pPr>
      <w:r>
        <w:rPr>
          <w:rFonts w:cs="Arial"/>
          <w:b/>
          <w:sz w:val="32"/>
          <w:szCs w:val="32"/>
        </w:rPr>
        <w:t>Ústřední vojenská nemocnice – Vojenská fakultní nemocnice Praha</w:t>
      </w:r>
    </w:p>
    <w:p w:rsidR="00EB555E" w:rsidRDefault="00EB555E" w:rsidP="00EB555E">
      <w:pPr>
        <w:jc w:val="both"/>
        <w:rPr>
          <w:rFonts w:cs="Arial"/>
          <w:b/>
        </w:rPr>
      </w:pPr>
      <w:r>
        <w:rPr>
          <w:rFonts w:cs="Arial"/>
          <w:b/>
        </w:rPr>
        <w:t>se sídlem Praha 6, U vojenské nemocnice 1200, PSČ 169 02, Česká republika</w:t>
      </w:r>
    </w:p>
    <w:p w:rsidR="00EB555E" w:rsidRPr="00E71674" w:rsidRDefault="00EB555E" w:rsidP="00EB555E">
      <w:pPr>
        <w:rPr>
          <w:rFonts w:cs="Arial"/>
          <w:b/>
        </w:rPr>
      </w:pPr>
      <w:r>
        <w:rPr>
          <w:rFonts w:cs="Arial"/>
          <w:b/>
        </w:rPr>
        <w:t>IČO</w:t>
      </w:r>
      <w:r w:rsidRPr="00E71674">
        <w:rPr>
          <w:rFonts w:cs="Arial"/>
          <w:b/>
        </w:rPr>
        <w:t>:</w:t>
      </w:r>
      <w:r>
        <w:rPr>
          <w:rFonts w:cs="Arial"/>
          <w:b/>
        </w:rPr>
        <w:t xml:space="preserve"> 61383082</w:t>
      </w:r>
    </w:p>
    <w:p w:rsidR="00EB555E" w:rsidRPr="006368D9" w:rsidRDefault="00EB555E" w:rsidP="00EB555E">
      <w:pPr>
        <w:jc w:val="both"/>
        <w:rPr>
          <w:rFonts w:cs="Arial"/>
          <w:bCs/>
          <w:sz w:val="20"/>
        </w:rPr>
      </w:pPr>
      <w:r w:rsidRPr="006368D9">
        <w:rPr>
          <w:rFonts w:cs="Arial"/>
          <w:bCs/>
          <w:sz w:val="20"/>
        </w:rPr>
        <w:t xml:space="preserve">(dále jen </w:t>
      </w:r>
      <w:r w:rsidRPr="00015562">
        <w:rPr>
          <w:rFonts w:cs="Arial"/>
          <w:b/>
          <w:bCs/>
          <w:sz w:val="20"/>
        </w:rPr>
        <w:t>„</w:t>
      </w:r>
      <w:r w:rsidRPr="006368D9">
        <w:rPr>
          <w:rFonts w:cs="Arial"/>
          <w:b/>
          <w:sz w:val="20"/>
        </w:rPr>
        <w:t>pojistník“</w:t>
      </w:r>
      <w:r w:rsidRPr="006368D9">
        <w:rPr>
          <w:rFonts w:cs="Arial"/>
          <w:bCs/>
          <w:sz w:val="20"/>
        </w:rPr>
        <w:t>)</w:t>
      </w:r>
    </w:p>
    <w:p w:rsidR="00EB555E" w:rsidRPr="006368D9" w:rsidRDefault="00EB555E" w:rsidP="00EB555E">
      <w:pPr>
        <w:jc w:val="both"/>
        <w:rPr>
          <w:rFonts w:cs="Arial"/>
          <w:bCs/>
          <w:sz w:val="20"/>
        </w:rPr>
      </w:pPr>
      <w:r>
        <w:rPr>
          <w:rFonts w:cs="Arial"/>
          <w:bCs/>
          <w:sz w:val="20"/>
        </w:rPr>
        <w:t xml:space="preserve">zastoupený </w:t>
      </w:r>
      <w:proofErr w:type="spellStart"/>
      <w:r w:rsidR="00316DC8">
        <w:rPr>
          <w:rFonts w:cs="Arial"/>
          <w:bCs/>
          <w:sz w:val="20"/>
        </w:rPr>
        <w:t>xxxxx</w:t>
      </w:r>
      <w:proofErr w:type="spellEnd"/>
    </w:p>
    <w:p w:rsidR="00EB555E" w:rsidRPr="006368D9" w:rsidRDefault="00EB555E" w:rsidP="00EB555E">
      <w:pPr>
        <w:jc w:val="both"/>
        <w:rPr>
          <w:rFonts w:cs="Arial"/>
          <w:b/>
          <w:sz w:val="20"/>
        </w:rPr>
      </w:pPr>
      <w:r w:rsidRPr="006368D9">
        <w:rPr>
          <w:rFonts w:cs="Arial"/>
          <w:b/>
          <w:sz w:val="20"/>
        </w:rPr>
        <w:t>Korespondenční adresa:</w:t>
      </w:r>
    </w:p>
    <w:p w:rsidR="00EB555E" w:rsidRPr="006368D9" w:rsidRDefault="00EB555E" w:rsidP="00EB555E">
      <w:pPr>
        <w:rPr>
          <w:rFonts w:cs="Arial"/>
          <w:sz w:val="20"/>
          <w:u w:val="single"/>
        </w:rPr>
      </w:pPr>
      <w:r w:rsidRPr="006368D9">
        <w:rPr>
          <w:rFonts w:cs="Arial"/>
          <w:bCs/>
          <w:sz w:val="20"/>
        </w:rPr>
        <w:t>Korespondenční adresa pojistníka je totožná s korespondenční adresou pojišťovacího makléře.</w:t>
      </w:r>
    </w:p>
    <w:p w:rsidR="00EB555E" w:rsidRDefault="00EB555E" w:rsidP="00EB555E">
      <w:pPr>
        <w:rPr>
          <w:rFonts w:cs="Arial"/>
          <w:b/>
          <w:sz w:val="20"/>
        </w:rPr>
      </w:pPr>
    </w:p>
    <w:p w:rsidR="006444A9" w:rsidRDefault="006444A9" w:rsidP="006444A9">
      <w:pPr>
        <w:rPr>
          <w:rFonts w:cs="Arial"/>
          <w:b/>
          <w:sz w:val="20"/>
          <w:szCs w:val="20"/>
        </w:rPr>
      </w:pPr>
    </w:p>
    <w:p w:rsidR="00015562" w:rsidRPr="000307DD" w:rsidRDefault="00015562" w:rsidP="006444A9">
      <w:pPr>
        <w:rPr>
          <w:rFonts w:cs="Arial"/>
          <w:b/>
          <w:sz w:val="20"/>
          <w:szCs w:val="20"/>
        </w:rPr>
      </w:pPr>
    </w:p>
    <w:p w:rsidR="006444A9" w:rsidRDefault="006444A9" w:rsidP="006444A9">
      <w:pPr>
        <w:rPr>
          <w:rFonts w:cs="Arial"/>
          <w:sz w:val="20"/>
          <w:szCs w:val="20"/>
        </w:rPr>
      </w:pPr>
      <w:r w:rsidRPr="000307DD">
        <w:rPr>
          <w:rFonts w:cs="Arial"/>
          <w:sz w:val="20"/>
          <w:szCs w:val="20"/>
        </w:rPr>
        <w:t xml:space="preserve">uzavírají </w:t>
      </w:r>
    </w:p>
    <w:p w:rsidR="006444A9" w:rsidRDefault="006444A9" w:rsidP="006444A9">
      <w:pPr>
        <w:rPr>
          <w:rFonts w:cs="Arial"/>
          <w:sz w:val="20"/>
          <w:szCs w:val="20"/>
        </w:rPr>
      </w:pPr>
    </w:p>
    <w:p w:rsidR="00015562" w:rsidRDefault="00015562" w:rsidP="006444A9">
      <w:pPr>
        <w:rPr>
          <w:rFonts w:cs="Arial"/>
          <w:sz w:val="20"/>
          <w:szCs w:val="20"/>
        </w:rPr>
      </w:pPr>
    </w:p>
    <w:p w:rsidR="00015562" w:rsidRDefault="00015562" w:rsidP="006444A9">
      <w:pPr>
        <w:rPr>
          <w:rFonts w:cs="Arial"/>
          <w:sz w:val="20"/>
          <w:szCs w:val="20"/>
        </w:rPr>
      </w:pPr>
    </w:p>
    <w:p w:rsidR="00015562" w:rsidRPr="000307DD" w:rsidRDefault="00015562" w:rsidP="006444A9">
      <w:pPr>
        <w:rPr>
          <w:rFonts w:cs="Arial"/>
          <w:sz w:val="20"/>
          <w:szCs w:val="20"/>
        </w:rPr>
      </w:pPr>
    </w:p>
    <w:p w:rsidR="00C31187" w:rsidRDefault="00C31187" w:rsidP="00C31187">
      <w:pPr>
        <w:pStyle w:val="Zkladntext32"/>
        <w:spacing w:line="240" w:lineRule="auto"/>
        <w:jc w:val="both"/>
        <w:rPr>
          <w:rFonts w:ascii="Koop Office" w:hAnsi="Koop Office" w:cs="Arial"/>
        </w:rPr>
      </w:pPr>
      <w:r w:rsidRPr="006368D9">
        <w:rPr>
          <w:rFonts w:ascii="Koop Office" w:hAnsi="Koop Office" w:cs="Arial"/>
        </w:rPr>
        <w:t xml:space="preserve">ve smyslu zákona č. 89/2012 Sb., občanského zákoníku, </w:t>
      </w:r>
      <w:r>
        <w:rPr>
          <w:rFonts w:ascii="Koop Office" w:hAnsi="Koop Office" w:cs="Arial"/>
        </w:rPr>
        <w:t xml:space="preserve">tento dodatek, který </w:t>
      </w:r>
      <w:r w:rsidRPr="006368D9">
        <w:rPr>
          <w:rFonts w:ascii="Koop Office" w:hAnsi="Koop Office" w:cs="Arial"/>
        </w:rPr>
        <w:t>spolu s</w:t>
      </w:r>
      <w:r>
        <w:rPr>
          <w:rFonts w:ascii="Koop Office" w:hAnsi="Koop Office" w:cs="Arial"/>
        </w:rPr>
        <w:t xml:space="preserve"> výše uvedenou pojistnou smlouvou, </w:t>
      </w:r>
      <w:r w:rsidRPr="006368D9">
        <w:rPr>
          <w:rFonts w:ascii="Koop Office" w:hAnsi="Koop Office" w:cs="Arial"/>
        </w:rPr>
        <w:t>pojistnými podmínkami pojistitele a přílohami, na které se</w:t>
      </w:r>
      <w:r>
        <w:rPr>
          <w:rFonts w:ascii="Koop Office" w:hAnsi="Koop Office" w:cs="Arial"/>
        </w:rPr>
        <w:t xml:space="preserve"> pojistná smlouva (ve znění tohoto dodatku)</w:t>
      </w:r>
      <w:r w:rsidRPr="006368D9">
        <w:rPr>
          <w:rFonts w:ascii="Koop Office" w:hAnsi="Koop Office" w:cs="Arial"/>
        </w:rPr>
        <w:t xml:space="preserve"> odvolává, tvoří nedílný celek.</w:t>
      </w:r>
    </w:p>
    <w:p w:rsidR="006444A9" w:rsidRDefault="006444A9" w:rsidP="00D7357B">
      <w:pPr>
        <w:pStyle w:val="Zkladntext32"/>
        <w:spacing w:line="240" w:lineRule="auto"/>
        <w:jc w:val="both"/>
        <w:rPr>
          <w:rFonts w:ascii="Koop Office" w:hAnsi="Koop Office" w:cs="Arial"/>
          <w:b/>
        </w:rPr>
      </w:pPr>
    </w:p>
    <w:p w:rsidR="00015562" w:rsidRDefault="00015562" w:rsidP="00D7357B">
      <w:pPr>
        <w:pStyle w:val="Zkladntext32"/>
        <w:spacing w:line="240" w:lineRule="auto"/>
        <w:jc w:val="both"/>
        <w:rPr>
          <w:rFonts w:ascii="Koop Office" w:hAnsi="Koop Office" w:cs="Arial"/>
          <w:b/>
        </w:rPr>
      </w:pPr>
    </w:p>
    <w:p w:rsidR="00015562" w:rsidRDefault="00015562" w:rsidP="00D7357B">
      <w:pPr>
        <w:pStyle w:val="Zkladntext32"/>
        <w:spacing w:line="240" w:lineRule="auto"/>
        <w:jc w:val="both"/>
        <w:rPr>
          <w:rFonts w:ascii="Koop Office" w:hAnsi="Koop Office" w:cs="Arial"/>
          <w:b/>
        </w:rPr>
      </w:pPr>
    </w:p>
    <w:p w:rsidR="00015562" w:rsidRPr="006368D9" w:rsidRDefault="00015562" w:rsidP="00D7357B">
      <w:pPr>
        <w:pStyle w:val="Zkladntext32"/>
        <w:spacing w:line="240" w:lineRule="auto"/>
        <w:jc w:val="both"/>
        <w:rPr>
          <w:rFonts w:ascii="Koop Office" w:hAnsi="Koop Office" w:cs="Arial"/>
          <w:b/>
        </w:rPr>
      </w:pPr>
    </w:p>
    <w:p w:rsidR="00D7357B" w:rsidRPr="006368D9" w:rsidRDefault="00D7357B" w:rsidP="00D7357B">
      <w:pPr>
        <w:rPr>
          <w:rFonts w:cs="Arial"/>
          <w:sz w:val="20"/>
        </w:rPr>
      </w:pPr>
    </w:p>
    <w:p w:rsidR="00D7357B" w:rsidRPr="006368D9" w:rsidRDefault="00DF7D71" w:rsidP="006444A9">
      <w:pPr>
        <w:spacing w:after="120"/>
        <w:rPr>
          <w:rFonts w:cs="Arial"/>
          <w:sz w:val="20"/>
        </w:rPr>
      </w:pPr>
      <w:r>
        <w:rPr>
          <w:rFonts w:cs="Arial"/>
          <w:sz w:val="20"/>
        </w:rPr>
        <w:t>Tento dodatek</w:t>
      </w:r>
      <w:r w:rsidR="00D7357B" w:rsidRPr="006368D9">
        <w:rPr>
          <w:rFonts w:cs="Arial"/>
          <w:sz w:val="20"/>
        </w:rPr>
        <w:t xml:space="preserve"> </w:t>
      </w:r>
      <w:r>
        <w:rPr>
          <w:rFonts w:cs="Arial"/>
          <w:sz w:val="20"/>
        </w:rPr>
        <w:t xml:space="preserve">byl sjednán </w:t>
      </w:r>
      <w:r w:rsidR="00D7357B" w:rsidRPr="006368D9">
        <w:rPr>
          <w:rFonts w:cs="Arial"/>
          <w:sz w:val="20"/>
        </w:rPr>
        <w:t xml:space="preserve">prostřednictvím pojišťovacího makléře </w:t>
      </w:r>
    </w:p>
    <w:p w:rsidR="00EB555E" w:rsidRPr="00727ED4" w:rsidRDefault="00EB555E" w:rsidP="00EB555E">
      <w:pPr>
        <w:jc w:val="both"/>
        <w:rPr>
          <w:rFonts w:cs="Arial"/>
          <w:b/>
          <w:sz w:val="32"/>
        </w:rPr>
      </w:pPr>
      <w:r>
        <w:rPr>
          <w:rFonts w:cs="Arial"/>
          <w:b/>
          <w:sz w:val="32"/>
        </w:rPr>
        <w:t>RESPECT, a.s.</w:t>
      </w:r>
    </w:p>
    <w:p w:rsidR="00EB555E" w:rsidRPr="00727ED4" w:rsidRDefault="00EB555E" w:rsidP="00EB555E">
      <w:pPr>
        <w:spacing w:line="280" w:lineRule="exact"/>
        <w:jc w:val="both"/>
        <w:rPr>
          <w:rFonts w:cs="Arial"/>
          <w:b/>
        </w:rPr>
      </w:pPr>
      <w:r w:rsidRPr="00727ED4">
        <w:rPr>
          <w:rFonts w:cs="Arial"/>
          <w:b/>
        </w:rPr>
        <w:t xml:space="preserve">se sídlem Praha </w:t>
      </w:r>
      <w:r>
        <w:rPr>
          <w:rFonts w:cs="Arial"/>
          <w:b/>
        </w:rPr>
        <w:t>4, Pod Krčským lesem 2016/22, PSČ 142 00, Česká republika</w:t>
      </w:r>
    </w:p>
    <w:p w:rsidR="00EB555E" w:rsidRPr="00727ED4" w:rsidRDefault="00EB555E" w:rsidP="00EB555E">
      <w:pPr>
        <w:spacing w:line="280" w:lineRule="exact"/>
        <w:jc w:val="both"/>
        <w:rPr>
          <w:rFonts w:cs="Arial"/>
          <w:b/>
        </w:rPr>
      </w:pPr>
      <w:r w:rsidRPr="00727ED4">
        <w:rPr>
          <w:rFonts w:cs="Arial"/>
          <w:b/>
        </w:rPr>
        <w:t>IČ</w:t>
      </w:r>
      <w:r>
        <w:rPr>
          <w:rFonts w:cs="Arial"/>
          <w:b/>
        </w:rPr>
        <w:t>O</w:t>
      </w:r>
      <w:r w:rsidRPr="00727ED4">
        <w:rPr>
          <w:rFonts w:cs="Arial"/>
          <w:b/>
        </w:rPr>
        <w:t xml:space="preserve">: </w:t>
      </w:r>
      <w:r>
        <w:rPr>
          <w:rFonts w:cs="Arial"/>
          <w:b/>
        </w:rPr>
        <w:t>25146351</w:t>
      </w:r>
    </w:p>
    <w:p w:rsidR="00EB555E" w:rsidRPr="00727ED4" w:rsidRDefault="00EB555E" w:rsidP="00EB555E">
      <w:pPr>
        <w:spacing w:line="280" w:lineRule="exact"/>
        <w:jc w:val="both"/>
        <w:rPr>
          <w:b/>
          <w:sz w:val="20"/>
        </w:rPr>
      </w:pPr>
      <w:r w:rsidRPr="00727ED4">
        <w:rPr>
          <w:bCs/>
          <w:sz w:val="20"/>
        </w:rPr>
        <w:t xml:space="preserve">(dále jen </w:t>
      </w:r>
      <w:r w:rsidRPr="00727ED4">
        <w:rPr>
          <w:b/>
          <w:sz w:val="20"/>
        </w:rPr>
        <w:t>„pojišťovací makléř”</w:t>
      </w:r>
      <w:r w:rsidRPr="00727ED4">
        <w:rPr>
          <w:bCs/>
          <w:sz w:val="20"/>
        </w:rPr>
        <w:t>)</w:t>
      </w:r>
    </w:p>
    <w:p w:rsidR="00EB555E" w:rsidRPr="006368D9" w:rsidRDefault="00EB555E" w:rsidP="00EB555E">
      <w:pPr>
        <w:rPr>
          <w:rFonts w:cs="Arial"/>
          <w:bCs/>
          <w:sz w:val="20"/>
        </w:rPr>
      </w:pPr>
      <w:r w:rsidRPr="006368D9">
        <w:rPr>
          <w:rFonts w:cs="Arial"/>
          <w:b/>
          <w:bCs/>
          <w:sz w:val="20"/>
        </w:rPr>
        <w:t>Korespondenční adresa pojišťovacího makléře:</w:t>
      </w:r>
    </w:p>
    <w:p w:rsidR="00EB555E" w:rsidRPr="006368D9" w:rsidRDefault="00EB555E" w:rsidP="00EB555E">
      <w:pPr>
        <w:rPr>
          <w:rFonts w:cs="Arial"/>
          <w:sz w:val="20"/>
          <w:u w:val="single"/>
        </w:rPr>
      </w:pPr>
      <w:r w:rsidRPr="006368D9">
        <w:rPr>
          <w:rFonts w:cs="Arial"/>
          <w:bCs/>
          <w:sz w:val="20"/>
        </w:rPr>
        <w:t>Korespondenční adresa pojišťovacího makléře je totožná s výše uvedenou adresou pojišťovacího makléře.</w:t>
      </w:r>
    </w:p>
    <w:p w:rsidR="008938E7" w:rsidRPr="006368D9" w:rsidRDefault="008938E7" w:rsidP="008938E7">
      <w:pPr>
        <w:rPr>
          <w:rFonts w:cs="Arial"/>
          <w:sz w:val="20"/>
          <w:u w:val="single"/>
        </w:rPr>
      </w:pPr>
    </w:p>
    <w:p w:rsidR="00295519" w:rsidRDefault="00EB555E" w:rsidP="00062571">
      <w:pPr>
        <w:jc w:val="both"/>
        <w:rPr>
          <w:rFonts w:cs="Arial"/>
          <w:sz w:val="20"/>
        </w:rPr>
      </w:pPr>
      <w:r>
        <w:rPr>
          <w:rFonts w:cs="Arial"/>
          <w:sz w:val="20"/>
        </w:rPr>
        <w:br w:type="column"/>
      </w:r>
      <w:r w:rsidR="00295519">
        <w:rPr>
          <w:rFonts w:cs="Arial"/>
          <w:sz w:val="20"/>
        </w:rPr>
        <w:lastRenderedPageBreak/>
        <w:t>S účinností</w:t>
      </w:r>
      <w:r w:rsidR="00295519" w:rsidRPr="00483DCD">
        <w:rPr>
          <w:rFonts w:cs="Arial"/>
          <w:sz w:val="20"/>
        </w:rPr>
        <w:t xml:space="preserve"> od </w:t>
      </w:r>
      <w:r w:rsidR="00295519">
        <w:rPr>
          <w:rFonts w:cs="Arial"/>
          <w:sz w:val="20"/>
        </w:rPr>
        <w:t>01. 01. 201</w:t>
      </w:r>
      <w:r w:rsidR="000273D3">
        <w:rPr>
          <w:rFonts w:cs="Arial"/>
          <w:sz w:val="20"/>
        </w:rPr>
        <w:t>9</w:t>
      </w:r>
      <w:r w:rsidR="00295519">
        <w:rPr>
          <w:rFonts w:cs="Arial"/>
          <w:sz w:val="20"/>
        </w:rPr>
        <w:t xml:space="preserve"> zní výše uvedená </w:t>
      </w:r>
      <w:r w:rsidR="00295519" w:rsidRPr="00483DCD">
        <w:rPr>
          <w:rFonts w:cs="Arial"/>
          <w:sz w:val="20"/>
        </w:rPr>
        <w:t xml:space="preserve">pojistná smlouva </w:t>
      </w:r>
      <w:r w:rsidR="00295519">
        <w:rPr>
          <w:rFonts w:cs="Arial"/>
          <w:sz w:val="20"/>
        </w:rPr>
        <w:t xml:space="preserve">(včetně výše uvedených údajů o výše uvedených subjektech) </w:t>
      </w:r>
      <w:r w:rsidR="00295519" w:rsidRPr="00483DCD">
        <w:rPr>
          <w:rFonts w:cs="Arial"/>
          <w:sz w:val="20"/>
        </w:rPr>
        <w:t>takto</w:t>
      </w:r>
      <w:r w:rsidR="00295519">
        <w:rPr>
          <w:rFonts w:cs="Arial"/>
          <w:sz w:val="20"/>
        </w:rPr>
        <w:t xml:space="preserve"> </w:t>
      </w:r>
      <w:proofErr w:type="gramStart"/>
      <w:r w:rsidR="00295519">
        <w:rPr>
          <w:rFonts w:cs="Arial"/>
          <w:sz w:val="20"/>
          <w:vertAlign w:val="superscript"/>
        </w:rPr>
        <w:t xml:space="preserve">* </w:t>
      </w:r>
      <w:r w:rsidR="00295519" w:rsidRPr="00483DCD">
        <w:rPr>
          <w:rFonts w:cs="Arial"/>
          <w:sz w:val="20"/>
        </w:rPr>
        <w:t>:</w:t>
      </w:r>
      <w:proofErr w:type="gramEnd"/>
    </w:p>
    <w:p w:rsidR="00295519" w:rsidRPr="000A7B53" w:rsidRDefault="00295519" w:rsidP="00295519">
      <w:pPr>
        <w:tabs>
          <w:tab w:val="left" w:pos="-720"/>
        </w:tabs>
        <w:spacing w:before="120"/>
        <w:jc w:val="both"/>
        <w:rPr>
          <w:sz w:val="20"/>
          <w:szCs w:val="20"/>
          <w:vertAlign w:val="superscript"/>
        </w:rPr>
      </w:pPr>
      <w:r w:rsidRPr="000A7B53">
        <w:rPr>
          <w:rFonts w:cs="Arial"/>
          <w:sz w:val="20"/>
          <w:vertAlign w:val="superscript"/>
        </w:rPr>
        <w:t>* pokud se v tomto novém znění používá pojem „tento dodatek“, považuje se za něj tento dodatek</w:t>
      </w:r>
    </w:p>
    <w:p w:rsidR="004A7AF3" w:rsidRDefault="004A7AF3" w:rsidP="00295519">
      <w:pPr>
        <w:rPr>
          <w:sz w:val="20"/>
          <w:szCs w:val="20"/>
        </w:rPr>
      </w:pPr>
    </w:p>
    <w:p w:rsidR="009F3F8E" w:rsidRPr="009F3F8E" w:rsidRDefault="009F3F8E" w:rsidP="009F3F8E">
      <w:pPr>
        <w:keepNext/>
        <w:jc w:val="center"/>
        <w:rPr>
          <w:rFonts w:cs="Arial"/>
          <w:b/>
          <w:bCs/>
          <w:sz w:val="24"/>
        </w:rPr>
      </w:pPr>
      <w:r w:rsidRPr="009F3F8E">
        <w:rPr>
          <w:rFonts w:cs="Arial"/>
          <w:b/>
          <w:bCs/>
          <w:sz w:val="24"/>
        </w:rPr>
        <w:t>Článek I.</w:t>
      </w:r>
    </w:p>
    <w:p w:rsidR="009F3F8E" w:rsidRPr="009F3F8E" w:rsidRDefault="009F3F8E" w:rsidP="009F3F8E">
      <w:pPr>
        <w:keepNext/>
        <w:jc w:val="center"/>
        <w:rPr>
          <w:b/>
          <w:bCs/>
          <w:sz w:val="24"/>
        </w:rPr>
      </w:pPr>
      <w:r w:rsidRPr="009F3F8E">
        <w:rPr>
          <w:b/>
          <w:bCs/>
          <w:sz w:val="24"/>
        </w:rPr>
        <w:t>Úvodní ustanovení</w:t>
      </w:r>
    </w:p>
    <w:p w:rsidR="00295519" w:rsidRPr="00295519" w:rsidRDefault="00295519" w:rsidP="00291971">
      <w:pPr>
        <w:keepNext/>
        <w:numPr>
          <w:ilvl w:val="0"/>
          <w:numId w:val="13"/>
        </w:numPr>
        <w:tabs>
          <w:tab w:val="left" w:pos="-1418"/>
        </w:tabs>
        <w:spacing w:before="120"/>
        <w:jc w:val="both"/>
        <w:rPr>
          <w:rFonts w:cs="Arial"/>
          <w:sz w:val="20"/>
        </w:rPr>
      </w:pPr>
      <w:r w:rsidRPr="00295519">
        <w:rPr>
          <w:rFonts w:cs="Arial"/>
          <w:sz w:val="20"/>
        </w:rPr>
        <w:t>Pojištěným je pojistník.</w:t>
      </w:r>
    </w:p>
    <w:p w:rsidR="00295519" w:rsidRPr="00295519" w:rsidRDefault="00295519" w:rsidP="00291971">
      <w:pPr>
        <w:keepNext/>
        <w:numPr>
          <w:ilvl w:val="0"/>
          <w:numId w:val="13"/>
        </w:numPr>
        <w:tabs>
          <w:tab w:val="left" w:pos="-1418"/>
        </w:tabs>
        <w:spacing w:before="120"/>
        <w:jc w:val="both"/>
        <w:rPr>
          <w:rFonts w:cs="Arial"/>
          <w:sz w:val="20"/>
          <w:szCs w:val="20"/>
        </w:rPr>
      </w:pPr>
      <w:r w:rsidRPr="00295519">
        <w:rPr>
          <w:rFonts w:cs="Arial"/>
          <w:sz w:val="20"/>
          <w:szCs w:val="20"/>
        </w:rPr>
        <w:t>K tomuto pojištění se vztahují: Všeobecné pojistné podmínky (dále jen „VPP“), Zvláštní pojistné podmínky (dále jen „ZPP“) a Dodatkové pojistné podmínky (dále jen „DPP“).</w:t>
      </w:r>
    </w:p>
    <w:p w:rsidR="00295519" w:rsidRPr="00295519" w:rsidRDefault="00295519" w:rsidP="00295519">
      <w:pPr>
        <w:spacing w:before="120"/>
        <w:ind w:left="425"/>
        <w:jc w:val="both"/>
        <w:rPr>
          <w:b/>
          <w:bCs/>
          <w:sz w:val="20"/>
          <w:szCs w:val="20"/>
        </w:rPr>
      </w:pPr>
      <w:r w:rsidRPr="00295519">
        <w:rPr>
          <w:b/>
          <w:bCs/>
          <w:sz w:val="20"/>
          <w:szCs w:val="20"/>
        </w:rPr>
        <w:t xml:space="preserve">Všeobecné pojistné podmínky </w:t>
      </w:r>
    </w:p>
    <w:p w:rsidR="00295519" w:rsidRPr="00295519" w:rsidRDefault="00295519" w:rsidP="00295519">
      <w:pPr>
        <w:tabs>
          <w:tab w:val="left" w:pos="426"/>
        </w:tabs>
        <w:ind w:left="426"/>
        <w:rPr>
          <w:sz w:val="20"/>
          <w:szCs w:val="20"/>
        </w:rPr>
      </w:pPr>
      <w:r w:rsidRPr="00295519">
        <w:rPr>
          <w:sz w:val="20"/>
          <w:szCs w:val="20"/>
        </w:rPr>
        <w:t>VPP P-100/14 - pro pojištění majetku a odpovědnosti</w:t>
      </w:r>
    </w:p>
    <w:p w:rsidR="00295519" w:rsidRPr="00295519" w:rsidRDefault="00295519" w:rsidP="00295519">
      <w:pPr>
        <w:keepNext/>
        <w:tabs>
          <w:tab w:val="left" w:pos="-720"/>
          <w:tab w:val="left" w:pos="426"/>
        </w:tabs>
        <w:spacing w:before="120"/>
        <w:ind w:left="425"/>
        <w:rPr>
          <w:rFonts w:cs="Arial"/>
          <w:b/>
          <w:bCs/>
          <w:sz w:val="20"/>
          <w:szCs w:val="20"/>
        </w:rPr>
      </w:pPr>
      <w:r w:rsidRPr="00295519">
        <w:rPr>
          <w:rFonts w:cs="Arial"/>
          <w:b/>
          <w:bCs/>
          <w:sz w:val="20"/>
          <w:szCs w:val="20"/>
        </w:rPr>
        <w:t>Zvláštní pojistné podmínky</w:t>
      </w:r>
    </w:p>
    <w:p w:rsidR="00295519" w:rsidRPr="00295519" w:rsidRDefault="00295519" w:rsidP="00295519">
      <w:pPr>
        <w:keepNext/>
        <w:tabs>
          <w:tab w:val="left" w:pos="-720"/>
          <w:tab w:val="left" w:pos="426"/>
        </w:tabs>
        <w:ind w:left="426"/>
        <w:rPr>
          <w:rFonts w:cs="Arial"/>
          <w:bCs/>
          <w:sz w:val="20"/>
          <w:szCs w:val="20"/>
        </w:rPr>
      </w:pPr>
      <w:r w:rsidRPr="00295519">
        <w:rPr>
          <w:rFonts w:cs="Arial"/>
          <w:bCs/>
          <w:sz w:val="20"/>
          <w:szCs w:val="20"/>
        </w:rPr>
        <w:t>ZPP P-700/14 - pro pojištění věci (majetku)</w:t>
      </w:r>
    </w:p>
    <w:p w:rsidR="00295519" w:rsidRPr="00295519" w:rsidRDefault="00295519" w:rsidP="00295519">
      <w:pPr>
        <w:keepNext/>
        <w:tabs>
          <w:tab w:val="left" w:pos="-720"/>
          <w:tab w:val="left" w:pos="426"/>
        </w:tabs>
        <w:ind w:left="426"/>
        <w:rPr>
          <w:rFonts w:cs="Arial"/>
          <w:b/>
          <w:bCs/>
          <w:sz w:val="20"/>
          <w:szCs w:val="20"/>
        </w:rPr>
      </w:pPr>
      <w:r w:rsidRPr="00295519">
        <w:rPr>
          <w:rFonts w:cs="Arial"/>
          <w:bCs/>
          <w:sz w:val="20"/>
          <w:szCs w:val="20"/>
        </w:rPr>
        <w:t>ZPP</w:t>
      </w:r>
      <w:r w:rsidRPr="00295519">
        <w:rPr>
          <w:rFonts w:cs="Arial"/>
          <w:sz w:val="20"/>
          <w:szCs w:val="20"/>
        </w:rPr>
        <w:t xml:space="preserve"> P-200/14 - pro pojištění pro případ odcizení</w:t>
      </w:r>
      <w:r w:rsidRPr="00295519">
        <w:rPr>
          <w:rFonts w:cs="Arial"/>
          <w:sz w:val="20"/>
          <w:szCs w:val="20"/>
        </w:rPr>
        <w:cr/>
      </w:r>
      <w:r w:rsidRPr="00295519">
        <w:rPr>
          <w:rFonts w:cs="Arial"/>
          <w:bCs/>
          <w:sz w:val="20"/>
          <w:szCs w:val="20"/>
        </w:rPr>
        <w:t>ZPP</w:t>
      </w:r>
      <w:r w:rsidRPr="00295519">
        <w:rPr>
          <w:rFonts w:cs="Arial"/>
          <w:sz w:val="20"/>
          <w:szCs w:val="20"/>
        </w:rPr>
        <w:t xml:space="preserve"> P-320/14 - pro pojištění elektronických zařízení</w:t>
      </w:r>
      <w:r w:rsidRPr="00295519">
        <w:rPr>
          <w:rFonts w:cs="Arial"/>
          <w:sz w:val="20"/>
          <w:szCs w:val="20"/>
        </w:rPr>
        <w:cr/>
      </w:r>
      <w:r w:rsidRPr="00295519">
        <w:rPr>
          <w:rFonts w:cs="Arial"/>
          <w:b/>
          <w:bCs/>
          <w:sz w:val="20"/>
          <w:szCs w:val="20"/>
        </w:rPr>
        <w:t>Dodatkové pojistné podmínky</w:t>
      </w:r>
    </w:p>
    <w:p w:rsidR="00295519" w:rsidRPr="00295519" w:rsidRDefault="00295519" w:rsidP="00295519">
      <w:pPr>
        <w:keepNext/>
        <w:tabs>
          <w:tab w:val="left" w:pos="426"/>
        </w:tabs>
        <w:ind w:left="426"/>
        <w:rPr>
          <w:rFonts w:cs="Arial"/>
          <w:sz w:val="20"/>
          <w:szCs w:val="20"/>
        </w:rPr>
      </w:pPr>
      <w:r w:rsidRPr="00295519">
        <w:rPr>
          <w:rFonts w:cs="Arial"/>
          <w:sz w:val="20"/>
          <w:szCs w:val="20"/>
        </w:rPr>
        <w:t>DPP P-520/14 - pro pojištění hospodářských rizik, sestávající se z následujících doložek:</w:t>
      </w:r>
    </w:p>
    <w:p w:rsidR="00295519" w:rsidRPr="00295519" w:rsidRDefault="00295519" w:rsidP="00295519">
      <w:pPr>
        <w:tabs>
          <w:tab w:val="left" w:pos="1440"/>
        </w:tabs>
        <w:ind w:left="426"/>
        <w:rPr>
          <w:sz w:val="20"/>
          <w:szCs w:val="20"/>
        </w:rPr>
      </w:pPr>
    </w:p>
    <w:p w:rsidR="00295519" w:rsidRPr="00295519" w:rsidRDefault="00295519" w:rsidP="00295519">
      <w:pPr>
        <w:tabs>
          <w:tab w:val="left" w:pos="426"/>
        </w:tabs>
        <w:ind w:left="426"/>
        <w:rPr>
          <w:sz w:val="20"/>
          <w:szCs w:val="20"/>
        </w:rPr>
      </w:pPr>
      <w:r w:rsidRPr="00295519">
        <w:rPr>
          <w:rFonts w:cs="Arial"/>
          <w:b/>
          <w:sz w:val="20"/>
          <w:szCs w:val="20"/>
        </w:rPr>
        <w:t>Věci (majetek)</w:t>
      </w:r>
      <w:r w:rsidRPr="00295519">
        <w:rPr>
          <w:rFonts w:cs="Arial"/>
          <w:b/>
          <w:sz w:val="20"/>
          <w:szCs w:val="20"/>
        </w:rPr>
        <w:cr/>
      </w:r>
      <w:r w:rsidRPr="00295519">
        <w:rPr>
          <w:rFonts w:cs="Arial"/>
          <w:sz w:val="20"/>
          <w:szCs w:val="20"/>
        </w:rPr>
        <w:t xml:space="preserve">DALL101 - </w:t>
      </w:r>
      <w:r w:rsidRPr="00295519">
        <w:rPr>
          <w:sz w:val="20"/>
          <w:szCs w:val="20"/>
        </w:rPr>
        <w:t>Lehké stavby, dřevostavby - Výluka (1401)</w:t>
      </w:r>
    </w:p>
    <w:p w:rsidR="00295519" w:rsidRPr="00295519" w:rsidRDefault="00295519" w:rsidP="00295519">
      <w:pPr>
        <w:tabs>
          <w:tab w:val="left" w:pos="1418"/>
        </w:tabs>
        <w:ind w:left="426"/>
        <w:rPr>
          <w:sz w:val="20"/>
          <w:szCs w:val="20"/>
        </w:rPr>
      </w:pPr>
      <w:r w:rsidRPr="00295519">
        <w:rPr>
          <w:rFonts w:cs="Arial"/>
          <w:sz w:val="20"/>
          <w:szCs w:val="20"/>
        </w:rPr>
        <w:t>DALL115 -</w:t>
      </w:r>
      <w:r w:rsidRPr="00295519">
        <w:rPr>
          <w:sz w:val="20"/>
          <w:szCs w:val="20"/>
        </w:rPr>
        <w:t xml:space="preserve"> Nepřímý úder blesku – Rozšíření rozsahu pojištění (1404)</w:t>
      </w:r>
    </w:p>
    <w:p w:rsidR="00295519" w:rsidRPr="00295519" w:rsidRDefault="00295519" w:rsidP="00295519">
      <w:pPr>
        <w:keepNext/>
        <w:tabs>
          <w:tab w:val="left" w:pos="426"/>
        </w:tabs>
        <w:spacing w:before="60"/>
        <w:ind w:left="425"/>
        <w:rPr>
          <w:rFonts w:cs="Arial"/>
          <w:b/>
          <w:sz w:val="20"/>
          <w:szCs w:val="20"/>
        </w:rPr>
      </w:pPr>
      <w:r w:rsidRPr="00295519">
        <w:rPr>
          <w:rFonts w:cs="Arial"/>
          <w:b/>
          <w:sz w:val="20"/>
          <w:szCs w:val="20"/>
        </w:rPr>
        <w:t>Zabezpečení</w:t>
      </w:r>
    </w:p>
    <w:p w:rsidR="00295519" w:rsidRPr="00295519" w:rsidRDefault="00295519" w:rsidP="00295519">
      <w:pPr>
        <w:tabs>
          <w:tab w:val="left" w:pos="426"/>
        </w:tabs>
        <w:ind w:left="1276" w:hanging="850"/>
        <w:rPr>
          <w:rFonts w:cs="Arial"/>
          <w:b/>
          <w:bCs/>
          <w:sz w:val="20"/>
          <w:szCs w:val="20"/>
        </w:rPr>
      </w:pPr>
      <w:proofErr w:type="gramStart"/>
      <w:r w:rsidRPr="00295519">
        <w:rPr>
          <w:rFonts w:cs="Arial"/>
          <w:bCs/>
          <w:sz w:val="20"/>
          <w:szCs w:val="20"/>
        </w:rPr>
        <w:t>DOZ101 - Předepsané</w:t>
      </w:r>
      <w:proofErr w:type="gramEnd"/>
      <w:r w:rsidRPr="00295519">
        <w:rPr>
          <w:rFonts w:cs="Arial"/>
          <w:bCs/>
          <w:sz w:val="20"/>
          <w:szCs w:val="20"/>
        </w:rPr>
        <w:t xml:space="preserve"> způsoby zabezpečení pojištěných věcí (netýká se finančních prostředků a cenných předmětů) (1401)</w:t>
      </w:r>
    </w:p>
    <w:p w:rsidR="00295519" w:rsidRPr="00295519" w:rsidRDefault="00295519" w:rsidP="00295519">
      <w:pPr>
        <w:tabs>
          <w:tab w:val="left" w:pos="426"/>
          <w:tab w:val="left" w:pos="1304"/>
          <w:tab w:val="left" w:pos="1389"/>
        </w:tabs>
        <w:ind w:left="1389" w:hanging="963"/>
        <w:rPr>
          <w:rFonts w:cs="Arial"/>
          <w:bCs/>
          <w:sz w:val="20"/>
          <w:szCs w:val="20"/>
        </w:rPr>
      </w:pPr>
      <w:r w:rsidRPr="00295519">
        <w:rPr>
          <w:rFonts w:cs="Arial"/>
          <w:bCs/>
          <w:sz w:val="20"/>
          <w:szCs w:val="20"/>
        </w:rPr>
        <w:t>DOZ102 - Předepsané způsoby zabezpečení finančních prostředků a cenných předmětů (1401)</w:t>
      </w:r>
    </w:p>
    <w:p w:rsidR="00295519" w:rsidRPr="00295519" w:rsidRDefault="00295519" w:rsidP="00295519">
      <w:pPr>
        <w:tabs>
          <w:tab w:val="left" w:pos="426"/>
        </w:tabs>
        <w:ind w:left="1276" w:hanging="850"/>
        <w:rPr>
          <w:rFonts w:cs="Arial"/>
          <w:b/>
          <w:bCs/>
          <w:sz w:val="20"/>
          <w:szCs w:val="20"/>
        </w:rPr>
      </w:pPr>
      <w:r w:rsidRPr="00295519">
        <w:rPr>
          <w:rFonts w:cs="Arial"/>
          <w:bCs/>
          <w:sz w:val="20"/>
          <w:szCs w:val="20"/>
        </w:rPr>
        <w:t>DOZ104 - Loupež přepravovaných peněz nebo cenin - Předepsané způsoby zabezpečení peněžní hotovosti a cenin přepravovaných osobou provádějící přepravu (1401)</w:t>
      </w:r>
    </w:p>
    <w:p w:rsidR="00295519" w:rsidRPr="00295519" w:rsidRDefault="00295519" w:rsidP="00295519">
      <w:pPr>
        <w:tabs>
          <w:tab w:val="left" w:pos="426"/>
          <w:tab w:val="left" w:pos="1304"/>
          <w:tab w:val="left" w:pos="1389"/>
        </w:tabs>
        <w:ind w:left="1389" w:hanging="963"/>
        <w:rPr>
          <w:rFonts w:cs="Arial"/>
          <w:b/>
          <w:bCs/>
          <w:sz w:val="20"/>
          <w:szCs w:val="20"/>
        </w:rPr>
      </w:pPr>
      <w:r w:rsidRPr="00295519">
        <w:rPr>
          <w:rFonts w:cs="Arial"/>
          <w:bCs/>
          <w:sz w:val="20"/>
          <w:szCs w:val="20"/>
        </w:rPr>
        <w:t>DOZ105 - Předepsané způsoby zabezpečení - Výklad pojmů (1401)</w:t>
      </w:r>
    </w:p>
    <w:p w:rsidR="00295519" w:rsidRPr="00295519" w:rsidRDefault="00295519" w:rsidP="00295519">
      <w:pPr>
        <w:keepNext/>
        <w:tabs>
          <w:tab w:val="left" w:pos="426"/>
        </w:tabs>
        <w:spacing w:before="60"/>
        <w:ind w:left="425"/>
        <w:rPr>
          <w:rFonts w:cs="Arial"/>
          <w:b/>
          <w:sz w:val="20"/>
          <w:szCs w:val="20"/>
        </w:rPr>
      </w:pPr>
      <w:r w:rsidRPr="00295519">
        <w:rPr>
          <w:rFonts w:cs="Arial"/>
          <w:b/>
          <w:sz w:val="20"/>
          <w:szCs w:val="20"/>
        </w:rPr>
        <w:t>Obecné</w:t>
      </w:r>
    </w:p>
    <w:p w:rsidR="00295519" w:rsidRPr="00295519" w:rsidRDefault="00295519" w:rsidP="00295519">
      <w:pPr>
        <w:tabs>
          <w:tab w:val="left" w:pos="426"/>
        </w:tabs>
        <w:ind w:left="426"/>
        <w:rPr>
          <w:rFonts w:cs="Arial"/>
          <w:sz w:val="20"/>
          <w:szCs w:val="20"/>
        </w:rPr>
      </w:pPr>
      <w:r w:rsidRPr="00295519">
        <w:rPr>
          <w:rFonts w:cs="Arial"/>
          <w:sz w:val="20"/>
          <w:szCs w:val="20"/>
        </w:rPr>
        <w:t>DOB101 - Elektronická rizika - Výluka (1401)</w:t>
      </w:r>
    </w:p>
    <w:p w:rsidR="00295519" w:rsidRPr="00295519" w:rsidRDefault="00295519" w:rsidP="00295519">
      <w:pPr>
        <w:tabs>
          <w:tab w:val="left" w:pos="426"/>
        </w:tabs>
        <w:ind w:left="426"/>
        <w:rPr>
          <w:rFonts w:cs="Arial"/>
          <w:sz w:val="20"/>
          <w:szCs w:val="20"/>
        </w:rPr>
      </w:pPr>
      <w:r w:rsidRPr="00295519">
        <w:rPr>
          <w:rFonts w:cs="Arial"/>
          <w:sz w:val="20"/>
          <w:szCs w:val="20"/>
        </w:rPr>
        <w:t>DOB103 - Výklad pojmů pro účely pojistné smlouvy (1401)</w:t>
      </w:r>
    </w:p>
    <w:p w:rsidR="00295519" w:rsidRPr="00295519" w:rsidRDefault="00295519" w:rsidP="00295519">
      <w:pPr>
        <w:tabs>
          <w:tab w:val="left" w:pos="426"/>
        </w:tabs>
        <w:ind w:left="426"/>
        <w:rPr>
          <w:rFonts w:cs="Arial"/>
          <w:sz w:val="20"/>
          <w:szCs w:val="20"/>
        </w:rPr>
      </w:pPr>
      <w:r w:rsidRPr="00295519">
        <w:rPr>
          <w:rFonts w:cs="Arial"/>
          <w:sz w:val="20"/>
          <w:szCs w:val="20"/>
        </w:rPr>
        <w:t>DOB105 - Tíha sněhu, námraza - Vymezení podmínek (1401)</w:t>
      </w:r>
    </w:p>
    <w:p w:rsidR="00295519" w:rsidRPr="00295519" w:rsidRDefault="00295519" w:rsidP="00295519">
      <w:pPr>
        <w:tabs>
          <w:tab w:val="left" w:pos="426"/>
        </w:tabs>
        <w:spacing w:before="60"/>
        <w:ind w:left="425"/>
        <w:rPr>
          <w:b/>
          <w:sz w:val="20"/>
          <w:szCs w:val="20"/>
        </w:rPr>
      </w:pPr>
      <w:r w:rsidRPr="00295519">
        <w:rPr>
          <w:b/>
          <w:sz w:val="20"/>
          <w:szCs w:val="20"/>
        </w:rPr>
        <w:t>Jiné</w:t>
      </w:r>
    </w:p>
    <w:p w:rsidR="00295519" w:rsidRPr="00295519" w:rsidRDefault="00295519" w:rsidP="00295519">
      <w:pPr>
        <w:tabs>
          <w:tab w:val="left" w:pos="426"/>
          <w:tab w:val="left" w:pos="1276"/>
          <w:tab w:val="left" w:pos="1418"/>
        </w:tabs>
        <w:ind w:left="426"/>
        <w:rPr>
          <w:b/>
          <w:sz w:val="20"/>
          <w:szCs w:val="20"/>
        </w:rPr>
      </w:pPr>
      <w:r w:rsidRPr="00295519">
        <w:rPr>
          <w:sz w:val="20"/>
          <w:szCs w:val="20"/>
        </w:rPr>
        <w:t xml:space="preserve">DODC102- </w:t>
      </w:r>
      <w:r w:rsidRPr="00295519">
        <w:rPr>
          <w:bCs/>
          <w:sz w:val="20"/>
          <w:szCs w:val="20"/>
        </w:rPr>
        <w:t>Malby, nástřiky nebo polepení - Rozšíření rozsahu pojištění (1401)</w:t>
      </w:r>
    </w:p>
    <w:p w:rsidR="009F3F8E" w:rsidRDefault="009F3F8E" w:rsidP="006C3095">
      <w:pPr>
        <w:pStyle w:val="Odstavecseseznamem"/>
        <w:ind w:left="426" w:hanging="426"/>
        <w:jc w:val="both"/>
        <w:rPr>
          <w:rFonts w:ascii="Koop Office" w:hAnsi="Koop Office"/>
          <w:sz w:val="20"/>
          <w:szCs w:val="20"/>
        </w:rPr>
      </w:pPr>
    </w:p>
    <w:p w:rsidR="00E33CA8" w:rsidRPr="006368D9" w:rsidRDefault="00E33CA8" w:rsidP="00E33CA8">
      <w:pPr>
        <w:keepNext/>
        <w:jc w:val="center"/>
        <w:rPr>
          <w:rFonts w:cs="Arial"/>
          <w:b/>
          <w:bCs/>
          <w:sz w:val="24"/>
        </w:rPr>
      </w:pPr>
      <w:r w:rsidRPr="006368D9">
        <w:rPr>
          <w:rFonts w:cs="Arial"/>
          <w:b/>
          <w:bCs/>
          <w:sz w:val="24"/>
        </w:rPr>
        <w:t>Článek II.</w:t>
      </w:r>
    </w:p>
    <w:p w:rsidR="00E33CA8" w:rsidRPr="006368D9" w:rsidRDefault="00E33CA8" w:rsidP="00E33CA8">
      <w:pPr>
        <w:keepNext/>
        <w:jc w:val="center"/>
        <w:rPr>
          <w:rFonts w:cs="Arial"/>
          <w:b/>
          <w:bCs/>
          <w:sz w:val="24"/>
        </w:rPr>
      </w:pPr>
      <w:r w:rsidRPr="006368D9">
        <w:rPr>
          <w:b/>
          <w:bCs/>
          <w:sz w:val="24"/>
        </w:rPr>
        <w:t>Druhy a způsoby pojištění, předměty a rozsah pojištění</w:t>
      </w:r>
    </w:p>
    <w:p w:rsidR="00295519" w:rsidRPr="006368D9" w:rsidRDefault="00295519" w:rsidP="00291971">
      <w:pPr>
        <w:keepNext/>
        <w:numPr>
          <w:ilvl w:val="0"/>
          <w:numId w:val="9"/>
        </w:numPr>
        <w:spacing w:before="120"/>
        <w:ind w:left="391" w:hanging="391"/>
        <w:rPr>
          <w:rFonts w:cs="Arial"/>
          <w:b/>
          <w:sz w:val="20"/>
        </w:rPr>
      </w:pPr>
      <w:r w:rsidRPr="006368D9">
        <w:rPr>
          <w:rFonts w:cs="Arial"/>
          <w:b/>
          <w:sz w:val="20"/>
        </w:rPr>
        <w:t xml:space="preserve">Obecná ujednání pro pojištění majetku </w:t>
      </w:r>
    </w:p>
    <w:p w:rsidR="00295519" w:rsidRPr="00295519" w:rsidRDefault="00295519" w:rsidP="00291971">
      <w:pPr>
        <w:numPr>
          <w:ilvl w:val="1"/>
          <w:numId w:val="8"/>
        </w:numPr>
        <w:tabs>
          <w:tab w:val="clear" w:pos="360"/>
          <w:tab w:val="left" w:pos="-720"/>
        </w:tabs>
        <w:spacing w:before="120"/>
        <w:ind w:left="425" w:hanging="425"/>
        <w:jc w:val="both"/>
        <w:rPr>
          <w:rFonts w:cs="Arial"/>
          <w:b/>
          <w:sz w:val="20"/>
          <w:szCs w:val="20"/>
        </w:rPr>
      </w:pPr>
      <w:r w:rsidRPr="00295519">
        <w:rPr>
          <w:rFonts w:cs="Arial"/>
          <w:sz w:val="20"/>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295519" w:rsidRPr="00295519" w:rsidRDefault="00295519" w:rsidP="00291971">
      <w:pPr>
        <w:numPr>
          <w:ilvl w:val="1"/>
          <w:numId w:val="8"/>
        </w:numPr>
        <w:tabs>
          <w:tab w:val="clear" w:pos="360"/>
          <w:tab w:val="left" w:pos="-720"/>
        </w:tabs>
        <w:spacing w:before="120"/>
        <w:ind w:left="425" w:hanging="425"/>
        <w:jc w:val="both"/>
        <w:rPr>
          <w:rFonts w:cs="Arial"/>
          <w:sz w:val="20"/>
          <w:szCs w:val="20"/>
        </w:rPr>
      </w:pPr>
      <w:r w:rsidRPr="00295519">
        <w:rPr>
          <w:rFonts w:cs="Arial"/>
          <w:sz w:val="20"/>
          <w:szCs w:val="20"/>
        </w:rPr>
        <w:t>Pro pojištění majetku jsou místem pojištění (není-li dále uvedeno jinak):</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Praha 6</w:t>
      </w:r>
      <w:r w:rsidR="00407B8C">
        <w:rPr>
          <w:rFonts w:cs="Arial"/>
          <w:sz w:val="20"/>
          <w:szCs w:val="20"/>
        </w:rPr>
        <w:t xml:space="preserve"> </w:t>
      </w:r>
      <w:r w:rsidRPr="00295519">
        <w:rPr>
          <w:rFonts w:cs="Arial"/>
          <w:sz w:val="20"/>
          <w:szCs w:val="20"/>
        </w:rPr>
        <w:t>-</w:t>
      </w:r>
      <w:r w:rsidR="00407B8C">
        <w:rPr>
          <w:rFonts w:cs="Arial"/>
          <w:sz w:val="20"/>
          <w:szCs w:val="20"/>
        </w:rPr>
        <w:t xml:space="preserve"> </w:t>
      </w:r>
      <w:r w:rsidRPr="00295519">
        <w:rPr>
          <w:rFonts w:cs="Arial"/>
          <w:sz w:val="20"/>
          <w:szCs w:val="20"/>
        </w:rPr>
        <w:t>Střešovice, U vojenské nemocnice 1200, PSČ 169 02 (areál nemocnice);</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Praha 6, Evropská 1272/5, PSČ 160 00 (Centrum ambulantní péče);</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Praha 1, Sněmovní 4, PSČ 118 26 (Parlament ČR);</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Praha 6</w:t>
      </w:r>
      <w:r w:rsidR="00407B8C">
        <w:rPr>
          <w:rFonts w:cs="Arial"/>
          <w:sz w:val="20"/>
          <w:szCs w:val="20"/>
        </w:rPr>
        <w:t xml:space="preserve"> </w:t>
      </w:r>
      <w:r w:rsidRPr="00295519">
        <w:rPr>
          <w:rFonts w:cs="Arial"/>
          <w:sz w:val="20"/>
          <w:szCs w:val="20"/>
        </w:rPr>
        <w:t>-</w:t>
      </w:r>
      <w:r w:rsidR="00407B8C">
        <w:rPr>
          <w:rFonts w:cs="Arial"/>
          <w:sz w:val="20"/>
          <w:szCs w:val="20"/>
        </w:rPr>
        <w:t xml:space="preserve"> </w:t>
      </w:r>
      <w:r w:rsidRPr="00295519">
        <w:rPr>
          <w:rFonts w:cs="Arial"/>
          <w:sz w:val="20"/>
          <w:szCs w:val="20"/>
        </w:rPr>
        <w:t>Ruzyně, Posádková ubytovna Dědina, ul. Pilotů 217/12, PSČ 160 00;</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 xml:space="preserve">Jilemnice, Masarykova městská nemocnice v Jilemnici, </w:t>
      </w:r>
      <w:proofErr w:type="spellStart"/>
      <w:r w:rsidRPr="00295519">
        <w:rPr>
          <w:rFonts w:cs="Arial"/>
          <w:sz w:val="20"/>
          <w:szCs w:val="20"/>
        </w:rPr>
        <w:t>Metyšova</w:t>
      </w:r>
      <w:proofErr w:type="spellEnd"/>
      <w:r w:rsidRPr="00295519">
        <w:rPr>
          <w:rFonts w:cs="Arial"/>
          <w:sz w:val="20"/>
          <w:szCs w:val="20"/>
        </w:rPr>
        <w:t xml:space="preserve"> 465, PSČ 514 15;</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Louny, Nemocnice Louny, a.s., Rybalkova 1400, PSČ 440 37;</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České Budějovice, Psychologické pracoviště ÚVN Praha, Komenského 1915, PSČ 370 01;</w:t>
      </w:r>
    </w:p>
    <w:p w:rsidR="00295519" w:rsidRPr="00295519" w:rsidRDefault="00295519" w:rsidP="00291971">
      <w:pPr>
        <w:numPr>
          <w:ilvl w:val="2"/>
          <w:numId w:val="8"/>
        </w:numPr>
        <w:tabs>
          <w:tab w:val="clear" w:pos="720"/>
          <w:tab w:val="left" w:pos="-720"/>
          <w:tab w:val="num" w:pos="1134"/>
        </w:tabs>
        <w:spacing w:before="20"/>
        <w:ind w:hanging="295"/>
        <w:jc w:val="both"/>
        <w:rPr>
          <w:rFonts w:cs="Arial"/>
          <w:sz w:val="20"/>
          <w:szCs w:val="20"/>
        </w:rPr>
      </w:pPr>
      <w:r w:rsidRPr="00295519">
        <w:rPr>
          <w:rFonts w:cs="Arial"/>
          <w:sz w:val="20"/>
          <w:szCs w:val="20"/>
        </w:rPr>
        <w:t>další místa na území ČR dle účetní evidence pojištěného.</w:t>
      </w:r>
    </w:p>
    <w:p w:rsidR="00295519" w:rsidRPr="006368D9" w:rsidRDefault="00295519" w:rsidP="00D741C4">
      <w:pPr>
        <w:keepNext/>
        <w:numPr>
          <w:ilvl w:val="0"/>
          <w:numId w:val="9"/>
        </w:numPr>
        <w:spacing w:before="240"/>
        <w:ind w:left="425" w:hanging="425"/>
        <w:rPr>
          <w:rFonts w:cs="Arial"/>
          <w:b/>
          <w:sz w:val="20"/>
        </w:rPr>
      </w:pPr>
      <w:r w:rsidRPr="006368D9">
        <w:rPr>
          <w:rFonts w:cs="Arial"/>
          <w:b/>
          <w:sz w:val="20"/>
        </w:rPr>
        <w:lastRenderedPageBreak/>
        <w:t>Přehled sjednaných pojištění</w:t>
      </w:r>
    </w:p>
    <w:p w:rsidR="00295519" w:rsidRDefault="00295519" w:rsidP="005E365B">
      <w:pPr>
        <w:pStyle w:val="Zkladntext32"/>
        <w:tabs>
          <w:tab w:val="clear" w:pos="-720"/>
        </w:tabs>
        <w:spacing w:before="60" w:line="240" w:lineRule="auto"/>
        <w:ind w:left="425"/>
        <w:jc w:val="both"/>
        <w:rPr>
          <w:rFonts w:ascii="Koop Office" w:hAnsi="Koop Office" w:cs="Arial"/>
        </w:rPr>
      </w:pPr>
      <w:r w:rsidRPr="006368D9">
        <w:rPr>
          <w:rFonts w:ascii="Koop Office" w:hAnsi="Koop Office" w:cs="Arial"/>
        </w:rPr>
        <w:t>Pojištění se sjednává pro předměty pojištění v rozsahu a na místech pojištění uvedených v následující</w:t>
      </w:r>
      <w:r>
        <w:rPr>
          <w:rFonts w:ascii="Koop Office" w:hAnsi="Koop Office" w:cs="Arial"/>
        </w:rPr>
        <w:t>ch</w:t>
      </w:r>
      <w:r w:rsidRPr="006368D9">
        <w:rPr>
          <w:rFonts w:ascii="Koop Office" w:hAnsi="Koop Office" w:cs="Arial"/>
        </w:rPr>
        <w:t xml:space="preserve"> tabulkách:</w:t>
      </w:r>
    </w:p>
    <w:p w:rsidR="00C94A94" w:rsidRPr="00C94A94" w:rsidRDefault="00C94A94" w:rsidP="005E365B">
      <w:pPr>
        <w:keepNext/>
        <w:numPr>
          <w:ilvl w:val="0"/>
          <w:numId w:val="20"/>
        </w:numPr>
        <w:spacing w:before="120"/>
        <w:ind w:hanging="720"/>
        <w:jc w:val="both"/>
        <w:rPr>
          <w:rFonts w:cs="Arial"/>
          <w:b/>
          <w:sz w:val="20"/>
        </w:rPr>
      </w:pPr>
      <w:r w:rsidRPr="00C94A94">
        <w:rPr>
          <w:rFonts w:cs="Arial"/>
          <w:b/>
          <w:sz w:val="20"/>
        </w:rPr>
        <w:t>Pojištění věci (majetku)</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843"/>
        <w:gridCol w:w="1842"/>
        <w:gridCol w:w="1276"/>
        <w:gridCol w:w="1701"/>
      </w:tblGrid>
      <w:tr w:rsidR="00C94A94" w:rsidRPr="00C94A94" w:rsidTr="00910169">
        <w:tc>
          <w:tcPr>
            <w:tcW w:w="10348" w:type="dxa"/>
            <w:gridSpan w:val="6"/>
            <w:shd w:val="clear" w:color="auto" w:fill="auto"/>
          </w:tcPr>
          <w:p w:rsidR="00C94A94" w:rsidRPr="00C94A94" w:rsidRDefault="00C94A94" w:rsidP="00BD509E">
            <w:pPr>
              <w:rPr>
                <w:sz w:val="20"/>
                <w:szCs w:val="20"/>
              </w:rPr>
            </w:pPr>
            <w:r w:rsidRPr="00C94A94">
              <w:rPr>
                <w:b/>
                <w:sz w:val="20"/>
                <w:szCs w:val="20"/>
              </w:rPr>
              <w:t xml:space="preserve">Místo pojištění: </w:t>
            </w:r>
            <w:r w:rsidRPr="00C94A94">
              <w:rPr>
                <w:sz w:val="20"/>
                <w:szCs w:val="20"/>
              </w:rPr>
              <w:t>viz bod 1.2. článku</w:t>
            </w:r>
            <w:r w:rsidR="00BD509E">
              <w:rPr>
                <w:sz w:val="20"/>
                <w:szCs w:val="20"/>
              </w:rPr>
              <w:t xml:space="preserve"> II. pojistné smlouvy</w:t>
            </w:r>
          </w:p>
        </w:tc>
      </w:tr>
      <w:tr w:rsidR="00C94A94" w:rsidRPr="00C94A94" w:rsidTr="00910169">
        <w:tc>
          <w:tcPr>
            <w:tcW w:w="10348" w:type="dxa"/>
            <w:gridSpan w:val="6"/>
            <w:shd w:val="clear" w:color="auto" w:fill="auto"/>
          </w:tcPr>
          <w:p w:rsidR="00C94A94" w:rsidRPr="00C94A94" w:rsidRDefault="00C94A94" w:rsidP="00C94A94">
            <w:pPr>
              <w:jc w:val="both"/>
              <w:rPr>
                <w:rFonts w:eastAsia="Calibri"/>
                <w:b/>
                <w:sz w:val="20"/>
                <w:szCs w:val="20"/>
                <w:lang w:eastAsia="en-US"/>
              </w:rPr>
            </w:pPr>
            <w:r w:rsidRPr="00C94A94">
              <w:rPr>
                <w:b/>
                <w:sz w:val="20"/>
                <w:szCs w:val="20"/>
              </w:rPr>
              <w:t>Rozsah pojištění</w:t>
            </w:r>
            <w:r w:rsidRPr="00C94A94">
              <w:rPr>
                <w:rFonts w:eastAsia="Calibri"/>
                <w:b/>
                <w:sz w:val="20"/>
                <w:szCs w:val="20"/>
                <w:lang w:eastAsia="en-US"/>
              </w:rPr>
              <w:t xml:space="preserve">: </w:t>
            </w:r>
            <w:r w:rsidRPr="00C94A94">
              <w:rPr>
                <w:rFonts w:eastAsia="Calibri" w:cs="Arial"/>
                <w:sz w:val="20"/>
                <w:szCs w:val="20"/>
                <w:lang w:eastAsia="en-US"/>
              </w:rPr>
              <w:t>ZPP P-700/14 část 2. - proti vyjmenovaným pojistným nebezpečím a část 3. - proti všem nebezpečím kromě vyloučených</w:t>
            </w:r>
          </w:p>
        </w:tc>
      </w:tr>
      <w:tr w:rsidR="00C94A94" w:rsidRPr="00C94A94" w:rsidTr="00910169">
        <w:tc>
          <w:tcPr>
            <w:tcW w:w="10348" w:type="dxa"/>
            <w:gridSpan w:val="6"/>
            <w:shd w:val="clear" w:color="auto" w:fill="auto"/>
          </w:tcPr>
          <w:p w:rsidR="00C94A94" w:rsidRPr="00C94A94" w:rsidRDefault="00C94A94" w:rsidP="0027755B">
            <w:pPr>
              <w:rPr>
                <w:sz w:val="20"/>
                <w:szCs w:val="20"/>
              </w:rPr>
            </w:pPr>
            <w:r w:rsidRPr="00C94A94">
              <w:rPr>
                <w:b/>
                <w:sz w:val="20"/>
                <w:szCs w:val="20"/>
              </w:rPr>
              <w:t xml:space="preserve">Pojištění se řídí: </w:t>
            </w:r>
            <w:r w:rsidRPr="00C94A94">
              <w:rPr>
                <w:sz w:val="20"/>
                <w:szCs w:val="20"/>
              </w:rPr>
              <w:t xml:space="preserve">VPP P-100/14, ZPP P-700/14 a doložkami DOB101, DOB103, DOB105, </w:t>
            </w:r>
            <w:r w:rsidR="009F3F8E">
              <w:rPr>
                <w:sz w:val="20"/>
                <w:szCs w:val="20"/>
              </w:rPr>
              <w:t xml:space="preserve">DALL101, </w:t>
            </w:r>
            <w:r w:rsidRPr="00C94A94">
              <w:rPr>
                <w:sz w:val="20"/>
                <w:szCs w:val="20"/>
              </w:rPr>
              <w:t>DALL115</w:t>
            </w:r>
          </w:p>
        </w:tc>
      </w:tr>
      <w:tr w:rsidR="00C94A94" w:rsidRPr="00C94A94" w:rsidTr="00910169">
        <w:trPr>
          <w:trHeight w:val="896"/>
        </w:trPr>
        <w:tc>
          <w:tcPr>
            <w:tcW w:w="709" w:type="dxa"/>
            <w:shd w:val="clear" w:color="auto" w:fill="auto"/>
            <w:vAlign w:val="center"/>
          </w:tcPr>
          <w:p w:rsidR="00C94A94" w:rsidRPr="00C94A94" w:rsidRDefault="00C94A94" w:rsidP="00C94A94">
            <w:pPr>
              <w:jc w:val="center"/>
              <w:rPr>
                <w:b/>
                <w:sz w:val="20"/>
                <w:szCs w:val="20"/>
              </w:rPr>
            </w:pPr>
            <w:proofErr w:type="spellStart"/>
            <w:r w:rsidRPr="00C94A94">
              <w:rPr>
                <w:b/>
                <w:sz w:val="20"/>
                <w:szCs w:val="20"/>
              </w:rPr>
              <w:t>Poř</w:t>
            </w:r>
            <w:proofErr w:type="spellEnd"/>
            <w:r w:rsidRPr="00C94A94">
              <w:rPr>
                <w:b/>
                <w:sz w:val="20"/>
                <w:szCs w:val="20"/>
              </w:rPr>
              <w:t>. číslo</w:t>
            </w:r>
          </w:p>
        </w:tc>
        <w:tc>
          <w:tcPr>
            <w:tcW w:w="2977" w:type="dxa"/>
            <w:shd w:val="clear" w:color="auto" w:fill="auto"/>
            <w:vAlign w:val="center"/>
          </w:tcPr>
          <w:p w:rsidR="00C94A94" w:rsidRPr="00C94A94" w:rsidRDefault="00C94A94" w:rsidP="00C94A94">
            <w:pPr>
              <w:jc w:val="center"/>
              <w:rPr>
                <w:b/>
                <w:sz w:val="20"/>
                <w:szCs w:val="20"/>
              </w:rPr>
            </w:pPr>
            <w:r w:rsidRPr="00C94A94">
              <w:rPr>
                <w:b/>
                <w:sz w:val="20"/>
                <w:szCs w:val="20"/>
              </w:rPr>
              <w:t>Předmět pojištění</w:t>
            </w:r>
          </w:p>
        </w:tc>
        <w:tc>
          <w:tcPr>
            <w:tcW w:w="1843" w:type="dxa"/>
            <w:shd w:val="clear" w:color="auto" w:fill="auto"/>
            <w:vAlign w:val="center"/>
          </w:tcPr>
          <w:p w:rsidR="00C94A94" w:rsidRPr="00C94A94" w:rsidRDefault="00C94A94" w:rsidP="00C94A94">
            <w:pPr>
              <w:jc w:val="center"/>
              <w:rPr>
                <w:b/>
                <w:sz w:val="20"/>
                <w:szCs w:val="20"/>
              </w:rPr>
            </w:pPr>
            <w:r w:rsidRPr="00C94A94">
              <w:rPr>
                <w:b/>
                <w:sz w:val="20"/>
                <w:szCs w:val="20"/>
              </w:rPr>
              <w:t>Pojistná částka</w:t>
            </w:r>
            <w:r w:rsidRPr="00C94A94">
              <w:rPr>
                <w:b/>
                <w:sz w:val="20"/>
                <w:szCs w:val="20"/>
                <w:vertAlign w:val="superscript"/>
              </w:rPr>
              <w:t>10)</w:t>
            </w:r>
          </w:p>
        </w:tc>
        <w:tc>
          <w:tcPr>
            <w:tcW w:w="1842" w:type="dxa"/>
            <w:shd w:val="clear" w:color="auto" w:fill="auto"/>
            <w:vAlign w:val="center"/>
          </w:tcPr>
          <w:p w:rsidR="00C94A94" w:rsidRPr="00C94A94" w:rsidRDefault="00C94A94" w:rsidP="00C94A94">
            <w:pPr>
              <w:jc w:val="center"/>
              <w:rPr>
                <w:b/>
                <w:sz w:val="20"/>
                <w:szCs w:val="20"/>
              </w:rPr>
            </w:pPr>
            <w:r w:rsidRPr="00C94A94">
              <w:rPr>
                <w:b/>
                <w:sz w:val="20"/>
                <w:szCs w:val="20"/>
              </w:rPr>
              <w:t>Spoluúčast</w:t>
            </w:r>
            <w:r w:rsidRPr="00C94A94">
              <w:rPr>
                <w:b/>
                <w:sz w:val="20"/>
                <w:szCs w:val="20"/>
                <w:vertAlign w:val="superscript"/>
              </w:rPr>
              <w:t>5)</w:t>
            </w:r>
          </w:p>
        </w:tc>
        <w:tc>
          <w:tcPr>
            <w:tcW w:w="1276" w:type="dxa"/>
            <w:shd w:val="clear" w:color="auto" w:fill="auto"/>
            <w:vAlign w:val="center"/>
          </w:tcPr>
          <w:p w:rsidR="00C94A94" w:rsidRPr="00C94A94" w:rsidRDefault="00C94A94" w:rsidP="00C94A94">
            <w:pPr>
              <w:jc w:val="center"/>
              <w:rPr>
                <w:b/>
                <w:sz w:val="20"/>
                <w:szCs w:val="20"/>
              </w:rPr>
            </w:pPr>
            <w:r w:rsidRPr="00C94A94">
              <w:rPr>
                <w:b/>
                <w:sz w:val="20"/>
                <w:szCs w:val="20"/>
              </w:rPr>
              <w:t>Pojištění se sjednává na cenu</w:t>
            </w:r>
            <w:r w:rsidRPr="00C94A94">
              <w:rPr>
                <w:b/>
                <w:sz w:val="20"/>
                <w:szCs w:val="20"/>
                <w:vertAlign w:val="superscript"/>
              </w:rPr>
              <w:t>*1)</w:t>
            </w:r>
          </w:p>
        </w:tc>
        <w:tc>
          <w:tcPr>
            <w:tcW w:w="1701" w:type="dxa"/>
            <w:shd w:val="clear" w:color="auto" w:fill="auto"/>
            <w:vAlign w:val="center"/>
          </w:tcPr>
          <w:p w:rsidR="00C94A94" w:rsidRPr="00C94A94" w:rsidRDefault="00C94A94" w:rsidP="00C94A94">
            <w:pPr>
              <w:jc w:val="center"/>
              <w:rPr>
                <w:b/>
                <w:sz w:val="20"/>
                <w:szCs w:val="20"/>
              </w:rPr>
            </w:pPr>
            <w:r w:rsidRPr="00C94A94">
              <w:rPr>
                <w:b/>
                <w:sz w:val="20"/>
                <w:szCs w:val="20"/>
              </w:rPr>
              <w:t>MRLP</w:t>
            </w:r>
            <w:r w:rsidRPr="00C94A94">
              <w:rPr>
                <w:b/>
                <w:sz w:val="20"/>
                <w:szCs w:val="20"/>
                <w:vertAlign w:val="superscript"/>
              </w:rPr>
              <w:t>3)</w:t>
            </w:r>
            <w:r w:rsidRPr="00C94A94">
              <w:rPr>
                <w:b/>
                <w:sz w:val="20"/>
                <w:szCs w:val="20"/>
              </w:rPr>
              <w:t xml:space="preserve"> </w:t>
            </w:r>
          </w:p>
          <w:p w:rsidR="00C94A94" w:rsidRPr="00C94A94" w:rsidRDefault="00C94A94" w:rsidP="00C94A94">
            <w:pPr>
              <w:jc w:val="center"/>
              <w:rPr>
                <w:b/>
                <w:sz w:val="20"/>
                <w:szCs w:val="20"/>
              </w:rPr>
            </w:pPr>
            <w:r w:rsidRPr="00C94A94">
              <w:rPr>
                <w:b/>
                <w:sz w:val="20"/>
                <w:szCs w:val="20"/>
              </w:rPr>
              <w:t>První riziko</w:t>
            </w:r>
            <w:r w:rsidRPr="00C94A94">
              <w:rPr>
                <w:b/>
                <w:sz w:val="20"/>
                <w:szCs w:val="20"/>
                <w:vertAlign w:val="superscript"/>
              </w:rPr>
              <w:t>2)</w:t>
            </w:r>
          </w:p>
        </w:tc>
      </w:tr>
      <w:tr w:rsidR="00C94A94" w:rsidRPr="00C94A94" w:rsidTr="00910169">
        <w:tc>
          <w:tcPr>
            <w:tcW w:w="709" w:type="dxa"/>
            <w:shd w:val="clear" w:color="auto" w:fill="auto"/>
            <w:vAlign w:val="center"/>
          </w:tcPr>
          <w:p w:rsidR="00C94A94" w:rsidRPr="00C94A94" w:rsidRDefault="00C94A94" w:rsidP="00295519">
            <w:pPr>
              <w:jc w:val="center"/>
              <w:rPr>
                <w:sz w:val="20"/>
                <w:szCs w:val="20"/>
              </w:rPr>
            </w:pPr>
            <w:r w:rsidRPr="00C94A94">
              <w:rPr>
                <w:sz w:val="20"/>
                <w:szCs w:val="20"/>
              </w:rPr>
              <w:t>1.</w:t>
            </w:r>
          </w:p>
        </w:tc>
        <w:tc>
          <w:tcPr>
            <w:tcW w:w="2977" w:type="dxa"/>
            <w:shd w:val="clear" w:color="auto" w:fill="auto"/>
            <w:vAlign w:val="center"/>
          </w:tcPr>
          <w:p w:rsidR="00C94A94" w:rsidRPr="002C1FD3" w:rsidRDefault="00C94A94" w:rsidP="00C94A94">
            <w:pPr>
              <w:rPr>
                <w:sz w:val="20"/>
                <w:szCs w:val="20"/>
              </w:rPr>
            </w:pPr>
            <w:r w:rsidRPr="002C1FD3">
              <w:rPr>
                <w:sz w:val="20"/>
                <w:szCs w:val="20"/>
              </w:rPr>
              <w:t>Soubor vlastních budov a ostatních staveb, včetně stavebních součástí a příslušenství budovy nebo ostatní stavby (např. klimatizační zařízení, antény, kamery, elektrické venkovní závory apod.)</w:t>
            </w:r>
          </w:p>
        </w:tc>
        <w:tc>
          <w:tcPr>
            <w:tcW w:w="1843" w:type="dxa"/>
            <w:shd w:val="clear" w:color="auto" w:fill="auto"/>
            <w:vAlign w:val="center"/>
          </w:tcPr>
          <w:p w:rsidR="00C94A94" w:rsidRPr="002C1FD3" w:rsidRDefault="00C94A94" w:rsidP="00FC2C70">
            <w:pPr>
              <w:jc w:val="center"/>
              <w:rPr>
                <w:sz w:val="20"/>
                <w:szCs w:val="20"/>
              </w:rPr>
            </w:pPr>
            <w:r w:rsidRPr="002C1FD3">
              <w:rPr>
                <w:sz w:val="20"/>
                <w:szCs w:val="20"/>
              </w:rPr>
              <w:t>9</w:t>
            </w:r>
            <w:r w:rsidR="00FC2C70" w:rsidRPr="002C1FD3">
              <w:rPr>
                <w:sz w:val="20"/>
                <w:szCs w:val="20"/>
              </w:rPr>
              <w:t> 524 894 160</w:t>
            </w:r>
            <w:r w:rsidRPr="002C1FD3">
              <w:rPr>
                <w:sz w:val="20"/>
                <w:szCs w:val="20"/>
              </w:rPr>
              <w:t xml:space="preserve"> Kč</w:t>
            </w:r>
          </w:p>
        </w:tc>
        <w:tc>
          <w:tcPr>
            <w:tcW w:w="1842" w:type="dxa"/>
            <w:shd w:val="clear" w:color="auto" w:fill="auto"/>
            <w:vAlign w:val="center"/>
          </w:tcPr>
          <w:p w:rsidR="00C94A94" w:rsidRPr="00C94A94" w:rsidRDefault="00C94A94" w:rsidP="00C94A94">
            <w:pPr>
              <w:jc w:val="center"/>
              <w:rPr>
                <w:sz w:val="20"/>
                <w:szCs w:val="20"/>
              </w:rPr>
            </w:pPr>
            <w:r w:rsidRPr="00C94A94">
              <w:rPr>
                <w:sz w:val="20"/>
                <w:szCs w:val="20"/>
              </w:rPr>
              <w:t>Požár 100 000 Kč,</w:t>
            </w:r>
          </w:p>
          <w:p w:rsidR="00C94A94" w:rsidRPr="00C94A94" w:rsidRDefault="00C94A94" w:rsidP="00C94A94">
            <w:pPr>
              <w:jc w:val="center"/>
              <w:rPr>
                <w:sz w:val="20"/>
                <w:szCs w:val="20"/>
              </w:rPr>
            </w:pPr>
            <w:r w:rsidRPr="00C94A94">
              <w:rPr>
                <w:sz w:val="20"/>
                <w:szCs w:val="20"/>
              </w:rPr>
              <w:t xml:space="preserve">ostatní pojistná nebezpečí </w:t>
            </w:r>
          </w:p>
          <w:p w:rsidR="00C94A94" w:rsidRPr="00C94A94" w:rsidRDefault="00C94A94" w:rsidP="00C94A94">
            <w:pPr>
              <w:jc w:val="center"/>
              <w:rPr>
                <w:sz w:val="20"/>
                <w:szCs w:val="20"/>
              </w:rPr>
            </w:pPr>
            <w:r w:rsidRPr="00C94A94">
              <w:rPr>
                <w:sz w:val="20"/>
                <w:szCs w:val="20"/>
              </w:rPr>
              <w:t>50 000 Kč</w:t>
            </w:r>
          </w:p>
        </w:tc>
        <w:tc>
          <w:tcPr>
            <w:tcW w:w="1276" w:type="dxa"/>
            <w:shd w:val="clear" w:color="auto" w:fill="auto"/>
            <w:vAlign w:val="center"/>
          </w:tcPr>
          <w:p w:rsidR="00C94A94" w:rsidRPr="00C94A94" w:rsidRDefault="00C94A94" w:rsidP="00C94A94">
            <w:pPr>
              <w:jc w:val="center"/>
              <w:rPr>
                <w:sz w:val="20"/>
                <w:szCs w:val="20"/>
              </w:rPr>
            </w:pPr>
            <w:r w:rsidRPr="00C94A94">
              <w:rPr>
                <w:sz w:val="20"/>
                <w:szCs w:val="20"/>
              </w:rPr>
              <w:t>*)</w:t>
            </w:r>
          </w:p>
        </w:tc>
        <w:tc>
          <w:tcPr>
            <w:tcW w:w="1701" w:type="dxa"/>
            <w:shd w:val="clear" w:color="auto" w:fill="auto"/>
            <w:vAlign w:val="center"/>
          </w:tcPr>
          <w:p w:rsidR="00C94A94" w:rsidRPr="00C94A94" w:rsidRDefault="00C94A94" w:rsidP="00C94A94">
            <w:pPr>
              <w:jc w:val="center"/>
              <w:rPr>
                <w:sz w:val="20"/>
                <w:szCs w:val="20"/>
              </w:rPr>
            </w:pPr>
            <w:r w:rsidRPr="00C94A94">
              <w:rPr>
                <w:sz w:val="20"/>
                <w:szCs w:val="20"/>
              </w:rPr>
              <w:t>××</w:t>
            </w:r>
          </w:p>
        </w:tc>
      </w:tr>
      <w:tr w:rsidR="00C94A94" w:rsidRPr="00C94A94" w:rsidTr="00910169">
        <w:tc>
          <w:tcPr>
            <w:tcW w:w="709" w:type="dxa"/>
            <w:shd w:val="clear" w:color="auto" w:fill="auto"/>
            <w:vAlign w:val="center"/>
          </w:tcPr>
          <w:p w:rsidR="00C94A94" w:rsidRPr="00C94A94" w:rsidRDefault="00C94A94" w:rsidP="00295519">
            <w:pPr>
              <w:jc w:val="center"/>
              <w:rPr>
                <w:sz w:val="20"/>
                <w:szCs w:val="20"/>
              </w:rPr>
            </w:pPr>
            <w:r w:rsidRPr="00C94A94">
              <w:rPr>
                <w:sz w:val="20"/>
                <w:szCs w:val="20"/>
              </w:rPr>
              <w:t>2.</w:t>
            </w:r>
          </w:p>
        </w:tc>
        <w:tc>
          <w:tcPr>
            <w:tcW w:w="2977" w:type="dxa"/>
            <w:shd w:val="clear" w:color="auto" w:fill="auto"/>
            <w:vAlign w:val="center"/>
          </w:tcPr>
          <w:p w:rsidR="00C94A94" w:rsidRPr="00C94A94" w:rsidRDefault="00C94A94" w:rsidP="00C94A94">
            <w:pPr>
              <w:rPr>
                <w:sz w:val="20"/>
                <w:szCs w:val="20"/>
              </w:rPr>
            </w:pPr>
            <w:r w:rsidRPr="00C94A94">
              <w:rPr>
                <w:sz w:val="20"/>
                <w:szCs w:val="20"/>
              </w:rPr>
              <w:t xml:space="preserve">Vlastní a cizí finanční prostředky (finanční prostředky v místnosti hlavní pokladny ÚVN, v trezoru, ve </w:t>
            </w:r>
            <w:proofErr w:type="spellStart"/>
            <w:r w:rsidRPr="00C94A94">
              <w:rPr>
                <w:sz w:val="20"/>
                <w:szCs w:val="20"/>
              </w:rPr>
              <w:t>výběrních</w:t>
            </w:r>
            <w:proofErr w:type="spellEnd"/>
            <w:r w:rsidRPr="00C94A94">
              <w:rPr>
                <w:sz w:val="20"/>
                <w:szCs w:val="20"/>
              </w:rPr>
              <w:t xml:space="preserve"> automatech, </w:t>
            </w:r>
            <w:proofErr w:type="spellStart"/>
            <w:r w:rsidRPr="00C94A94">
              <w:rPr>
                <w:sz w:val="20"/>
                <w:szCs w:val="20"/>
              </w:rPr>
              <w:t>měničkách</w:t>
            </w:r>
            <w:proofErr w:type="spellEnd"/>
            <w:r w:rsidRPr="00C94A94">
              <w:rPr>
                <w:sz w:val="20"/>
                <w:szCs w:val="20"/>
              </w:rPr>
              <w:t xml:space="preserve"> mincí a venkovním parkovacím automatu)</w:t>
            </w:r>
          </w:p>
        </w:tc>
        <w:tc>
          <w:tcPr>
            <w:tcW w:w="1843" w:type="dxa"/>
            <w:shd w:val="clear" w:color="auto" w:fill="auto"/>
            <w:vAlign w:val="center"/>
          </w:tcPr>
          <w:p w:rsidR="00C94A94" w:rsidRPr="00C94A94" w:rsidRDefault="00C94A94" w:rsidP="00C94A94">
            <w:pPr>
              <w:jc w:val="center"/>
              <w:rPr>
                <w:sz w:val="20"/>
                <w:szCs w:val="20"/>
              </w:rPr>
            </w:pPr>
            <w:r w:rsidRPr="00C94A94">
              <w:rPr>
                <w:sz w:val="20"/>
                <w:szCs w:val="20"/>
              </w:rPr>
              <w:t>××</w:t>
            </w:r>
          </w:p>
        </w:tc>
        <w:tc>
          <w:tcPr>
            <w:tcW w:w="1842" w:type="dxa"/>
            <w:shd w:val="clear" w:color="auto" w:fill="auto"/>
            <w:vAlign w:val="center"/>
          </w:tcPr>
          <w:p w:rsidR="00C94A94" w:rsidRPr="00C94A94" w:rsidRDefault="00C94A94" w:rsidP="00C94A94">
            <w:pPr>
              <w:jc w:val="center"/>
              <w:rPr>
                <w:sz w:val="20"/>
                <w:szCs w:val="20"/>
              </w:rPr>
            </w:pPr>
            <w:r w:rsidRPr="00C94A94">
              <w:rPr>
                <w:sz w:val="20"/>
                <w:szCs w:val="20"/>
              </w:rPr>
              <w:t>5 000 Kč</w:t>
            </w:r>
          </w:p>
        </w:tc>
        <w:tc>
          <w:tcPr>
            <w:tcW w:w="1276" w:type="dxa"/>
            <w:shd w:val="clear" w:color="auto" w:fill="auto"/>
            <w:vAlign w:val="center"/>
          </w:tcPr>
          <w:p w:rsidR="00C94A94" w:rsidRPr="00C94A94" w:rsidRDefault="00C94A94" w:rsidP="00C94A94">
            <w:pPr>
              <w:jc w:val="center"/>
              <w:rPr>
                <w:sz w:val="20"/>
                <w:szCs w:val="20"/>
              </w:rPr>
            </w:pPr>
            <w:r w:rsidRPr="00C94A94">
              <w:rPr>
                <w:sz w:val="20"/>
                <w:szCs w:val="20"/>
              </w:rPr>
              <w:t>*)</w:t>
            </w:r>
          </w:p>
        </w:tc>
        <w:tc>
          <w:tcPr>
            <w:tcW w:w="1701" w:type="dxa"/>
            <w:shd w:val="clear" w:color="auto" w:fill="auto"/>
            <w:vAlign w:val="center"/>
          </w:tcPr>
          <w:p w:rsidR="00C94A94" w:rsidRPr="00C94A94" w:rsidRDefault="00C94A94" w:rsidP="00C94A94">
            <w:pPr>
              <w:jc w:val="center"/>
              <w:rPr>
                <w:sz w:val="20"/>
                <w:szCs w:val="20"/>
              </w:rPr>
            </w:pPr>
            <w:r w:rsidRPr="00C94A94">
              <w:rPr>
                <w:sz w:val="20"/>
                <w:szCs w:val="20"/>
              </w:rPr>
              <w:t>2 500 000 Kč</w:t>
            </w:r>
          </w:p>
        </w:tc>
      </w:tr>
      <w:tr w:rsidR="00C94A94" w:rsidRPr="00C94A94" w:rsidTr="00910169">
        <w:tc>
          <w:tcPr>
            <w:tcW w:w="709" w:type="dxa"/>
            <w:shd w:val="clear" w:color="auto" w:fill="auto"/>
            <w:vAlign w:val="center"/>
          </w:tcPr>
          <w:p w:rsidR="00C94A94" w:rsidRPr="00C94A94" w:rsidRDefault="00C94A94" w:rsidP="00295519">
            <w:pPr>
              <w:jc w:val="center"/>
              <w:rPr>
                <w:sz w:val="20"/>
                <w:szCs w:val="20"/>
              </w:rPr>
            </w:pPr>
            <w:r w:rsidRPr="00C94A94">
              <w:rPr>
                <w:sz w:val="20"/>
                <w:szCs w:val="20"/>
              </w:rPr>
              <w:t>3.</w:t>
            </w:r>
          </w:p>
        </w:tc>
        <w:tc>
          <w:tcPr>
            <w:tcW w:w="2977" w:type="dxa"/>
            <w:shd w:val="clear" w:color="auto" w:fill="auto"/>
            <w:vAlign w:val="center"/>
          </w:tcPr>
          <w:p w:rsidR="00C94A94" w:rsidRPr="00C94A94" w:rsidRDefault="00C94A94" w:rsidP="00C94A94">
            <w:pPr>
              <w:rPr>
                <w:sz w:val="20"/>
                <w:szCs w:val="20"/>
              </w:rPr>
            </w:pPr>
            <w:r w:rsidRPr="00C94A94">
              <w:rPr>
                <w:sz w:val="20"/>
                <w:szCs w:val="20"/>
              </w:rPr>
              <w:t xml:space="preserve">Soubor vlastních a cizích movitých zařízení a vybavení, včetně </w:t>
            </w:r>
            <w:proofErr w:type="spellStart"/>
            <w:r w:rsidRPr="00C94A94">
              <w:rPr>
                <w:sz w:val="20"/>
                <w:szCs w:val="20"/>
              </w:rPr>
              <w:t>výběrních</w:t>
            </w:r>
            <w:proofErr w:type="spellEnd"/>
            <w:r w:rsidRPr="00C94A94">
              <w:rPr>
                <w:sz w:val="20"/>
                <w:szCs w:val="20"/>
              </w:rPr>
              <w:t xml:space="preserve"> automatů, </w:t>
            </w:r>
            <w:proofErr w:type="spellStart"/>
            <w:r w:rsidRPr="00C94A94">
              <w:rPr>
                <w:sz w:val="20"/>
                <w:szCs w:val="20"/>
              </w:rPr>
              <w:t>měniček</w:t>
            </w:r>
            <w:proofErr w:type="spellEnd"/>
            <w:r w:rsidRPr="00C94A94">
              <w:rPr>
                <w:sz w:val="20"/>
                <w:szCs w:val="20"/>
              </w:rPr>
              <w:t xml:space="preserve"> mincí a venkovního parkovacího automatu</w:t>
            </w:r>
          </w:p>
        </w:tc>
        <w:tc>
          <w:tcPr>
            <w:tcW w:w="1843" w:type="dxa"/>
            <w:shd w:val="clear" w:color="auto" w:fill="auto"/>
            <w:vAlign w:val="center"/>
          </w:tcPr>
          <w:p w:rsidR="00C94A94" w:rsidRPr="00C94A94" w:rsidRDefault="00C94A94" w:rsidP="00A74B73">
            <w:pPr>
              <w:jc w:val="center"/>
              <w:rPr>
                <w:sz w:val="20"/>
                <w:szCs w:val="20"/>
              </w:rPr>
            </w:pPr>
            <w:r w:rsidRPr="00A74B73">
              <w:rPr>
                <w:sz w:val="20"/>
                <w:szCs w:val="20"/>
              </w:rPr>
              <w:t>3</w:t>
            </w:r>
            <w:r w:rsidR="00A74B73" w:rsidRPr="00A74B73">
              <w:rPr>
                <w:sz w:val="20"/>
                <w:szCs w:val="20"/>
              </w:rPr>
              <w:t> 487 317 000</w:t>
            </w:r>
            <w:r w:rsidRPr="00A74B73">
              <w:rPr>
                <w:sz w:val="20"/>
                <w:szCs w:val="20"/>
              </w:rPr>
              <w:t xml:space="preserve"> Kč</w:t>
            </w:r>
          </w:p>
        </w:tc>
        <w:tc>
          <w:tcPr>
            <w:tcW w:w="1842" w:type="dxa"/>
            <w:shd w:val="clear" w:color="auto" w:fill="auto"/>
            <w:vAlign w:val="center"/>
          </w:tcPr>
          <w:p w:rsidR="00C94A94" w:rsidRPr="00C94A94" w:rsidRDefault="00C94A94" w:rsidP="00C94A94">
            <w:pPr>
              <w:jc w:val="center"/>
              <w:rPr>
                <w:sz w:val="20"/>
                <w:szCs w:val="20"/>
              </w:rPr>
            </w:pPr>
            <w:r w:rsidRPr="00C94A94">
              <w:rPr>
                <w:sz w:val="20"/>
                <w:szCs w:val="20"/>
              </w:rPr>
              <w:t>Požár 100 000 Kč,</w:t>
            </w:r>
          </w:p>
          <w:p w:rsidR="00C94A94" w:rsidRPr="00C94A94" w:rsidRDefault="00C94A94" w:rsidP="00C94A94">
            <w:pPr>
              <w:jc w:val="center"/>
              <w:rPr>
                <w:sz w:val="20"/>
                <w:szCs w:val="20"/>
              </w:rPr>
            </w:pPr>
            <w:r w:rsidRPr="00C94A94">
              <w:rPr>
                <w:sz w:val="20"/>
                <w:szCs w:val="20"/>
              </w:rPr>
              <w:t xml:space="preserve">ostatní pojistná nebezpečí </w:t>
            </w:r>
          </w:p>
          <w:p w:rsidR="00C94A94" w:rsidRPr="00C94A94" w:rsidRDefault="00C94A94" w:rsidP="00C94A94">
            <w:pPr>
              <w:jc w:val="center"/>
              <w:rPr>
                <w:sz w:val="20"/>
                <w:szCs w:val="20"/>
              </w:rPr>
            </w:pPr>
            <w:r w:rsidRPr="00C94A94">
              <w:rPr>
                <w:sz w:val="20"/>
                <w:szCs w:val="20"/>
              </w:rPr>
              <w:t>50 000 Kč</w:t>
            </w:r>
          </w:p>
        </w:tc>
        <w:tc>
          <w:tcPr>
            <w:tcW w:w="1276" w:type="dxa"/>
            <w:shd w:val="clear" w:color="auto" w:fill="auto"/>
            <w:vAlign w:val="center"/>
          </w:tcPr>
          <w:p w:rsidR="00C94A94" w:rsidRPr="00C94A94" w:rsidRDefault="00C94A94" w:rsidP="00C94A94">
            <w:pPr>
              <w:jc w:val="center"/>
              <w:rPr>
                <w:sz w:val="20"/>
                <w:szCs w:val="20"/>
              </w:rPr>
            </w:pPr>
            <w:r w:rsidRPr="00C94A94">
              <w:rPr>
                <w:sz w:val="20"/>
                <w:szCs w:val="20"/>
              </w:rPr>
              <w:t>*)</w:t>
            </w:r>
          </w:p>
        </w:tc>
        <w:tc>
          <w:tcPr>
            <w:tcW w:w="1701" w:type="dxa"/>
            <w:shd w:val="clear" w:color="auto" w:fill="auto"/>
            <w:vAlign w:val="center"/>
          </w:tcPr>
          <w:p w:rsidR="00C94A94" w:rsidRPr="00C94A94" w:rsidRDefault="00C94A94" w:rsidP="00C94A94">
            <w:pPr>
              <w:jc w:val="center"/>
              <w:rPr>
                <w:sz w:val="20"/>
                <w:szCs w:val="20"/>
              </w:rPr>
            </w:pPr>
            <w:r w:rsidRPr="00C94A94">
              <w:rPr>
                <w:sz w:val="20"/>
                <w:szCs w:val="20"/>
              </w:rPr>
              <w:t>××</w:t>
            </w:r>
          </w:p>
        </w:tc>
      </w:tr>
      <w:tr w:rsidR="00C94A94" w:rsidRPr="00C94A94" w:rsidTr="00910169">
        <w:tc>
          <w:tcPr>
            <w:tcW w:w="709" w:type="dxa"/>
            <w:shd w:val="clear" w:color="auto" w:fill="auto"/>
            <w:vAlign w:val="center"/>
          </w:tcPr>
          <w:p w:rsidR="00C94A94" w:rsidRPr="00C94A94" w:rsidRDefault="00C94A94" w:rsidP="00295519">
            <w:pPr>
              <w:jc w:val="center"/>
              <w:rPr>
                <w:sz w:val="20"/>
                <w:szCs w:val="20"/>
              </w:rPr>
            </w:pPr>
            <w:r w:rsidRPr="00C94A94">
              <w:rPr>
                <w:sz w:val="20"/>
                <w:szCs w:val="20"/>
              </w:rPr>
              <w:t>4.</w:t>
            </w:r>
          </w:p>
        </w:tc>
        <w:tc>
          <w:tcPr>
            <w:tcW w:w="2977" w:type="dxa"/>
            <w:shd w:val="clear" w:color="auto" w:fill="auto"/>
            <w:vAlign w:val="center"/>
          </w:tcPr>
          <w:p w:rsidR="00C94A94" w:rsidRPr="00C94A94" w:rsidRDefault="00C94A94" w:rsidP="00C94A94">
            <w:pPr>
              <w:rPr>
                <w:sz w:val="20"/>
                <w:szCs w:val="20"/>
              </w:rPr>
            </w:pPr>
            <w:r w:rsidRPr="00C94A94">
              <w:rPr>
                <w:sz w:val="20"/>
                <w:szCs w:val="20"/>
              </w:rPr>
              <w:t>Soubor zásob</w:t>
            </w:r>
          </w:p>
        </w:tc>
        <w:tc>
          <w:tcPr>
            <w:tcW w:w="1843" w:type="dxa"/>
            <w:shd w:val="clear" w:color="auto" w:fill="auto"/>
            <w:vAlign w:val="center"/>
          </w:tcPr>
          <w:p w:rsidR="00C94A94" w:rsidRPr="00C94A94" w:rsidRDefault="00C94A94" w:rsidP="00C94A94">
            <w:pPr>
              <w:jc w:val="center"/>
              <w:rPr>
                <w:sz w:val="20"/>
                <w:szCs w:val="20"/>
              </w:rPr>
            </w:pPr>
            <w:r>
              <w:rPr>
                <w:sz w:val="20"/>
                <w:szCs w:val="20"/>
              </w:rPr>
              <w:t>23</w:t>
            </w:r>
            <w:r w:rsidRPr="00C94A94">
              <w:rPr>
                <w:sz w:val="20"/>
                <w:szCs w:val="20"/>
              </w:rPr>
              <w:t> 000 000 Kč</w:t>
            </w:r>
          </w:p>
        </w:tc>
        <w:tc>
          <w:tcPr>
            <w:tcW w:w="1842" w:type="dxa"/>
            <w:shd w:val="clear" w:color="auto" w:fill="auto"/>
            <w:vAlign w:val="center"/>
          </w:tcPr>
          <w:p w:rsidR="00C94A94" w:rsidRPr="00C94A94" w:rsidRDefault="00C94A94" w:rsidP="00C94A94">
            <w:pPr>
              <w:jc w:val="center"/>
              <w:rPr>
                <w:sz w:val="20"/>
                <w:szCs w:val="20"/>
              </w:rPr>
            </w:pPr>
            <w:r w:rsidRPr="00C94A94">
              <w:rPr>
                <w:sz w:val="20"/>
                <w:szCs w:val="20"/>
              </w:rPr>
              <w:t>Požár 100 000 Kč,</w:t>
            </w:r>
          </w:p>
          <w:p w:rsidR="00C94A94" w:rsidRPr="00C94A94" w:rsidRDefault="00C94A94" w:rsidP="00C94A94">
            <w:pPr>
              <w:jc w:val="center"/>
              <w:rPr>
                <w:sz w:val="20"/>
                <w:szCs w:val="20"/>
              </w:rPr>
            </w:pPr>
            <w:r w:rsidRPr="00C94A94">
              <w:rPr>
                <w:sz w:val="20"/>
                <w:szCs w:val="20"/>
              </w:rPr>
              <w:t xml:space="preserve">ostatní pojistná nebezpečí </w:t>
            </w:r>
          </w:p>
          <w:p w:rsidR="00C94A94" w:rsidRPr="00C94A94" w:rsidRDefault="00C94A94" w:rsidP="00C94A94">
            <w:pPr>
              <w:jc w:val="center"/>
              <w:rPr>
                <w:sz w:val="20"/>
                <w:szCs w:val="20"/>
              </w:rPr>
            </w:pPr>
            <w:r w:rsidRPr="00C94A94">
              <w:rPr>
                <w:sz w:val="20"/>
                <w:szCs w:val="20"/>
              </w:rPr>
              <w:t>50 000 Kč</w:t>
            </w:r>
          </w:p>
        </w:tc>
        <w:tc>
          <w:tcPr>
            <w:tcW w:w="1276" w:type="dxa"/>
            <w:shd w:val="clear" w:color="auto" w:fill="auto"/>
            <w:vAlign w:val="center"/>
          </w:tcPr>
          <w:p w:rsidR="00C94A94" w:rsidRPr="00C94A94" w:rsidRDefault="00C94A94" w:rsidP="00C94A94">
            <w:pPr>
              <w:jc w:val="center"/>
              <w:rPr>
                <w:sz w:val="20"/>
                <w:szCs w:val="20"/>
              </w:rPr>
            </w:pPr>
            <w:r w:rsidRPr="00C94A94">
              <w:rPr>
                <w:sz w:val="20"/>
                <w:szCs w:val="20"/>
              </w:rPr>
              <w:t>*)</w:t>
            </w:r>
          </w:p>
        </w:tc>
        <w:tc>
          <w:tcPr>
            <w:tcW w:w="1701" w:type="dxa"/>
            <w:shd w:val="clear" w:color="auto" w:fill="auto"/>
            <w:vAlign w:val="center"/>
          </w:tcPr>
          <w:p w:rsidR="00C94A94" w:rsidRPr="00C94A94" w:rsidRDefault="00C94A94" w:rsidP="00C94A94">
            <w:pPr>
              <w:jc w:val="center"/>
              <w:rPr>
                <w:sz w:val="20"/>
                <w:szCs w:val="20"/>
              </w:rPr>
            </w:pPr>
            <w:r w:rsidRPr="00C94A94">
              <w:rPr>
                <w:sz w:val="20"/>
                <w:szCs w:val="20"/>
              </w:rPr>
              <w:t>××</w:t>
            </w:r>
          </w:p>
        </w:tc>
      </w:tr>
      <w:tr w:rsidR="00C94A94" w:rsidRPr="00C94A94" w:rsidTr="00910169">
        <w:tc>
          <w:tcPr>
            <w:tcW w:w="709" w:type="dxa"/>
            <w:shd w:val="clear" w:color="auto" w:fill="auto"/>
            <w:vAlign w:val="center"/>
          </w:tcPr>
          <w:p w:rsidR="00C94A94" w:rsidRPr="00C94A94" w:rsidRDefault="00C94A94" w:rsidP="00295519">
            <w:pPr>
              <w:jc w:val="center"/>
              <w:rPr>
                <w:sz w:val="20"/>
                <w:szCs w:val="20"/>
              </w:rPr>
            </w:pPr>
            <w:r w:rsidRPr="00C94A94">
              <w:rPr>
                <w:sz w:val="20"/>
                <w:szCs w:val="20"/>
              </w:rPr>
              <w:t>5.</w:t>
            </w:r>
          </w:p>
        </w:tc>
        <w:tc>
          <w:tcPr>
            <w:tcW w:w="2977" w:type="dxa"/>
            <w:shd w:val="clear" w:color="auto" w:fill="auto"/>
            <w:vAlign w:val="center"/>
          </w:tcPr>
          <w:p w:rsidR="00C94A94" w:rsidRPr="00C94A94" w:rsidRDefault="00C94A94" w:rsidP="00C94A94">
            <w:pPr>
              <w:rPr>
                <w:sz w:val="20"/>
                <w:szCs w:val="20"/>
              </w:rPr>
            </w:pPr>
            <w:r w:rsidRPr="00C94A94">
              <w:rPr>
                <w:sz w:val="20"/>
                <w:szCs w:val="20"/>
              </w:rPr>
              <w:t>Soubor zásob – léků uložených v chladicích zařízeních</w:t>
            </w:r>
          </w:p>
        </w:tc>
        <w:tc>
          <w:tcPr>
            <w:tcW w:w="1843" w:type="dxa"/>
            <w:shd w:val="clear" w:color="auto" w:fill="auto"/>
            <w:vAlign w:val="center"/>
          </w:tcPr>
          <w:p w:rsidR="00C94A94" w:rsidRPr="00C94A94" w:rsidRDefault="00C94A94" w:rsidP="00C94A94">
            <w:pPr>
              <w:jc w:val="center"/>
              <w:rPr>
                <w:sz w:val="20"/>
                <w:szCs w:val="20"/>
              </w:rPr>
            </w:pPr>
            <w:r w:rsidRPr="00C94A94">
              <w:rPr>
                <w:sz w:val="20"/>
                <w:szCs w:val="20"/>
              </w:rPr>
              <w:t>××</w:t>
            </w:r>
          </w:p>
        </w:tc>
        <w:tc>
          <w:tcPr>
            <w:tcW w:w="1842" w:type="dxa"/>
            <w:shd w:val="clear" w:color="auto" w:fill="auto"/>
            <w:vAlign w:val="center"/>
          </w:tcPr>
          <w:p w:rsidR="00C94A94" w:rsidRPr="00C94A94" w:rsidRDefault="00C94A94" w:rsidP="00C94A94">
            <w:pPr>
              <w:jc w:val="center"/>
              <w:rPr>
                <w:sz w:val="20"/>
                <w:szCs w:val="20"/>
              </w:rPr>
            </w:pPr>
            <w:r w:rsidRPr="00C94A94">
              <w:rPr>
                <w:sz w:val="20"/>
                <w:szCs w:val="20"/>
              </w:rPr>
              <w:t>5 000 Kč</w:t>
            </w:r>
          </w:p>
        </w:tc>
        <w:tc>
          <w:tcPr>
            <w:tcW w:w="1276" w:type="dxa"/>
            <w:shd w:val="clear" w:color="auto" w:fill="auto"/>
            <w:vAlign w:val="center"/>
          </w:tcPr>
          <w:p w:rsidR="00C94A94" w:rsidRPr="00C94A94" w:rsidRDefault="00C94A94" w:rsidP="00C94A94">
            <w:pPr>
              <w:jc w:val="center"/>
              <w:rPr>
                <w:sz w:val="20"/>
                <w:szCs w:val="20"/>
              </w:rPr>
            </w:pPr>
            <w:r w:rsidRPr="00C94A94">
              <w:rPr>
                <w:sz w:val="20"/>
                <w:szCs w:val="20"/>
              </w:rPr>
              <w:t>*)</w:t>
            </w:r>
          </w:p>
        </w:tc>
        <w:tc>
          <w:tcPr>
            <w:tcW w:w="1701" w:type="dxa"/>
            <w:shd w:val="clear" w:color="auto" w:fill="auto"/>
            <w:vAlign w:val="center"/>
          </w:tcPr>
          <w:p w:rsidR="00C94A94" w:rsidRPr="00C94A94" w:rsidRDefault="00C94A94" w:rsidP="00C94A94">
            <w:pPr>
              <w:jc w:val="center"/>
              <w:rPr>
                <w:sz w:val="20"/>
                <w:szCs w:val="20"/>
              </w:rPr>
            </w:pPr>
            <w:r w:rsidRPr="00C94A94">
              <w:rPr>
                <w:sz w:val="20"/>
                <w:szCs w:val="20"/>
              </w:rPr>
              <w:t>2 000 000 Kč</w:t>
            </w:r>
          </w:p>
        </w:tc>
      </w:tr>
      <w:tr w:rsidR="00C94A94" w:rsidRPr="00C94A94" w:rsidTr="00910169">
        <w:tc>
          <w:tcPr>
            <w:tcW w:w="10348" w:type="dxa"/>
            <w:gridSpan w:val="6"/>
            <w:shd w:val="clear" w:color="auto" w:fill="auto"/>
          </w:tcPr>
          <w:p w:rsidR="00C94A94" w:rsidRPr="00C94A94" w:rsidRDefault="00C94A94" w:rsidP="00C94A94">
            <w:pPr>
              <w:tabs>
                <w:tab w:val="left" w:pos="426"/>
              </w:tabs>
              <w:rPr>
                <w:rFonts w:cs="Arial"/>
                <w:sz w:val="20"/>
                <w:szCs w:val="20"/>
              </w:rPr>
            </w:pPr>
            <w:r w:rsidRPr="00C94A94">
              <w:rPr>
                <w:sz w:val="20"/>
                <w:szCs w:val="20"/>
              </w:rPr>
              <w:t>Poznámky:</w:t>
            </w:r>
          </w:p>
        </w:tc>
      </w:tr>
      <w:tr w:rsidR="00C94A94" w:rsidRPr="00C94A94" w:rsidTr="00910169">
        <w:tc>
          <w:tcPr>
            <w:tcW w:w="10348" w:type="dxa"/>
            <w:gridSpan w:val="6"/>
            <w:shd w:val="clear" w:color="auto" w:fill="auto"/>
          </w:tcPr>
          <w:p w:rsidR="00C94A94" w:rsidRPr="00C94A94" w:rsidRDefault="00C94A94" w:rsidP="00295519">
            <w:pPr>
              <w:tabs>
                <w:tab w:val="left" w:pos="426"/>
              </w:tabs>
              <w:jc w:val="both"/>
              <w:rPr>
                <w:sz w:val="20"/>
                <w:szCs w:val="20"/>
              </w:rPr>
            </w:pPr>
            <w:r w:rsidRPr="00C94A94">
              <w:rPr>
                <w:sz w:val="20"/>
                <w:szCs w:val="20"/>
              </w:rPr>
              <w:t>Odchylně od části 2. ZPP P-700/14 se ujednává, že se pojištění nevztahuje na škody nastalé odcizením a vandalismem.</w:t>
            </w:r>
          </w:p>
        </w:tc>
      </w:tr>
      <w:tr w:rsidR="00C94A94" w:rsidRPr="00C94A94" w:rsidTr="00910169">
        <w:tc>
          <w:tcPr>
            <w:tcW w:w="10348" w:type="dxa"/>
            <w:gridSpan w:val="6"/>
            <w:shd w:val="clear" w:color="auto" w:fill="auto"/>
          </w:tcPr>
          <w:p w:rsidR="00C94A94" w:rsidRPr="00C94A94" w:rsidRDefault="00C94A94" w:rsidP="00295519">
            <w:pPr>
              <w:tabs>
                <w:tab w:val="left" w:pos="426"/>
              </w:tabs>
              <w:jc w:val="both"/>
              <w:rPr>
                <w:sz w:val="20"/>
                <w:szCs w:val="20"/>
              </w:rPr>
            </w:pPr>
            <w:r w:rsidRPr="00C94A94">
              <w:rPr>
                <w:sz w:val="20"/>
                <w:szCs w:val="20"/>
              </w:rPr>
              <w:t xml:space="preserve">Předmět pojištění </w:t>
            </w:r>
            <w:proofErr w:type="spellStart"/>
            <w:r w:rsidRPr="00C94A94">
              <w:rPr>
                <w:sz w:val="20"/>
                <w:szCs w:val="20"/>
              </w:rPr>
              <w:t>poř</w:t>
            </w:r>
            <w:proofErr w:type="spellEnd"/>
            <w:r w:rsidRPr="00C94A94">
              <w:rPr>
                <w:sz w:val="20"/>
                <w:szCs w:val="20"/>
              </w:rPr>
              <w:t>.</w:t>
            </w:r>
            <w:r w:rsidR="00437591">
              <w:rPr>
                <w:sz w:val="20"/>
                <w:szCs w:val="20"/>
              </w:rPr>
              <w:t xml:space="preserve"> </w:t>
            </w:r>
            <w:r w:rsidRPr="00C94A94">
              <w:rPr>
                <w:sz w:val="20"/>
                <w:szCs w:val="20"/>
              </w:rPr>
              <w:t xml:space="preserve">č. 3. - Výše uvedené spoluúčasti neplatí pro výběrní automaty, </w:t>
            </w:r>
            <w:proofErr w:type="spellStart"/>
            <w:r w:rsidRPr="00C94A94">
              <w:rPr>
                <w:sz w:val="20"/>
                <w:szCs w:val="20"/>
              </w:rPr>
              <w:t>měničky</w:t>
            </w:r>
            <w:proofErr w:type="spellEnd"/>
            <w:r w:rsidRPr="00C94A94">
              <w:rPr>
                <w:sz w:val="20"/>
                <w:szCs w:val="20"/>
              </w:rPr>
              <w:t xml:space="preserve"> mincí a venkovní parkovací automat. Pro tyto pojištěné věci se sjednává spoluúčast ve výši 5 000 Kč.</w:t>
            </w:r>
          </w:p>
        </w:tc>
      </w:tr>
      <w:tr w:rsidR="00C94A94" w:rsidRPr="00C94A94" w:rsidTr="00910169">
        <w:tc>
          <w:tcPr>
            <w:tcW w:w="10348" w:type="dxa"/>
            <w:gridSpan w:val="6"/>
            <w:shd w:val="clear" w:color="auto" w:fill="auto"/>
          </w:tcPr>
          <w:p w:rsidR="00C94A94" w:rsidRPr="00C94A94" w:rsidRDefault="00C94A94" w:rsidP="00295519">
            <w:pPr>
              <w:tabs>
                <w:tab w:val="left" w:pos="426"/>
              </w:tabs>
              <w:jc w:val="both"/>
              <w:rPr>
                <w:sz w:val="20"/>
                <w:szCs w:val="20"/>
              </w:rPr>
            </w:pPr>
            <w:r w:rsidRPr="00C94A94">
              <w:rPr>
                <w:sz w:val="20"/>
                <w:szCs w:val="20"/>
              </w:rPr>
              <w:t xml:space="preserve">Předmět pojištění </w:t>
            </w:r>
            <w:proofErr w:type="spellStart"/>
            <w:r w:rsidRPr="00C94A94">
              <w:rPr>
                <w:sz w:val="20"/>
                <w:szCs w:val="20"/>
              </w:rPr>
              <w:t>poř</w:t>
            </w:r>
            <w:proofErr w:type="spellEnd"/>
            <w:r w:rsidRPr="00C94A94">
              <w:rPr>
                <w:sz w:val="20"/>
                <w:szCs w:val="20"/>
              </w:rPr>
              <w:t>.</w:t>
            </w:r>
            <w:r w:rsidR="00437591">
              <w:rPr>
                <w:sz w:val="20"/>
                <w:szCs w:val="20"/>
              </w:rPr>
              <w:t xml:space="preserve"> </w:t>
            </w:r>
            <w:r w:rsidRPr="00C94A94">
              <w:rPr>
                <w:sz w:val="20"/>
                <w:szCs w:val="20"/>
              </w:rPr>
              <w:t xml:space="preserve">č. 5. – Odchylně od ustanovení ZPP P-700/14 pojistitel poskytne pojistné plnění na náhradu věcné škody vzniklé v důsledku poškození nebo zničení zásob – léků uložených v chladicích zařízeních tehdy, pokud toto poškození nebo zničení nastalo vzestupem nebo poklesem chladicí teploty či vniknutím chladiva do chlazeného prostoru, ve kterém jsou zásoby léků uskladněny, pokud k tomu dojde v důsledku poškození nebo zničení chladicího nebo mrazicího zařízení nebo vypnutím chladicího nebo mrazicího zařízení v důsledku náhlého výpadku elektrického energie (okamžitého i jednorázového) z veřejné elektrické sítě a jeho opětovným neuvedením do provozuschopného stavu, a to za předpokladu, že toto přerušení trvalo nepřetržitě po dobu nejméně 6-ti hodin a nebylo způsobeno předem oznámeným nebo úmyslně způsobeným </w:t>
            </w:r>
            <w:proofErr w:type="spellStart"/>
            <w:r w:rsidRPr="00C94A94">
              <w:rPr>
                <w:sz w:val="20"/>
                <w:szCs w:val="20"/>
              </w:rPr>
              <w:t>odvypojením</w:t>
            </w:r>
            <w:proofErr w:type="spellEnd"/>
            <w:r w:rsidRPr="00C94A94">
              <w:rPr>
                <w:sz w:val="20"/>
                <w:szCs w:val="20"/>
              </w:rPr>
              <w:t xml:space="preserve"> přívodu energie ze strany dodavatele a nebylo zaviněno pracovníky pojištěného. Právo na pojistné plnění pojištěnému vznikne, pokud toto přerušení bylo prokázáno příslušným rozvodným závodem.</w:t>
            </w:r>
          </w:p>
          <w:p w:rsidR="00C94A94" w:rsidRPr="00C94A94" w:rsidRDefault="00C94A94" w:rsidP="00295519">
            <w:pPr>
              <w:tabs>
                <w:tab w:val="left" w:pos="426"/>
              </w:tabs>
              <w:jc w:val="both"/>
              <w:rPr>
                <w:sz w:val="20"/>
                <w:szCs w:val="20"/>
              </w:rPr>
            </w:pPr>
            <w:r w:rsidRPr="00C94A94">
              <w:rPr>
                <w:sz w:val="20"/>
                <w:szCs w:val="20"/>
              </w:rPr>
              <w:t>Pojištění se však nevztahuje na škody vzniklé na uskladněných zásobách – léků uložených v chladicích zařízeních v důsledku vad, nákaz jakož i přirozeného znehodnocení a přirozené hniloby pojištěných zásob – léků uložených v chladicích zařízeních, k nimž došlo jinak než z důvodů uvedených výše. Pojištění se dále nevztahuje na škody z důvodu ušlého zisku, smluvních a jiných pokut či postihů, manka apod.</w:t>
            </w:r>
          </w:p>
        </w:tc>
      </w:tr>
      <w:tr w:rsidR="00C94A94" w:rsidRPr="00C94A94" w:rsidTr="001339EB">
        <w:trPr>
          <w:trHeight w:val="544"/>
        </w:trPr>
        <w:tc>
          <w:tcPr>
            <w:tcW w:w="10348" w:type="dxa"/>
            <w:gridSpan w:val="6"/>
            <w:shd w:val="clear" w:color="auto" w:fill="auto"/>
          </w:tcPr>
          <w:p w:rsidR="009F3F8E" w:rsidRPr="00C94A94" w:rsidRDefault="00C94A94" w:rsidP="00295519">
            <w:pPr>
              <w:tabs>
                <w:tab w:val="left" w:pos="426"/>
              </w:tabs>
              <w:jc w:val="both"/>
              <w:rPr>
                <w:sz w:val="20"/>
                <w:szCs w:val="20"/>
              </w:rPr>
            </w:pPr>
            <w:r w:rsidRPr="00C94A94">
              <w:rPr>
                <w:sz w:val="20"/>
                <w:szCs w:val="20"/>
              </w:rPr>
              <w:t xml:space="preserve">Ujednává se, že mimo místa pojištění uvedená v bodě 1.2. čl. II. této pojistné smlouvy je místem pojištění všech předmětů pojištění území České republiky. Toto ujednání se vztahuje i na mobilní zařízení, které pojištěný půjčil na </w:t>
            </w:r>
            <w:r w:rsidRPr="00C94A94">
              <w:rPr>
                <w:sz w:val="20"/>
                <w:szCs w:val="20"/>
              </w:rPr>
              <w:lastRenderedPageBreak/>
              <w:t>základě smlouvy obchodním partnerům na území České republiky. Pojištění na území České republiky (mimo místa pojištění uvedená v bodě 1.2. čl.</w:t>
            </w:r>
            <w:r w:rsidR="00295519">
              <w:rPr>
                <w:sz w:val="20"/>
                <w:szCs w:val="20"/>
              </w:rPr>
              <w:t xml:space="preserve"> </w:t>
            </w:r>
            <w:r w:rsidRPr="00C94A94">
              <w:rPr>
                <w:sz w:val="20"/>
                <w:szCs w:val="20"/>
              </w:rPr>
              <w:t>II.) se sjednává s MRLP</w:t>
            </w:r>
            <w:r w:rsidRPr="00C94A94">
              <w:rPr>
                <w:sz w:val="20"/>
                <w:szCs w:val="20"/>
                <w:vertAlign w:val="superscript"/>
              </w:rPr>
              <w:t xml:space="preserve">3) </w:t>
            </w:r>
            <w:r w:rsidRPr="00C94A94">
              <w:rPr>
                <w:sz w:val="20"/>
                <w:szCs w:val="20"/>
              </w:rPr>
              <w:t>ve výši 5 000 000 Kč.</w:t>
            </w:r>
          </w:p>
        </w:tc>
      </w:tr>
      <w:tr w:rsidR="001339EB" w:rsidRPr="00C94A94" w:rsidTr="001339EB">
        <w:trPr>
          <w:trHeight w:val="301"/>
        </w:trPr>
        <w:tc>
          <w:tcPr>
            <w:tcW w:w="10348" w:type="dxa"/>
            <w:gridSpan w:val="6"/>
            <w:shd w:val="clear" w:color="auto" w:fill="auto"/>
          </w:tcPr>
          <w:p w:rsidR="001339EB" w:rsidRPr="00295519" w:rsidRDefault="0013207F" w:rsidP="00295519">
            <w:pPr>
              <w:tabs>
                <w:tab w:val="left" w:pos="426"/>
              </w:tabs>
              <w:jc w:val="both"/>
              <w:rPr>
                <w:sz w:val="20"/>
                <w:szCs w:val="20"/>
              </w:rPr>
            </w:pPr>
            <w:r w:rsidRPr="00295519">
              <w:rPr>
                <w:sz w:val="20"/>
                <w:szCs w:val="20"/>
              </w:rPr>
              <w:lastRenderedPageBreak/>
              <w:t>Ujednává se, že výluka uvedená v doložce DALL101 se</w:t>
            </w:r>
            <w:r w:rsidR="001339EB" w:rsidRPr="00295519">
              <w:rPr>
                <w:sz w:val="20"/>
                <w:szCs w:val="20"/>
              </w:rPr>
              <w:t xml:space="preserve"> </w:t>
            </w:r>
            <w:r w:rsidRPr="00295519">
              <w:rPr>
                <w:sz w:val="20"/>
                <w:szCs w:val="20"/>
              </w:rPr>
              <w:t>ne</w:t>
            </w:r>
            <w:r w:rsidR="001339EB" w:rsidRPr="00295519">
              <w:rPr>
                <w:sz w:val="20"/>
                <w:szCs w:val="20"/>
              </w:rPr>
              <w:t xml:space="preserve">vztahuje na pojištění </w:t>
            </w:r>
            <w:r w:rsidR="00BD509E" w:rsidRPr="00295519">
              <w:rPr>
                <w:sz w:val="20"/>
                <w:szCs w:val="20"/>
              </w:rPr>
              <w:t xml:space="preserve">zahradního </w:t>
            </w:r>
            <w:r w:rsidR="001339EB" w:rsidRPr="00295519">
              <w:rPr>
                <w:sz w:val="20"/>
                <w:szCs w:val="20"/>
              </w:rPr>
              <w:t xml:space="preserve">altánu </w:t>
            </w:r>
            <w:r w:rsidR="00FB2890" w:rsidRPr="00295519">
              <w:rPr>
                <w:sz w:val="20"/>
                <w:szCs w:val="20"/>
              </w:rPr>
              <w:t>pro válečné veterány nacházejícího se na adrese Praha 6, U vojenské nemocnice 1200, PSČ 169 02.</w:t>
            </w:r>
          </w:p>
        </w:tc>
      </w:tr>
    </w:tbl>
    <w:p w:rsidR="00C94A94" w:rsidRPr="00C94A94" w:rsidRDefault="00C94A94" w:rsidP="00C94A94">
      <w:pPr>
        <w:rPr>
          <w:sz w:val="16"/>
          <w:szCs w:val="16"/>
        </w:rPr>
      </w:pPr>
      <w:r w:rsidRPr="00C94A94">
        <w:rPr>
          <w:sz w:val="16"/>
          <w:szCs w:val="16"/>
        </w:rPr>
        <w:t xml:space="preserve">* není-li uvedeno, sjednává se pojištění s pojistnou hodnotou uvedenou v příslušných pojistných podmínkách </w:t>
      </w:r>
    </w:p>
    <w:p w:rsidR="00C94A94" w:rsidRDefault="00C94A94" w:rsidP="000A7B53">
      <w:pPr>
        <w:ind w:left="284" w:hanging="284"/>
        <w:rPr>
          <w:sz w:val="20"/>
          <w:szCs w:val="20"/>
        </w:rPr>
      </w:pPr>
    </w:p>
    <w:p w:rsidR="00D207E0" w:rsidRDefault="00D207E0" w:rsidP="000A7B53">
      <w:pPr>
        <w:ind w:left="284" w:hanging="284"/>
        <w:rPr>
          <w:sz w:val="20"/>
          <w:szCs w:val="20"/>
        </w:rPr>
      </w:pPr>
    </w:p>
    <w:p w:rsidR="00295519" w:rsidRPr="00295519" w:rsidRDefault="00295519" w:rsidP="00291971">
      <w:pPr>
        <w:keepNext/>
        <w:numPr>
          <w:ilvl w:val="0"/>
          <w:numId w:val="23"/>
        </w:numPr>
        <w:ind w:hanging="720"/>
        <w:rPr>
          <w:rFonts w:cs="Arial"/>
          <w:b/>
          <w:sz w:val="20"/>
        </w:rPr>
      </w:pPr>
      <w:r w:rsidRPr="00295519">
        <w:rPr>
          <w:rFonts w:cs="Arial"/>
          <w:b/>
          <w:sz w:val="20"/>
        </w:rPr>
        <w:t>Pojištění pro případ odcizení</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276"/>
        <w:gridCol w:w="1417"/>
        <w:gridCol w:w="1276"/>
        <w:gridCol w:w="1417"/>
        <w:gridCol w:w="1560"/>
      </w:tblGrid>
      <w:tr w:rsidR="00295519" w:rsidRPr="00295519" w:rsidTr="00572FC8">
        <w:tc>
          <w:tcPr>
            <w:tcW w:w="10348" w:type="dxa"/>
            <w:gridSpan w:val="7"/>
            <w:shd w:val="clear" w:color="auto" w:fill="auto"/>
          </w:tcPr>
          <w:p w:rsidR="00295519" w:rsidRPr="00295519" w:rsidRDefault="00295519" w:rsidP="00295519">
            <w:pPr>
              <w:rPr>
                <w:sz w:val="20"/>
                <w:szCs w:val="20"/>
              </w:rPr>
            </w:pPr>
            <w:r w:rsidRPr="00295519">
              <w:rPr>
                <w:b/>
                <w:sz w:val="20"/>
                <w:szCs w:val="20"/>
              </w:rPr>
              <w:t xml:space="preserve">Místo pojištění: </w:t>
            </w:r>
            <w:r w:rsidRPr="00295519">
              <w:rPr>
                <w:sz w:val="20"/>
                <w:szCs w:val="20"/>
              </w:rPr>
              <w:t>území ČR</w:t>
            </w:r>
          </w:p>
        </w:tc>
      </w:tr>
      <w:tr w:rsidR="00295519" w:rsidRPr="00295519" w:rsidTr="00572FC8">
        <w:tc>
          <w:tcPr>
            <w:tcW w:w="10348" w:type="dxa"/>
            <w:gridSpan w:val="7"/>
            <w:shd w:val="clear" w:color="auto" w:fill="auto"/>
          </w:tcPr>
          <w:p w:rsidR="00295519" w:rsidRPr="00295519" w:rsidRDefault="00295519" w:rsidP="00295519">
            <w:pPr>
              <w:rPr>
                <w:b/>
                <w:sz w:val="20"/>
                <w:szCs w:val="20"/>
              </w:rPr>
            </w:pPr>
            <w:r w:rsidRPr="00295519">
              <w:rPr>
                <w:b/>
                <w:sz w:val="20"/>
                <w:szCs w:val="20"/>
              </w:rPr>
              <w:t xml:space="preserve">Rozsah pojištění: </w:t>
            </w:r>
            <w:r w:rsidRPr="00295519">
              <w:rPr>
                <w:sz w:val="20"/>
                <w:szCs w:val="20"/>
              </w:rPr>
              <w:t>pojištění pro případ odcizení (s výjimkou loupeže přepravovaných peněz nebo cenin)</w:t>
            </w:r>
          </w:p>
        </w:tc>
      </w:tr>
      <w:tr w:rsidR="00295519" w:rsidRPr="00295519" w:rsidTr="00572FC8">
        <w:tc>
          <w:tcPr>
            <w:tcW w:w="10348" w:type="dxa"/>
            <w:gridSpan w:val="7"/>
            <w:shd w:val="clear" w:color="auto" w:fill="auto"/>
          </w:tcPr>
          <w:p w:rsidR="00295519" w:rsidRPr="00295519" w:rsidRDefault="00295519" w:rsidP="00295519">
            <w:pPr>
              <w:rPr>
                <w:sz w:val="20"/>
                <w:szCs w:val="20"/>
              </w:rPr>
            </w:pPr>
            <w:r w:rsidRPr="00295519">
              <w:rPr>
                <w:b/>
                <w:sz w:val="20"/>
                <w:szCs w:val="20"/>
              </w:rPr>
              <w:t>Pojištění se řídí:</w:t>
            </w:r>
            <w:r w:rsidRPr="00295519">
              <w:rPr>
                <w:sz w:val="20"/>
                <w:szCs w:val="20"/>
              </w:rPr>
              <w:t xml:space="preserve"> VPP P-100/14, ZPP P-200/14 a doložkami DOB101, DOB103, DOZ101, DOZ102, DOZ105</w:t>
            </w:r>
          </w:p>
        </w:tc>
      </w:tr>
      <w:tr w:rsidR="00295519" w:rsidRPr="00295519" w:rsidTr="00572FC8">
        <w:tc>
          <w:tcPr>
            <w:tcW w:w="709" w:type="dxa"/>
            <w:shd w:val="clear" w:color="auto" w:fill="auto"/>
            <w:vAlign w:val="center"/>
          </w:tcPr>
          <w:p w:rsidR="00295519" w:rsidRPr="00295519" w:rsidRDefault="00295519" w:rsidP="00295519">
            <w:pPr>
              <w:jc w:val="center"/>
              <w:rPr>
                <w:b/>
                <w:sz w:val="20"/>
                <w:szCs w:val="20"/>
              </w:rPr>
            </w:pPr>
            <w:proofErr w:type="spellStart"/>
            <w:r w:rsidRPr="00295519">
              <w:rPr>
                <w:b/>
                <w:sz w:val="20"/>
                <w:szCs w:val="20"/>
              </w:rPr>
              <w:t>Poř</w:t>
            </w:r>
            <w:proofErr w:type="spellEnd"/>
            <w:r w:rsidRPr="00295519">
              <w:rPr>
                <w:b/>
                <w:sz w:val="20"/>
                <w:szCs w:val="20"/>
              </w:rPr>
              <w:t>. číslo</w:t>
            </w:r>
          </w:p>
        </w:tc>
        <w:tc>
          <w:tcPr>
            <w:tcW w:w="2693" w:type="dxa"/>
            <w:shd w:val="clear" w:color="auto" w:fill="auto"/>
            <w:vAlign w:val="center"/>
          </w:tcPr>
          <w:p w:rsidR="00295519" w:rsidRPr="00295519" w:rsidRDefault="00295519" w:rsidP="00295519">
            <w:pPr>
              <w:jc w:val="center"/>
              <w:rPr>
                <w:b/>
                <w:sz w:val="20"/>
                <w:szCs w:val="20"/>
              </w:rPr>
            </w:pPr>
            <w:r w:rsidRPr="00295519">
              <w:rPr>
                <w:b/>
                <w:sz w:val="20"/>
                <w:szCs w:val="20"/>
              </w:rPr>
              <w:t>Předmět pojištění</w:t>
            </w:r>
          </w:p>
        </w:tc>
        <w:tc>
          <w:tcPr>
            <w:tcW w:w="1276" w:type="dxa"/>
            <w:shd w:val="clear" w:color="auto" w:fill="auto"/>
            <w:vAlign w:val="center"/>
          </w:tcPr>
          <w:p w:rsidR="00295519" w:rsidRPr="00295519" w:rsidRDefault="00295519" w:rsidP="00295519">
            <w:pPr>
              <w:jc w:val="center"/>
              <w:rPr>
                <w:b/>
                <w:sz w:val="20"/>
                <w:szCs w:val="20"/>
              </w:rPr>
            </w:pPr>
            <w:r w:rsidRPr="00295519">
              <w:rPr>
                <w:b/>
                <w:sz w:val="20"/>
                <w:szCs w:val="20"/>
              </w:rPr>
              <w:t>Pojistná částka</w:t>
            </w:r>
            <w:r w:rsidRPr="00295519">
              <w:rPr>
                <w:b/>
                <w:sz w:val="20"/>
                <w:szCs w:val="20"/>
                <w:vertAlign w:val="superscript"/>
              </w:rPr>
              <w:t>10)</w:t>
            </w:r>
          </w:p>
        </w:tc>
        <w:tc>
          <w:tcPr>
            <w:tcW w:w="1417" w:type="dxa"/>
            <w:shd w:val="clear" w:color="auto" w:fill="auto"/>
            <w:vAlign w:val="center"/>
          </w:tcPr>
          <w:p w:rsidR="00295519" w:rsidRPr="00295519" w:rsidRDefault="00295519" w:rsidP="00295519">
            <w:pPr>
              <w:jc w:val="center"/>
              <w:rPr>
                <w:b/>
                <w:sz w:val="20"/>
                <w:szCs w:val="20"/>
              </w:rPr>
            </w:pPr>
            <w:r w:rsidRPr="00295519">
              <w:rPr>
                <w:b/>
                <w:sz w:val="20"/>
                <w:szCs w:val="20"/>
              </w:rPr>
              <w:t>Spoluúčast</w:t>
            </w:r>
            <w:r w:rsidRPr="00295519">
              <w:rPr>
                <w:b/>
                <w:sz w:val="20"/>
                <w:szCs w:val="20"/>
                <w:vertAlign w:val="superscript"/>
              </w:rPr>
              <w:t>5)</w:t>
            </w:r>
          </w:p>
        </w:tc>
        <w:tc>
          <w:tcPr>
            <w:tcW w:w="1276" w:type="dxa"/>
            <w:shd w:val="clear" w:color="auto" w:fill="auto"/>
            <w:vAlign w:val="center"/>
          </w:tcPr>
          <w:p w:rsidR="00295519" w:rsidRPr="00295519" w:rsidRDefault="00295519" w:rsidP="00295519">
            <w:pPr>
              <w:jc w:val="center"/>
              <w:rPr>
                <w:b/>
                <w:sz w:val="20"/>
                <w:szCs w:val="20"/>
              </w:rPr>
            </w:pPr>
            <w:r w:rsidRPr="00295519">
              <w:rPr>
                <w:b/>
                <w:sz w:val="20"/>
                <w:szCs w:val="20"/>
              </w:rPr>
              <w:t>Pojištění se sjednává na cenu</w:t>
            </w:r>
            <w:r w:rsidRPr="00295519">
              <w:rPr>
                <w:b/>
                <w:sz w:val="20"/>
                <w:szCs w:val="20"/>
                <w:vertAlign w:val="superscript"/>
              </w:rPr>
              <w:t>*1)</w:t>
            </w:r>
          </w:p>
        </w:tc>
        <w:tc>
          <w:tcPr>
            <w:tcW w:w="1417" w:type="dxa"/>
            <w:shd w:val="clear" w:color="auto" w:fill="auto"/>
            <w:vAlign w:val="center"/>
          </w:tcPr>
          <w:p w:rsidR="00295519" w:rsidRPr="00295519" w:rsidRDefault="00295519" w:rsidP="00295519">
            <w:pPr>
              <w:jc w:val="center"/>
              <w:rPr>
                <w:b/>
                <w:sz w:val="20"/>
                <w:szCs w:val="20"/>
              </w:rPr>
            </w:pPr>
            <w:r w:rsidRPr="00295519">
              <w:rPr>
                <w:b/>
                <w:sz w:val="20"/>
                <w:szCs w:val="20"/>
              </w:rPr>
              <w:t>MRLP</w:t>
            </w:r>
            <w:r w:rsidRPr="00295519">
              <w:rPr>
                <w:b/>
                <w:sz w:val="20"/>
                <w:szCs w:val="20"/>
                <w:vertAlign w:val="superscript"/>
              </w:rPr>
              <w:t>3)</w:t>
            </w:r>
            <w:r w:rsidRPr="00295519">
              <w:rPr>
                <w:b/>
                <w:sz w:val="20"/>
                <w:szCs w:val="20"/>
              </w:rPr>
              <w:t xml:space="preserve"> </w:t>
            </w:r>
          </w:p>
          <w:p w:rsidR="00295519" w:rsidRPr="00295519" w:rsidRDefault="00295519" w:rsidP="00295519">
            <w:pPr>
              <w:jc w:val="center"/>
              <w:rPr>
                <w:b/>
                <w:sz w:val="20"/>
                <w:szCs w:val="20"/>
              </w:rPr>
            </w:pPr>
            <w:r w:rsidRPr="00295519">
              <w:rPr>
                <w:b/>
                <w:sz w:val="20"/>
                <w:szCs w:val="20"/>
              </w:rPr>
              <w:t>První riziko</w:t>
            </w:r>
            <w:r w:rsidRPr="00295519">
              <w:rPr>
                <w:b/>
                <w:sz w:val="20"/>
                <w:szCs w:val="20"/>
                <w:vertAlign w:val="superscript"/>
              </w:rPr>
              <w:t>2)</w:t>
            </w:r>
          </w:p>
        </w:tc>
        <w:tc>
          <w:tcPr>
            <w:tcW w:w="1560" w:type="dxa"/>
            <w:shd w:val="clear" w:color="auto" w:fill="auto"/>
            <w:vAlign w:val="center"/>
          </w:tcPr>
          <w:p w:rsidR="00295519" w:rsidRPr="00295519" w:rsidRDefault="00295519" w:rsidP="00295519">
            <w:pPr>
              <w:jc w:val="center"/>
              <w:rPr>
                <w:b/>
                <w:sz w:val="20"/>
                <w:szCs w:val="20"/>
              </w:rPr>
            </w:pPr>
            <w:r w:rsidRPr="00295519">
              <w:rPr>
                <w:b/>
                <w:sz w:val="20"/>
                <w:szCs w:val="20"/>
              </w:rPr>
              <w:t>MRLP</w:t>
            </w:r>
            <w:r w:rsidRPr="00295519">
              <w:rPr>
                <w:b/>
                <w:sz w:val="20"/>
                <w:szCs w:val="20"/>
                <w:vertAlign w:val="superscript"/>
              </w:rPr>
              <w:t>3)</w:t>
            </w:r>
            <w:r w:rsidRPr="00295519">
              <w:rPr>
                <w:b/>
                <w:sz w:val="20"/>
                <w:szCs w:val="20"/>
              </w:rPr>
              <w:t xml:space="preserve"> Zlomkové pojištění</w:t>
            </w:r>
            <w:r w:rsidRPr="00295519">
              <w:rPr>
                <w:b/>
                <w:sz w:val="20"/>
                <w:szCs w:val="20"/>
                <w:vertAlign w:val="superscript"/>
              </w:rPr>
              <w:t>4)</w:t>
            </w:r>
          </w:p>
        </w:tc>
      </w:tr>
      <w:tr w:rsidR="00295519" w:rsidRPr="00295519" w:rsidTr="00572FC8">
        <w:tc>
          <w:tcPr>
            <w:tcW w:w="709" w:type="dxa"/>
            <w:shd w:val="clear" w:color="auto" w:fill="auto"/>
            <w:vAlign w:val="center"/>
          </w:tcPr>
          <w:p w:rsidR="00295519" w:rsidRPr="00295519" w:rsidRDefault="00295519" w:rsidP="00295519">
            <w:pPr>
              <w:jc w:val="center"/>
              <w:rPr>
                <w:sz w:val="20"/>
                <w:szCs w:val="20"/>
              </w:rPr>
            </w:pPr>
            <w:r w:rsidRPr="00295519">
              <w:rPr>
                <w:sz w:val="20"/>
                <w:szCs w:val="20"/>
              </w:rPr>
              <w:t>1.</w:t>
            </w:r>
          </w:p>
        </w:tc>
        <w:tc>
          <w:tcPr>
            <w:tcW w:w="2693" w:type="dxa"/>
            <w:shd w:val="clear" w:color="auto" w:fill="auto"/>
            <w:vAlign w:val="center"/>
          </w:tcPr>
          <w:p w:rsidR="00295519" w:rsidRPr="00295519" w:rsidRDefault="00295519" w:rsidP="00295519">
            <w:pPr>
              <w:rPr>
                <w:sz w:val="20"/>
                <w:szCs w:val="20"/>
              </w:rPr>
            </w:pPr>
            <w:r w:rsidRPr="00295519">
              <w:rPr>
                <w:sz w:val="20"/>
                <w:szCs w:val="20"/>
              </w:rPr>
              <w:t>Soubor vlastních budov a ostatních staveb, včetně stavebních součástí a příslušenství budovy nebo ostatní stavby (např. klimatizační zařízení, antény, kamery, elektrické venkovní závory apod.)</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10 000 Kč</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560" w:type="dxa"/>
            <w:shd w:val="clear" w:color="auto" w:fill="auto"/>
            <w:vAlign w:val="center"/>
          </w:tcPr>
          <w:p w:rsidR="00295519" w:rsidRPr="00295519" w:rsidRDefault="00295519" w:rsidP="00295519">
            <w:pPr>
              <w:jc w:val="center"/>
              <w:rPr>
                <w:sz w:val="20"/>
                <w:szCs w:val="20"/>
              </w:rPr>
            </w:pPr>
            <w:r w:rsidRPr="00295519">
              <w:rPr>
                <w:sz w:val="20"/>
                <w:szCs w:val="20"/>
              </w:rPr>
              <w:t>2 000 000 Kč</w:t>
            </w:r>
          </w:p>
        </w:tc>
      </w:tr>
      <w:tr w:rsidR="00295519" w:rsidRPr="00295519" w:rsidTr="00572FC8">
        <w:tc>
          <w:tcPr>
            <w:tcW w:w="709" w:type="dxa"/>
            <w:shd w:val="clear" w:color="auto" w:fill="auto"/>
            <w:vAlign w:val="center"/>
          </w:tcPr>
          <w:p w:rsidR="00295519" w:rsidRPr="00295519" w:rsidRDefault="00295519" w:rsidP="00295519">
            <w:pPr>
              <w:jc w:val="center"/>
              <w:rPr>
                <w:sz w:val="20"/>
                <w:szCs w:val="20"/>
              </w:rPr>
            </w:pPr>
            <w:r w:rsidRPr="00295519">
              <w:rPr>
                <w:sz w:val="20"/>
                <w:szCs w:val="20"/>
              </w:rPr>
              <w:t>2.</w:t>
            </w:r>
          </w:p>
        </w:tc>
        <w:tc>
          <w:tcPr>
            <w:tcW w:w="2693" w:type="dxa"/>
            <w:shd w:val="clear" w:color="auto" w:fill="auto"/>
            <w:vAlign w:val="center"/>
          </w:tcPr>
          <w:p w:rsidR="00295519" w:rsidRPr="00295519" w:rsidRDefault="00295519" w:rsidP="00295519">
            <w:pPr>
              <w:rPr>
                <w:sz w:val="20"/>
                <w:szCs w:val="20"/>
              </w:rPr>
            </w:pPr>
            <w:r w:rsidRPr="00295519">
              <w:rPr>
                <w:sz w:val="20"/>
                <w:szCs w:val="20"/>
              </w:rPr>
              <w:t xml:space="preserve">Vlastní a cizí finanční prostředky (finanční prostředky v místnosti hlavní pokladny ÚVN, v trezoru, ve </w:t>
            </w:r>
            <w:proofErr w:type="spellStart"/>
            <w:r w:rsidRPr="00295519">
              <w:rPr>
                <w:sz w:val="20"/>
                <w:szCs w:val="20"/>
              </w:rPr>
              <w:t>výběrních</w:t>
            </w:r>
            <w:proofErr w:type="spellEnd"/>
            <w:r w:rsidRPr="00295519">
              <w:rPr>
                <w:sz w:val="20"/>
                <w:szCs w:val="20"/>
              </w:rPr>
              <w:t xml:space="preserve"> automatech, </w:t>
            </w:r>
            <w:proofErr w:type="spellStart"/>
            <w:r w:rsidRPr="00295519">
              <w:rPr>
                <w:sz w:val="20"/>
                <w:szCs w:val="20"/>
              </w:rPr>
              <w:t>měničkách</w:t>
            </w:r>
            <w:proofErr w:type="spellEnd"/>
            <w:r w:rsidRPr="00295519">
              <w:rPr>
                <w:sz w:val="20"/>
                <w:szCs w:val="20"/>
              </w:rPr>
              <w:t xml:space="preserve"> mincí a venkovním parkovacím automatu)</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10 000 Kč</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2 500 000 Kč</w:t>
            </w:r>
          </w:p>
        </w:tc>
        <w:tc>
          <w:tcPr>
            <w:tcW w:w="1560" w:type="dxa"/>
            <w:shd w:val="clear" w:color="auto" w:fill="auto"/>
            <w:vAlign w:val="center"/>
          </w:tcPr>
          <w:p w:rsidR="00295519" w:rsidRPr="00295519" w:rsidRDefault="00295519" w:rsidP="00295519">
            <w:pPr>
              <w:jc w:val="center"/>
              <w:rPr>
                <w:sz w:val="20"/>
                <w:szCs w:val="20"/>
              </w:rPr>
            </w:pPr>
            <w:r w:rsidRPr="00295519">
              <w:rPr>
                <w:sz w:val="20"/>
                <w:szCs w:val="20"/>
              </w:rPr>
              <w:t>××</w:t>
            </w:r>
          </w:p>
        </w:tc>
      </w:tr>
      <w:tr w:rsidR="00295519" w:rsidRPr="00295519" w:rsidTr="00572FC8">
        <w:tc>
          <w:tcPr>
            <w:tcW w:w="709" w:type="dxa"/>
            <w:shd w:val="clear" w:color="auto" w:fill="auto"/>
            <w:vAlign w:val="center"/>
          </w:tcPr>
          <w:p w:rsidR="00295519" w:rsidRPr="00295519" w:rsidRDefault="00295519" w:rsidP="00295519">
            <w:pPr>
              <w:jc w:val="center"/>
              <w:rPr>
                <w:sz w:val="20"/>
                <w:szCs w:val="20"/>
              </w:rPr>
            </w:pPr>
            <w:r w:rsidRPr="00295519">
              <w:rPr>
                <w:sz w:val="20"/>
                <w:szCs w:val="20"/>
              </w:rPr>
              <w:t>3.</w:t>
            </w:r>
          </w:p>
        </w:tc>
        <w:tc>
          <w:tcPr>
            <w:tcW w:w="2693" w:type="dxa"/>
            <w:shd w:val="clear" w:color="auto" w:fill="auto"/>
            <w:vAlign w:val="center"/>
          </w:tcPr>
          <w:p w:rsidR="00295519" w:rsidRPr="00295519" w:rsidRDefault="00295519" w:rsidP="00295519">
            <w:pPr>
              <w:rPr>
                <w:sz w:val="20"/>
                <w:szCs w:val="20"/>
              </w:rPr>
            </w:pPr>
            <w:r w:rsidRPr="00295519">
              <w:rPr>
                <w:sz w:val="20"/>
                <w:szCs w:val="20"/>
              </w:rPr>
              <w:t xml:space="preserve">Soubor vlastních a cizích movitých zařízení a vybavení, včetně </w:t>
            </w:r>
            <w:proofErr w:type="spellStart"/>
            <w:r w:rsidRPr="00295519">
              <w:rPr>
                <w:sz w:val="20"/>
                <w:szCs w:val="20"/>
              </w:rPr>
              <w:t>výběrních</w:t>
            </w:r>
            <w:proofErr w:type="spellEnd"/>
            <w:r w:rsidRPr="00295519">
              <w:rPr>
                <w:sz w:val="20"/>
                <w:szCs w:val="20"/>
              </w:rPr>
              <w:t xml:space="preserve"> automatů, </w:t>
            </w:r>
            <w:proofErr w:type="spellStart"/>
            <w:r w:rsidRPr="00295519">
              <w:rPr>
                <w:sz w:val="20"/>
                <w:szCs w:val="20"/>
              </w:rPr>
              <w:t>měniček</w:t>
            </w:r>
            <w:proofErr w:type="spellEnd"/>
            <w:r w:rsidRPr="00295519">
              <w:rPr>
                <w:sz w:val="20"/>
                <w:szCs w:val="20"/>
              </w:rPr>
              <w:t xml:space="preserve"> mincí a venkovního parkovacího automatu</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10 000 Kč</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560" w:type="dxa"/>
            <w:shd w:val="clear" w:color="auto" w:fill="auto"/>
            <w:vAlign w:val="center"/>
          </w:tcPr>
          <w:p w:rsidR="00295519" w:rsidRPr="00295519" w:rsidRDefault="00295519" w:rsidP="00295519">
            <w:pPr>
              <w:jc w:val="center"/>
              <w:rPr>
                <w:sz w:val="20"/>
                <w:szCs w:val="20"/>
              </w:rPr>
            </w:pPr>
            <w:r w:rsidRPr="00295519">
              <w:rPr>
                <w:sz w:val="20"/>
                <w:szCs w:val="20"/>
              </w:rPr>
              <w:t>10 000 000 Kč</w:t>
            </w:r>
          </w:p>
        </w:tc>
      </w:tr>
      <w:tr w:rsidR="00295519" w:rsidRPr="00295519" w:rsidTr="00572FC8">
        <w:tc>
          <w:tcPr>
            <w:tcW w:w="709" w:type="dxa"/>
            <w:shd w:val="clear" w:color="auto" w:fill="auto"/>
            <w:vAlign w:val="center"/>
          </w:tcPr>
          <w:p w:rsidR="00295519" w:rsidRPr="00295519" w:rsidRDefault="00295519" w:rsidP="00295519">
            <w:pPr>
              <w:jc w:val="center"/>
              <w:rPr>
                <w:sz w:val="20"/>
                <w:szCs w:val="20"/>
              </w:rPr>
            </w:pPr>
            <w:r w:rsidRPr="00295519">
              <w:rPr>
                <w:sz w:val="20"/>
                <w:szCs w:val="20"/>
              </w:rPr>
              <w:t>4.</w:t>
            </w:r>
          </w:p>
        </w:tc>
        <w:tc>
          <w:tcPr>
            <w:tcW w:w="2693" w:type="dxa"/>
            <w:shd w:val="clear" w:color="auto" w:fill="auto"/>
            <w:vAlign w:val="center"/>
          </w:tcPr>
          <w:p w:rsidR="00295519" w:rsidRPr="00295519" w:rsidRDefault="00295519" w:rsidP="00295519">
            <w:pPr>
              <w:rPr>
                <w:sz w:val="20"/>
                <w:szCs w:val="20"/>
              </w:rPr>
            </w:pPr>
            <w:r w:rsidRPr="00295519">
              <w:rPr>
                <w:sz w:val="20"/>
                <w:szCs w:val="20"/>
              </w:rPr>
              <w:t>Soubor zásob</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10 000 Kč</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560" w:type="dxa"/>
            <w:shd w:val="clear" w:color="auto" w:fill="auto"/>
            <w:vAlign w:val="center"/>
          </w:tcPr>
          <w:p w:rsidR="00295519" w:rsidRPr="00295519" w:rsidRDefault="00295519" w:rsidP="00295519">
            <w:pPr>
              <w:jc w:val="center"/>
              <w:rPr>
                <w:sz w:val="20"/>
                <w:szCs w:val="20"/>
              </w:rPr>
            </w:pPr>
            <w:r w:rsidRPr="00295519">
              <w:rPr>
                <w:sz w:val="20"/>
                <w:szCs w:val="20"/>
              </w:rPr>
              <w:t>5 000 000 Kč</w:t>
            </w:r>
          </w:p>
        </w:tc>
      </w:tr>
      <w:tr w:rsidR="00295519" w:rsidRPr="00295519" w:rsidTr="00572FC8">
        <w:tc>
          <w:tcPr>
            <w:tcW w:w="10348" w:type="dxa"/>
            <w:gridSpan w:val="7"/>
            <w:shd w:val="clear" w:color="auto" w:fill="auto"/>
          </w:tcPr>
          <w:p w:rsidR="00295519" w:rsidRPr="00295519" w:rsidRDefault="00295519" w:rsidP="00295519">
            <w:pPr>
              <w:rPr>
                <w:rFonts w:cs="Arial"/>
                <w:sz w:val="20"/>
                <w:szCs w:val="20"/>
                <w:highlight w:val="yellow"/>
              </w:rPr>
            </w:pPr>
            <w:r w:rsidRPr="00295519">
              <w:rPr>
                <w:sz w:val="20"/>
                <w:szCs w:val="20"/>
              </w:rPr>
              <w:t>Poznámky:</w:t>
            </w:r>
          </w:p>
        </w:tc>
      </w:tr>
      <w:tr w:rsidR="00295519" w:rsidRPr="00295519" w:rsidTr="00572FC8">
        <w:tc>
          <w:tcPr>
            <w:tcW w:w="10348" w:type="dxa"/>
            <w:gridSpan w:val="7"/>
            <w:shd w:val="clear" w:color="auto" w:fill="auto"/>
          </w:tcPr>
          <w:p w:rsidR="00295519" w:rsidRPr="00295519" w:rsidRDefault="00295519" w:rsidP="00295519">
            <w:pPr>
              <w:jc w:val="both"/>
              <w:rPr>
                <w:sz w:val="20"/>
                <w:szCs w:val="20"/>
              </w:rPr>
            </w:pPr>
            <w:r w:rsidRPr="00295519">
              <w:rPr>
                <w:sz w:val="20"/>
                <w:szCs w:val="20"/>
              </w:rPr>
              <w:t xml:space="preserve">Pojištění se vztahuje i na krádež, při které nedošlo k překonání překážky chránící pojištěnou věc před odcizením, se </w:t>
            </w:r>
            <w:proofErr w:type="spellStart"/>
            <w:r w:rsidRPr="00295519">
              <w:rPr>
                <w:sz w:val="20"/>
                <w:szCs w:val="20"/>
              </w:rPr>
              <w:t>sublimitem</w:t>
            </w:r>
            <w:proofErr w:type="spellEnd"/>
            <w:r w:rsidRPr="00295519">
              <w:rPr>
                <w:sz w:val="20"/>
                <w:szCs w:val="20"/>
              </w:rPr>
              <w:t xml:space="preserve"> pojistného plnění (horní hranice pojistného plnění z jedné pojistné události a ze všech pojistných událostí vzniklých během jednoho pojistného roku) ve výši 50 000 Kč. Spoluúčast činí 10 000 Kč.</w:t>
            </w:r>
          </w:p>
        </w:tc>
      </w:tr>
      <w:tr w:rsidR="00295519" w:rsidRPr="00295519" w:rsidTr="00572FC8">
        <w:tc>
          <w:tcPr>
            <w:tcW w:w="10348" w:type="dxa"/>
            <w:gridSpan w:val="7"/>
            <w:shd w:val="clear" w:color="auto" w:fill="auto"/>
          </w:tcPr>
          <w:p w:rsidR="00295519" w:rsidRPr="00295519" w:rsidRDefault="00295519" w:rsidP="00295519">
            <w:pPr>
              <w:jc w:val="both"/>
              <w:rPr>
                <w:sz w:val="20"/>
                <w:szCs w:val="20"/>
              </w:rPr>
            </w:pPr>
            <w:r w:rsidRPr="00295519">
              <w:rPr>
                <w:sz w:val="20"/>
                <w:szCs w:val="20"/>
              </w:rPr>
              <w:t>Pojištění se vztahuje i na věci umístěné na volném prostranství mimo uzavřený prostor. Pro toto pojištění se sjednává MRLP</w:t>
            </w:r>
            <w:r w:rsidRPr="00295519">
              <w:rPr>
                <w:sz w:val="20"/>
                <w:szCs w:val="20"/>
                <w:vertAlign w:val="superscript"/>
              </w:rPr>
              <w:t xml:space="preserve">3) </w:t>
            </w:r>
            <w:r w:rsidRPr="00295519">
              <w:rPr>
                <w:sz w:val="20"/>
                <w:szCs w:val="20"/>
              </w:rPr>
              <w:t>ve výši 500 000 Kč.</w:t>
            </w:r>
          </w:p>
        </w:tc>
      </w:tr>
    </w:tbl>
    <w:p w:rsidR="00295519" w:rsidRDefault="00295519" w:rsidP="00295519">
      <w:pPr>
        <w:keepNext/>
        <w:rPr>
          <w:sz w:val="16"/>
          <w:szCs w:val="16"/>
        </w:rPr>
      </w:pPr>
      <w:r w:rsidRPr="00295519">
        <w:rPr>
          <w:sz w:val="16"/>
          <w:szCs w:val="16"/>
        </w:rPr>
        <w:t xml:space="preserve">* není-li uvedeno, sjednává se pojištění s pojistnou hodnotou uvedenou v příslušných pojistných podmínkách </w:t>
      </w:r>
    </w:p>
    <w:p w:rsidR="00295519" w:rsidRPr="00295519" w:rsidRDefault="000273D3" w:rsidP="000273D3">
      <w:pPr>
        <w:ind w:left="284" w:hanging="284"/>
        <w:rPr>
          <w:rFonts w:cs="Arial"/>
          <w:b/>
          <w:sz w:val="20"/>
        </w:rPr>
      </w:pPr>
      <w:r>
        <w:rPr>
          <w:sz w:val="20"/>
          <w:szCs w:val="20"/>
        </w:rPr>
        <w:br w:type="column"/>
      </w:r>
      <w:r w:rsidR="00291971" w:rsidRPr="00291971">
        <w:rPr>
          <w:rFonts w:cs="Arial"/>
          <w:b/>
          <w:sz w:val="20"/>
        </w:rPr>
        <w:lastRenderedPageBreak/>
        <w:t>2.3.1.</w:t>
      </w:r>
      <w:r w:rsidR="00291971">
        <w:rPr>
          <w:rFonts w:cs="Arial"/>
          <w:b/>
          <w:sz w:val="20"/>
        </w:rPr>
        <w:tab/>
      </w:r>
      <w:r w:rsidR="00295519" w:rsidRPr="00295519">
        <w:rPr>
          <w:rFonts w:cs="Arial"/>
          <w:b/>
          <w:sz w:val="20"/>
        </w:rPr>
        <w:t>Pojištění pro případ vandalismu</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134"/>
        <w:gridCol w:w="1417"/>
        <w:gridCol w:w="1276"/>
        <w:gridCol w:w="1418"/>
        <w:gridCol w:w="1134"/>
      </w:tblGrid>
      <w:tr w:rsidR="00295519" w:rsidRPr="00295519" w:rsidTr="00D741C4">
        <w:tc>
          <w:tcPr>
            <w:tcW w:w="10348" w:type="dxa"/>
            <w:gridSpan w:val="7"/>
            <w:shd w:val="clear" w:color="auto" w:fill="auto"/>
          </w:tcPr>
          <w:p w:rsidR="00295519" w:rsidRPr="00295519" w:rsidRDefault="00295519" w:rsidP="00295519">
            <w:pPr>
              <w:rPr>
                <w:b/>
                <w:sz w:val="20"/>
                <w:szCs w:val="20"/>
              </w:rPr>
            </w:pPr>
            <w:r w:rsidRPr="00295519">
              <w:rPr>
                <w:b/>
                <w:sz w:val="20"/>
                <w:szCs w:val="20"/>
              </w:rPr>
              <w:t xml:space="preserve">Místo pojištění: </w:t>
            </w:r>
            <w:r w:rsidRPr="00295519">
              <w:rPr>
                <w:sz w:val="20"/>
                <w:szCs w:val="20"/>
              </w:rPr>
              <w:t>území ČR</w:t>
            </w:r>
          </w:p>
        </w:tc>
      </w:tr>
      <w:tr w:rsidR="00295519" w:rsidRPr="00295519" w:rsidTr="00D741C4">
        <w:tc>
          <w:tcPr>
            <w:tcW w:w="10348" w:type="dxa"/>
            <w:gridSpan w:val="7"/>
            <w:shd w:val="clear" w:color="auto" w:fill="auto"/>
          </w:tcPr>
          <w:p w:rsidR="00295519" w:rsidRPr="00295519" w:rsidRDefault="00295519" w:rsidP="00295519">
            <w:pPr>
              <w:rPr>
                <w:sz w:val="20"/>
                <w:szCs w:val="20"/>
              </w:rPr>
            </w:pPr>
            <w:r w:rsidRPr="00295519">
              <w:rPr>
                <w:b/>
                <w:sz w:val="20"/>
                <w:szCs w:val="20"/>
              </w:rPr>
              <w:t xml:space="preserve">Rozsah pojištění: </w:t>
            </w:r>
            <w:r w:rsidRPr="00295519">
              <w:rPr>
                <w:sz w:val="20"/>
                <w:szCs w:val="20"/>
              </w:rPr>
              <w:t>pojištění pro případ vandalismu</w:t>
            </w:r>
          </w:p>
        </w:tc>
      </w:tr>
      <w:tr w:rsidR="00295519" w:rsidRPr="00295519" w:rsidTr="00D741C4">
        <w:tc>
          <w:tcPr>
            <w:tcW w:w="10348" w:type="dxa"/>
            <w:gridSpan w:val="7"/>
            <w:shd w:val="clear" w:color="auto" w:fill="auto"/>
          </w:tcPr>
          <w:p w:rsidR="00295519" w:rsidRPr="00295519" w:rsidRDefault="00295519" w:rsidP="00295519">
            <w:pPr>
              <w:rPr>
                <w:sz w:val="20"/>
                <w:szCs w:val="20"/>
              </w:rPr>
            </w:pPr>
            <w:r w:rsidRPr="00295519">
              <w:rPr>
                <w:b/>
                <w:sz w:val="20"/>
                <w:szCs w:val="20"/>
              </w:rPr>
              <w:t>Pojištění se řídí:</w:t>
            </w:r>
            <w:r w:rsidRPr="00295519">
              <w:rPr>
                <w:sz w:val="20"/>
                <w:szCs w:val="20"/>
              </w:rPr>
              <w:t xml:space="preserve"> VPP P-100/14, ZPP P-200/14 a doložkami DOB101, DOB103, DODC102</w:t>
            </w:r>
          </w:p>
        </w:tc>
      </w:tr>
      <w:tr w:rsidR="00295519" w:rsidRPr="00295519" w:rsidTr="00D741C4">
        <w:tc>
          <w:tcPr>
            <w:tcW w:w="709" w:type="dxa"/>
            <w:shd w:val="clear" w:color="auto" w:fill="auto"/>
            <w:vAlign w:val="center"/>
          </w:tcPr>
          <w:p w:rsidR="00295519" w:rsidRPr="00295519" w:rsidRDefault="00295519" w:rsidP="00295519">
            <w:pPr>
              <w:jc w:val="center"/>
              <w:rPr>
                <w:b/>
                <w:sz w:val="20"/>
                <w:szCs w:val="20"/>
              </w:rPr>
            </w:pPr>
            <w:proofErr w:type="spellStart"/>
            <w:r w:rsidRPr="00295519">
              <w:rPr>
                <w:b/>
                <w:sz w:val="20"/>
                <w:szCs w:val="20"/>
              </w:rPr>
              <w:t>Poř</w:t>
            </w:r>
            <w:proofErr w:type="spellEnd"/>
            <w:r w:rsidRPr="00295519">
              <w:rPr>
                <w:b/>
                <w:sz w:val="20"/>
                <w:szCs w:val="20"/>
              </w:rPr>
              <w:t>. číslo</w:t>
            </w:r>
          </w:p>
        </w:tc>
        <w:tc>
          <w:tcPr>
            <w:tcW w:w="3260" w:type="dxa"/>
            <w:shd w:val="clear" w:color="auto" w:fill="auto"/>
            <w:vAlign w:val="center"/>
          </w:tcPr>
          <w:p w:rsidR="00295519" w:rsidRPr="00295519" w:rsidRDefault="00295519" w:rsidP="00295519">
            <w:pPr>
              <w:jc w:val="center"/>
              <w:rPr>
                <w:b/>
                <w:sz w:val="20"/>
                <w:szCs w:val="20"/>
              </w:rPr>
            </w:pPr>
            <w:r w:rsidRPr="00295519">
              <w:rPr>
                <w:b/>
                <w:sz w:val="20"/>
                <w:szCs w:val="20"/>
              </w:rPr>
              <w:t>Předmět pojištění</w:t>
            </w:r>
          </w:p>
        </w:tc>
        <w:tc>
          <w:tcPr>
            <w:tcW w:w="1134" w:type="dxa"/>
            <w:shd w:val="clear" w:color="auto" w:fill="auto"/>
            <w:vAlign w:val="center"/>
          </w:tcPr>
          <w:p w:rsidR="00295519" w:rsidRPr="00295519" w:rsidRDefault="00295519" w:rsidP="00295519">
            <w:pPr>
              <w:jc w:val="center"/>
              <w:rPr>
                <w:b/>
                <w:sz w:val="20"/>
                <w:szCs w:val="20"/>
              </w:rPr>
            </w:pPr>
            <w:r w:rsidRPr="00295519">
              <w:rPr>
                <w:b/>
                <w:sz w:val="20"/>
                <w:szCs w:val="20"/>
              </w:rPr>
              <w:t>Pojistná částka</w:t>
            </w:r>
            <w:r w:rsidRPr="00295519">
              <w:rPr>
                <w:b/>
                <w:sz w:val="20"/>
                <w:szCs w:val="20"/>
                <w:vertAlign w:val="superscript"/>
              </w:rPr>
              <w:t>10)</w:t>
            </w:r>
          </w:p>
        </w:tc>
        <w:tc>
          <w:tcPr>
            <w:tcW w:w="1417" w:type="dxa"/>
            <w:shd w:val="clear" w:color="auto" w:fill="auto"/>
            <w:vAlign w:val="center"/>
          </w:tcPr>
          <w:p w:rsidR="00295519" w:rsidRPr="00295519" w:rsidRDefault="00295519" w:rsidP="00295519">
            <w:pPr>
              <w:jc w:val="center"/>
              <w:rPr>
                <w:b/>
                <w:sz w:val="20"/>
                <w:szCs w:val="20"/>
              </w:rPr>
            </w:pPr>
            <w:r w:rsidRPr="00295519">
              <w:rPr>
                <w:b/>
                <w:sz w:val="20"/>
                <w:szCs w:val="20"/>
              </w:rPr>
              <w:t>Spoluúčast</w:t>
            </w:r>
            <w:r w:rsidRPr="00295519">
              <w:rPr>
                <w:b/>
                <w:sz w:val="20"/>
                <w:szCs w:val="20"/>
                <w:vertAlign w:val="superscript"/>
              </w:rPr>
              <w:t>5)</w:t>
            </w:r>
          </w:p>
        </w:tc>
        <w:tc>
          <w:tcPr>
            <w:tcW w:w="1276" w:type="dxa"/>
            <w:shd w:val="clear" w:color="auto" w:fill="auto"/>
            <w:vAlign w:val="center"/>
          </w:tcPr>
          <w:p w:rsidR="00295519" w:rsidRPr="00295519" w:rsidRDefault="00295519" w:rsidP="00295519">
            <w:pPr>
              <w:jc w:val="center"/>
              <w:rPr>
                <w:b/>
                <w:sz w:val="20"/>
                <w:szCs w:val="20"/>
              </w:rPr>
            </w:pPr>
            <w:r w:rsidRPr="00295519">
              <w:rPr>
                <w:b/>
                <w:sz w:val="20"/>
                <w:szCs w:val="20"/>
              </w:rPr>
              <w:t>Pojištění se sjednává na cenu</w:t>
            </w:r>
            <w:r w:rsidRPr="00295519">
              <w:rPr>
                <w:b/>
                <w:sz w:val="20"/>
                <w:szCs w:val="20"/>
                <w:vertAlign w:val="superscript"/>
              </w:rPr>
              <w:t>*1)</w:t>
            </w:r>
          </w:p>
        </w:tc>
        <w:tc>
          <w:tcPr>
            <w:tcW w:w="1418" w:type="dxa"/>
            <w:shd w:val="clear" w:color="auto" w:fill="auto"/>
            <w:vAlign w:val="center"/>
          </w:tcPr>
          <w:p w:rsidR="00295519" w:rsidRPr="00295519" w:rsidRDefault="00295519" w:rsidP="00295519">
            <w:pPr>
              <w:jc w:val="center"/>
              <w:rPr>
                <w:b/>
                <w:sz w:val="20"/>
                <w:szCs w:val="20"/>
              </w:rPr>
            </w:pPr>
            <w:r w:rsidRPr="00295519">
              <w:rPr>
                <w:b/>
                <w:sz w:val="20"/>
                <w:szCs w:val="20"/>
              </w:rPr>
              <w:t>MRLP</w:t>
            </w:r>
            <w:r w:rsidRPr="00295519">
              <w:rPr>
                <w:b/>
                <w:sz w:val="20"/>
                <w:szCs w:val="20"/>
                <w:vertAlign w:val="superscript"/>
              </w:rPr>
              <w:t>3)</w:t>
            </w:r>
            <w:r w:rsidRPr="00295519">
              <w:rPr>
                <w:b/>
                <w:sz w:val="20"/>
                <w:szCs w:val="20"/>
              </w:rPr>
              <w:t xml:space="preserve"> </w:t>
            </w:r>
          </w:p>
          <w:p w:rsidR="00295519" w:rsidRPr="00295519" w:rsidRDefault="00295519" w:rsidP="00295519">
            <w:pPr>
              <w:jc w:val="center"/>
              <w:rPr>
                <w:b/>
                <w:sz w:val="20"/>
                <w:szCs w:val="20"/>
              </w:rPr>
            </w:pPr>
            <w:r w:rsidRPr="00295519">
              <w:rPr>
                <w:b/>
                <w:sz w:val="20"/>
                <w:szCs w:val="20"/>
              </w:rPr>
              <w:t>První riziko</w:t>
            </w:r>
            <w:r w:rsidRPr="00295519">
              <w:rPr>
                <w:b/>
                <w:sz w:val="20"/>
                <w:szCs w:val="20"/>
                <w:vertAlign w:val="superscript"/>
              </w:rPr>
              <w:t>2)</w:t>
            </w:r>
          </w:p>
        </w:tc>
        <w:tc>
          <w:tcPr>
            <w:tcW w:w="1134" w:type="dxa"/>
            <w:shd w:val="clear" w:color="auto" w:fill="auto"/>
            <w:vAlign w:val="center"/>
          </w:tcPr>
          <w:p w:rsidR="00295519" w:rsidRPr="00295519" w:rsidRDefault="00295519" w:rsidP="00295519">
            <w:pPr>
              <w:jc w:val="center"/>
              <w:rPr>
                <w:b/>
                <w:sz w:val="20"/>
                <w:szCs w:val="20"/>
              </w:rPr>
            </w:pPr>
            <w:r w:rsidRPr="00295519">
              <w:rPr>
                <w:b/>
                <w:sz w:val="20"/>
                <w:szCs w:val="20"/>
              </w:rPr>
              <w:t>MRLP</w:t>
            </w:r>
            <w:r w:rsidRPr="00295519">
              <w:rPr>
                <w:b/>
                <w:sz w:val="20"/>
                <w:szCs w:val="20"/>
                <w:vertAlign w:val="superscript"/>
              </w:rPr>
              <w:t>3)</w:t>
            </w:r>
            <w:r w:rsidRPr="00295519">
              <w:rPr>
                <w:b/>
                <w:sz w:val="20"/>
                <w:szCs w:val="20"/>
              </w:rPr>
              <w:t xml:space="preserve"> Zlomkové pojištění</w:t>
            </w:r>
            <w:r w:rsidRPr="00295519">
              <w:rPr>
                <w:b/>
                <w:sz w:val="20"/>
                <w:szCs w:val="20"/>
                <w:vertAlign w:val="superscript"/>
              </w:rPr>
              <w:t>4)</w:t>
            </w:r>
          </w:p>
        </w:tc>
      </w:tr>
      <w:tr w:rsidR="00295519" w:rsidRPr="00295519" w:rsidTr="00D741C4">
        <w:tc>
          <w:tcPr>
            <w:tcW w:w="709" w:type="dxa"/>
            <w:shd w:val="clear" w:color="auto" w:fill="auto"/>
            <w:vAlign w:val="center"/>
          </w:tcPr>
          <w:p w:rsidR="00295519" w:rsidRPr="00295519" w:rsidRDefault="00295519" w:rsidP="00295519">
            <w:pPr>
              <w:jc w:val="center"/>
              <w:rPr>
                <w:sz w:val="20"/>
                <w:szCs w:val="20"/>
              </w:rPr>
            </w:pPr>
            <w:r w:rsidRPr="00295519">
              <w:rPr>
                <w:sz w:val="20"/>
                <w:szCs w:val="20"/>
              </w:rPr>
              <w:t>1.</w:t>
            </w:r>
          </w:p>
        </w:tc>
        <w:tc>
          <w:tcPr>
            <w:tcW w:w="3260" w:type="dxa"/>
            <w:shd w:val="clear" w:color="auto" w:fill="auto"/>
            <w:vAlign w:val="center"/>
          </w:tcPr>
          <w:p w:rsidR="00295519" w:rsidRPr="00295519" w:rsidRDefault="00295519" w:rsidP="00295519">
            <w:pPr>
              <w:rPr>
                <w:sz w:val="20"/>
                <w:szCs w:val="20"/>
              </w:rPr>
            </w:pPr>
            <w:r w:rsidRPr="00295519">
              <w:rPr>
                <w:sz w:val="20"/>
                <w:szCs w:val="20"/>
              </w:rPr>
              <w:t>Soubor vlastních budov a ostatních staveb, včetně stavebních součástí a příslušenství budovy nebo ostatní stavby (např. klimatizační zařízení, antény, kamery, elektrické venkovní závory apod.)</w:t>
            </w: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vMerge w:val="restart"/>
            <w:shd w:val="clear" w:color="auto" w:fill="auto"/>
            <w:vAlign w:val="center"/>
          </w:tcPr>
          <w:p w:rsidR="00295519" w:rsidRPr="00295519" w:rsidRDefault="00295519" w:rsidP="00295519">
            <w:pPr>
              <w:jc w:val="center"/>
              <w:rPr>
                <w:sz w:val="20"/>
                <w:szCs w:val="20"/>
              </w:rPr>
            </w:pPr>
            <w:r w:rsidRPr="00295519">
              <w:rPr>
                <w:sz w:val="20"/>
                <w:szCs w:val="20"/>
              </w:rPr>
              <w:t>10 000 Kč</w:t>
            </w: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8" w:type="dxa"/>
            <w:vMerge w:val="restart"/>
            <w:shd w:val="clear" w:color="auto" w:fill="auto"/>
            <w:vAlign w:val="center"/>
          </w:tcPr>
          <w:p w:rsidR="00295519" w:rsidRPr="00295519" w:rsidRDefault="00295519" w:rsidP="00295519">
            <w:pPr>
              <w:jc w:val="center"/>
              <w:rPr>
                <w:sz w:val="20"/>
                <w:szCs w:val="20"/>
              </w:rPr>
            </w:pPr>
            <w:r w:rsidRPr="00295519">
              <w:rPr>
                <w:sz w:val="20"/>
                <w:szCs w:val="20"/>
              </w:rPr>
              <w:t>5 000 000 Kč</w:t>
            </w: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r>
      <w:tr w:rsidR="00295519" w:rsidRPr="00295519" w:rsidTr="00D741C4">
        <w:tc>
          <w:tcPr>
            <w:tcW w:w="709" w:type="dxa"/>
            <w:shd w:val="clear" w:color="auto" w:fill="auto"/>
            <w:vAlign w:val="center"/>
          </w:tcPr>
          <w:p w:rsidR="00295519" w:rsidRPr="00295519" w:rsidRDefault="00295519" w:rsidP="00295519">
            <w:pPr>
              <w:jc w:val="center"/>
              <w:rPr>
                <w:sz w:val="20"/>
                <w:szCs w:val="20"/>
              </w:rPr>
            </w:pPr>
            <w:r w:rsidRPr="00295519">
              <w:rPr>
                <w:sz w:val="20"/>
                <w:szCs w:val="20"/>
              </w:rPr>
              <w:t>2.</w:t>
            </w:r>
          </w:p>
        </w:tc>
        <w:tc>
          <w:tcPr>
            <w:tcW w:w="3260" w:type="dxa"/>
            <w:shd w:val="clear" w:color="auto" w:fill="auto"/>
            <w:vAlign w:val="center"/>
          </w:tcPr>
          <w:p w:rsidR="00295519" w:rsidRPr="00295519" w:rsidRDefault="00295519" w:rsidP="00295519">
            <w:pPr>
              <w:rPr>
                <w:sz w:val="20"/>
                <w:szCs w:val="20"/>
              </w:rPr>
            </w:pPr>
            <w:r w:rsidRPr="00295519">
              <w:rPr>
                <w:sz w:val="20"/>
                <w:szCs w:val="20"/>
              </w:rPr>
              <w:t xml:space="preserve">Vlastní a cizí finanční prostředky (finanční prostředky v místnosti hlavní pokladny ÚVN, v trezoru, ve </w:t>
            </w:r>
            <w:proofErr w:type="spellStart"/>
            <w:r w:rsidRPr="00295519">
              <w:rPr>
                <w:sz w:val="20"/>
                <w:szCs w:val="20"/>
              </w:rPr>
              <w:t>výběrních</w:t>
            </w:r>
            <w:proofErr w:type="spellEnd"/>
            <w:r w:rsidRPr="00295519">
              <w:rPr>
                <w:sz w:val="20"/>
                <w:szCs w:val="20"/>
              </w:rPr>
              <w:t xml:space="preserve"> automatech, </w:t>
            </w:r>
            <w:proofErr w:type="spellStart"/>
            <w:r w:rsidRPr="00295519">
              <w:rPr>
                <w:sz w:val="20"/>
                <w:szCs w:val="20"/>
              </w:rPr>
              <w:t>měničkách</w:t>
            </w:r>
            <w:proofErr w:type="spellEnd"/>
            <w:r w:rsidRPr="00295519">
              <w:rPr>
                <w:sz w:val="20"/>
                <w:szCs w:val="20"/>
              </w:rPr>
              <w:t xml:space="preserve"> mincí a venkovním parkovacím automatu)</w:t>
            </w: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vMerge/>
            <w:shd w:val="clear" w:color="auto" w:fill="auto"/>
            <w:vAlign w:val="center"/>
          </w:tcPr>
          <w:p w:rsidR="00295519" w:rsidRPr="00295519" w:rsidRDefault="00295519" w:rsidP="00295519">
            <w:pPr>
              <w:jc w:val="center"/>
              <w:rPr>
                <w:sz w:val="20"/>
                <w:szCs w:val="20"/>
              </w:rPr>
            </w:pP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8" w:type="dxa"/>
            <w:vMerge/>
            <w:shd w:val="clear" w:color="auto" w:fill="auto"/>
            <w:vAlign w:val="center"/>
          </w:tcPr>
          <w:p w:rsidR="00295519" w:rsidRPr="00295519" w:rsidRDefault="00295519" w:rsidP="00295519">
            <w:pPr>
              <w:jc w:val="center"/>
              <w:rPr>
                <w:sz w:val="20"/>
                <w:szCs w:val="20"/>
              </w:rPr>
            </w:pP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r>
      <w:tr w:rsidR="00295519" w:rsidRPr="00295519" w:rsidTr="00D741C4">
        <w:tc>
          <w:tcPr>
            <w:tcW w:w="709" w:type="dxa"/>
            <w:shd w:val="clear" w:color="auto" w:fill="auto"/>
            <w:vAlign w:val="center"/>
          </w:tcPr>
          <w:p w:rsidR="00295519" w:rsidRPr="00295519" w:rsidRDefault="00295519" w:rsidP="00295519">
            <w:pPr>
              <w:jc w:val="center"/>
              <w:rPr>
                <w:sz w:val="20"/>
                <w:szCs w:val="20"/>
              </w:rPr>
            </w:pPr>
            <w:r w:rsidRPr="00295519">
              <w:rPr>
                <w:sz w:val="20"/>
                <w:szCs w:val="20"/>
              </w:rPr>
              <w:t>3.</w:t>
            </w:r>
          </w:p>
        </w:tc>
        <w:tc>
          <w:tcPr>
            <w:tcW w:w="3260" w:type="dxa"/>
            <w:shd w:val="clear" w:color="auto" w:fill="auto"/>
            <w:vAlign w:val="center"/>
          </w:tcPr>
          <w:p w:rsidR="00295519" w:rsidRPr="00295519" w:rsidRDefault="00295519" w:rsidP="00295519">
            <w:pPr>
              <w:rPr>
                <w:sz w:val="20"/>
                <w:szCs w:val="20"/>
              </w:rPr>
            </w:pPr>
            <w:r w:rsidRPr="00295519">
              <w:rPr>
                <w:sz w:val="20"/>
                <w:szCs w:val="20"/>
              </w:rPr>
              <w:t xml:space="preserve">Soubor vlastních a cizích movitých zařízení a vybavení, včetně </w:t>
            </w:r>
            <w:proofErr w:type="spellStart"/>
            <w:r w:rsidRPr="00295519">
              <w:rPr>
                <w:sz w:val="20"/>
                <w:szCs w:val="20"/>
              </w:rPr>
              <w:t>výběrních</w:t>
            </w:r>
            <w:proofErr w:type="spellEnd"/>
            <w:r w:rsidRPr="00295519">
              <w:rPr>
                <w:sz w:val="20"/>
                <w:szCs w:val="20"/>
              </w:rPr>
              <w:t xml:space="preserve"> automatů, </w:t>
            </w:r>
            <w:proofErr w:type="spellStart"/>
            <w:r w:rsidRPr="00295519">
              <w:rPr>
                <w:sz w:val="20"/>
                <w:szCs w:val="20"/>
              </w:rPr>
              <w:t>měniček</w:t>
            </w:r>
            <w:proofErr w:type="spellEnd"/>
            <w:r w:rsidRPr="00295519">
              <w:rPr>
                <w:sz w:val="20"/>
                <w:szCs w:val="20"/>
              </w:rPr>
              <w:t xml:space="preserve"> mincí a venkovního parkovacího automatu</w:t>
            </w: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vMerge/>
            <w:shd w:val="clear" w:color="auto" w:fill="auto"/>
            <w:vAlign w:val="center"/>
          </w:tcPr>
          <w:p w:rsidR="00295519" w:rsidRPr="00295519" w:rsidRDefault="00295519" w:rsidP="00295519">
            <w:pPr>
              <w:jc w:val="center"/>
              <w:rPr>
                <w:sz w:val="20"/>
                <w:szCs w:val="20"/>
              </w:rPr>
            </w:pP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8" w:type="dxa"/>
            <w:vMerge/>
            <w:shd w:val="clear" w:color="auto" w:fill="auto"/>
            <w:vAlign w:val="center"/>
          </w:tcPr>
          <w:p w:rsidR="00295519" w:rsidRPr="00295519" w:rsidRDefault="00295519" w:rsidP="00295519">
            <w:pPr>
              <w:jc w:val="center"/>
              <w:rPr>
                <w:sz w:val="20"/>
                <w:szCs w:val="20"/>
              </w:rPr>
            </w:pP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r>
      <w:tr w:rsidR="00295519" w:rsidRPr="00295519" w:rsidTr="00D741C4">
        <w:tc>
          <w:tcPr>
            <w:tcW w:w="709" w:type="dxa"/>
            <w:shd w:val="clear" w:color="auto" w:fill="auto"/>
            <w:vAlign w:val="center"/>
          </w:tcPr>
          <w:p w:rsidR="00295519" w:rsidRPr="00295519" w:rsidRDefault="00295519" w:rsidP="00295519">
            <w:pPr>
              <w:jc w:val="center"/>
              <w:rPr>
                <w:sz w:val="20"/>
                <w:szCs w:val="20"/>
              </w:rPr>
            </w:pPr>
            <w:r w:rsidRPr="00295519">
              <w:rPr>
                <w:sz w:val="20"/>
                <w:szCs w:val="20"/>
              </w:rPr>
              <w:t>4.</w:t>
            </w:r>
          </w:p>
        </w:tc>
        <w:tc>
          <w:tcPr>
            <w:tcW w:w="3260" w:type="dxa"/>
            <w:shd w:val="clear" w:color="auto" w:fill="auto"/>
            <w:vAlign w:val="center"/>
          </w:tcPr>
          <w:p w:rsidR="00295519" w:rsidRPr="00295519" w:rsidRDefault="00295519" w:rsidP="00295519">
            <w:pPr>
              <w:rPr>
                <w:sz w:val="20"/>
                <w:szCs w:val="20"/>
              </w:rPr>
            </w:pPr>
            <w:r w:rsidRPr="00295519">
              <w:rPr>
                <w:sz w:val="20"/>
                <w:szCs w:val="20"/>
              </w:rPr>
              <w:t>Soubor zásob</w:t>
            </w: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7" w:type="dxa"/>
            <w:vMerge/>
            <w:shd w:val="clear" w:color="auto" w:fill="auto"/>
            <w:vAlign w:val="center"/>
          </w:tcPr>
          <w:p w:rsidR="00295519" w:rsidRPr="00295519" w:rsidRDefault="00295519" w:rsidP="00295519">
            <w:pPr>
              <w:jc w:val="center"/>
              <w:rPr>
                <w:sz w:val="20"/>
                <w:szCs w:val="20"/>
              </w:rPr>
            </w:pPr>
          </w:p>
        </w:tc>
        <w:tc>
          <w:tcPr>
            <w:tcW w:w="1276" w:type="dxa"/>
            <w:shd w:val="clear" w:color="auto" w:fill="auto"/>
            <w:vAlign w:val="center"/>
          </w:tcPr>
          <w:p w:rsidR="00295519" w:rsidRPr="00295519" w:rsidRDefault="00295519" w:rsidP="00295519">
            <w:pPr>
              <w:jc w:val="center"/>
              <w:rPr>
                <w:sz w:val="20"/>
                <w:szCs w:val="20"/>
              </w:rPr>
            </w:pPr>
            <w:r w:rsidRPr="00295519">
              <w:rPr>
                <w:sz w:val="20"/>
                <w:szCs w:val="20"/>
              </w:rPr>
              <w:t>*)</w:t>
            </w:r>
          </w:p>
        </w:tc>
        <w:tc>
          <w:tcPr>
            <w:tcW w:w="1418" w:type="dxa"/>
            <w:vMerge/>
            <w:shd w:val="clear" w:color="auto" w:fill="auto"/>
            <w:vAlign w:val="center"/>
          </w:tcPr>
          <w:p w:rsidR="00295519" w:rsidRPr="00295519" w:rsidRDefault="00295519" w:rsidP="00295519">
            <w:pPr>
              <w:jc w:val="center"/>
              <w:rPr>
                <w:sz w:val="20"/>
                <w:szCs w:val="20"/>
              </w:rPr>
            </w:pPr>
          </w:p>
        </w:tc>
        <w:tc>
          <w:tcPr>
            <w:tcW w:w="1134" w:type="dxa"/>
            <w:shd w:val="clear" w:color="auto" w:fill="auto"/>
            <w:vAlign w:val="center"/>
          </w:tcPr>
          <w:p w:rsidR="00295519" w:rsidRPr="00295519" w:rsidRDefault="00295519" w:rsidP="00295519">
            <w:pPr>
              <w:jc w:val="center"/>
              <w:rPr>
                <w:sz w:val="20"/>
                <w:szCs w:val="20"/>
              </w:rPr>
            </w:pPr>
            <w:r w:rsidRPr="00295519">
              <w:rPr>
                <w:sz w:val="20"/>
                <w:szCs w:val="20"/>
              </w:rPr>
              <w:t>××</w:t>
            </w:r>
          </w:p>
        </w:tc>
      </w:tr>
      <w:tr w:rsidR="00295519" w:rsidRPr="00295519" w:rsidTr="00D741C4">
        <w:tc>
          <w:tcPr>
            <w:tcW w:w="10348" w:type="dxa"/>
            <w:gridSpan w:val="7"/>
            <w:shd w:val="clear" w:color="auto" w:fill="auto"/>
          </w:tcPr>
          <w:p w:rsidR="00295519" w:rsidRPr="00295519" w:rsidRDefault="00295519" w:rsidP="00295519">
            <w:pPr>
              <w:tabs>
                <w:tab w:val="left" w:pos="426"/>
              </w:tabs>
              <w:rPr>
                <w:sz w:val="20"/>
                <w:szCs w:val="20"/>
              </w:rPr>
            </w:pPr>
            <w:r w:rsidRPr="00295519">
              <w:rPr>
                <w:sz w:val="20"/>
                <w:szCs w:val="20"/>
              </w:rPr>
              <w:t>Poznámky:</w:t>
            </w:r>
          </w:p>
          <w:p w:rsidR="00295519" w:rsidRPr="00295519" w:rsidRDefault="00295519" w:rsidP="00295519">
            <w:pPr>
              <w:jc w:val="both"/>
              <w:rPr>
                <w:rFonts w:cs="Arial"/>
                <w:sz w:val="20"/>
                <w:szCs w:val="20"/>
              </w:rPr>
            </w:pPr>
            <w:r w:rsidRPr="00295519">
              <w:rPr>
                <w:rFonts w:cs="Arial"/>
                <w:sz w:val="20"/>
                <w:szCs w:val="20"/>
              </w:rPr>
              <w:t>Pojištění se vztahuje i na úmyslné poškození pojištěných věcí malbami, nástřiky nebo polepením. Pojistitel poskytne pojistné plnění, jehož výše odpovídá přiměřeným a nezbytně vynaloženým nákladům na vyčištění, případně opravu plochy, která byla pojistnou událostí bezprostředně dotčena. Vynaložil-li pojištěný po pojistné události náklady na konzervaci pojištěné věci (např. prevence proti poškození spreji nebo barvami), budou součástí pojistného plnění i takto vynaložené náklady, max. však ve výši 20% z částky vynaložené na tuto konzervaci pojištěné věci.</w:t>
            </w:r>
          </w:p>
        </w:tc>
      </w:tr>
    </w:tbl>
    <w:p w:rsidR="00295519" w:rsidRPr="00295519" w:rsidRDefault="00295519" w:rsidP="00295519">
      <w:pPr>
        <w:rPr>
          <w:sz w:val="16"/>
          <w:szCs w:val="16"/>
        </w:rPr>
      </w:pPr>
      <w:r w:rsidRPr="00295519">
        <w:rPr>
          <w:sz w:val="16"/>
          <w:szCs w:val="16"/>
        </w:rPr>
        <w:t xml:space="preserve">* není-li uvedeno, sjednává se pojištění s pojistnou hodnotou uvedenou v příslušných pojistných podmínkách </w:t>
      </w:r>
    </w:p>
    <w:p w:rsidR="00D741C4" w:rsidRDefault="00D741C4" w:rsidP="000A7B53">
      <w:pPr>
        <w:ind w:left="284" w:hanging="284"/>
        <w:rPr>
          <w:sz w:val="20"/>
          <w:szCs w:val="20"/>
        </w:rPr>
      </w:pPr>
    </w:p>
    <w:p w:rsidR="0020689F" w:rsidRDefault="0020689F" w:rsidP="000A7B53">
      <w:pPr>
        <w:ind w:left="284" w:hanging="284"/>
        <w:rPr>
          <w:sz w:val="20"/>
          <w:szCs w:val="20"/>
        </w:rPr>
      </w:pPr>
    </w:p>
    <w:p w:rsidR="00C94A94" w:rsidRPr="00D06D34" w:rsidRDefault="00C94A94" w:rsidP="00291971">
      <w:pPr>
        <w:keepNext/>
        <w:numPr>
          <w:ilvl w:val="0"/>
          <w:numId w:val="21"/>
        </w:numPr>
        <w:ind w:hanging="720"/>
        <w:rPr>
          <w:rFonts w:cs="Arial"/>
          <w:b/>
          <w:sz w:val="20"/>
        </w:rPr>
      </w:pPr>
      <w:r w:rsidRPr="00D06D34">
        <w:rPr>
          <w:rFonts w:cs="Arial"/>
          <w:b/>
          <w:sz w:val="20"/>
        </w:rPr>
        <w:t>Pojištění pro případ odcizení – loupež přepravovaných peněz nebo cenin</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134"/>
        <w:gridCol w:w="1417"/>
        <w:gridCol w:w="1418"/>
        <w:gridCol w:w="1418"/>
        <w:gridCol w:w="1276"/>
      </w:tblGrid>
      <w:tr w:rsidR="00C94A94" w:rsidRPr="006368D9" w:rsidTr="00D741C4">
        <w:tc>
          <w:tcPr>
            <w:tcW w:w="10349" w:type="dxa"/>
            <w:gridSpan w:val="7"/>
            <w:shd w:val="clear" w:color="auto" w:fill="auto"/>
          </w:tcPr>
          <w:p w:rsidR="00C94A94" w:rsidRPr="0018633A" w:rsidRDefault="00C94A94" w:rsidP="00910169">
            <w:pPr>
              <w:rPr>
                <w:sz w:val="20"/>
                <w:szCs w:val="20"/>
              </w:rPr>
            </w:pPr>
            <w:r w:rsidRPr="00666281">
              <w:rPr>
                <w:b/>
                <w:sz w:val="20"/>
                <w:szCs w:val="20"/>
              </w:rPr>
              <w:t>Místo pojištění:</w:t>
            </w:r>
            <w:r>
              <w:rPr>
                <w:b/>
                <w:sz w:val="20"/>
                <w:szCs w:val="20"/>
              </w:rPr>
              <w:t xml:space="preserve"> </w:t>
            </w:r>
            <w:r>
              <w:rPr>
                <w:sz w:val="20"/>
                <w:szCs w:val="20"/>
              </w:rPr>
              <w:t>území ČR</w:t>
            </w:r>
          </w:p>
        </w:tc>
      </w:tr>
      <w:tr w:rsidR="00C94A94" w:rsidRPr="006368D9" w:rsidTr="00D741C4">
        <w:tc>
          <w:tcPr>
            <w:tcW w:w="10349" w:type="dxa"/>
            <w:gridSpan w:val="7"/>
            <w:shd w:val="clear" w:color="auto" w:fill="auto"/>
          </w:tcPr>
          <w:p w:rsidR="00C94A94" w:rsidRPr="00666281" w:rsidRDefault="00C94A94" w:rsidP="00910169">
            <w:pPr>
              <w:rPr>
                <w:b/>
                <w:sz w:val="20"/>
                <w:szCs w:val="20"/>
              </w:rPr>
            </w:pPr>
            <w:r w:rsidRPr="00666281">
              <w:rPr>
                <w:b/>
                <w:sz w:val="20"/>
                <w:szCs w:val="20"/>
              </w:rPr>
              <w:t xml:space="preserve">Rozsah pojištění: </w:t>
            </w:r>
            <w:r w:rsidRPr="00666281">
              <w:rPr>
                <w:sz w:val="20"/>
                <w:szCs w:val="20"/>
              </w:rPr>
              <w:t>pojištění pro případ odcizení – loupež přepravovaných peněz nebo cenin</w:t>
            </w:r>
          </w:p>
        </w:tc>
      </w:tr>
      <w:tr w:rsidR="00C94A94" w:rsidRPr="006368D9" w:rsidTr="00D741C4">
        <w:tc>
          <w:tcPr>
            <w:tcW w:w="10349" w:type="dxa"/>
            <w:gridSpan w:val="7"/>
            <w:shd w:val="clear" w:color="auto" w:fill="auto"/>
          </w:tcPr>
          <w:p w:rsidR="00C94A94" w:rsidRPr="00666281" w:rsidRDefault="00C94A94" w:rsidP="00910169">
            <w:pPr>
              <w:rPr>
                <w:sz w:val="20"/>
                <w:szCs w:val="20"/>
              </w:rPr>
            </w:pPr>
            <w:r w:rsidRPr="00666281">
              <w:rPr>
                <w:b/>
                <w:sz w:val="20"/>
                <w:szCs w:val="20"/>
              </w:rPr>
              <w:t>Pojištění se řídí:</w:t>
            </w:r>
            <w:r w:rsidRPr="00666281">
              <w:rPr>
                <w:sz w:val="20"/>
                <w:szCs w:val="20"/>
              </w:rPr>
              <w:t xml:space="preserve"> VPP P-100/14, ZPP P-200/14 a doložkami DOB101, DOB103, </w:t>
            </w:r>
            <w:r>
              <w:rPr>
                <w:sz w:val="20"/>
                <w:szCs w:val="20"/>
              </w:rPr>
              <w:t xml:space="preserve">DOZ104, </w:t>
            </w:r>
            <w:r w:rsidRPr="00666281">
              <w:rPr>
                <w:sz w:val="20"/>
                <w:szCs w:val="20"/>
              </w:rPr>
              <w:t>DOZ105</w:t>
            </w:r>
          </w:p>
        </w:tc>
      </w:tr>
      <w:tr w:rsidR="00C94A94" w:rsidRPr="006368D9" w:rsidTr="00D741C4">
        <w:tc>
          <w:tcPr>
            <w:tcW w:w="709" w:type="dxa"/>
            <w:shd w:val="clear" w:color="auto" w:fill="auto"/>
            <w:vAlign w:val="center"/>
          </w:tcPr>
          <w:p w:rsidR="00C94A94" w:rsidRPr="00666281" w:rsidRDefault="00C94A94" w:rsidP="00910169">
            <w:pPr>
              <w:jc w:val="center"/>
              <w:rPr>
                <w:b/>
                <w:sz w:val="20"/>
                <w:szCs w:val="20"/>
              </w:rPr>
            </w:pPr>
            <w:proofErr w:type="spellStart"/>
            <w:r w:rsidRPr="00666281">
              <w:rPr>
                <w:b/>
                <w:sz w:val="20"/>
                <w:szCs w:val="20"/>
              </w:rPr>
              <w:t>Poř</w:t>
            </w:r>
            <w:proofErr w:type="spellEnd"/>
            <w:r w:rsidRPr="00666281">
              <w:rPr>
                <w:b/>
                <w:sz w:val="20"/>
                <w:szCs w:val="20"/>
              </w:rPr>
              <w:t>. číslo</w:t>
            </w:r>
          </w:p>
        </w:tc>
        <w:tc>
          <w:tcPr>
            <w:tcW w:w="2977" w:type="dxa"/>
            <w:shd w:val="clear" w:color="auto" w:fill="auto"/>
            <w:vAlign w:val="center"/>
          </w:tcPr>
          <w:p w:rsidR="00C94A94" w:rsidRPr="00666281" w:rsidRDefault="00C94A94" w:rsidP="00910169">
            <w:pPr>
              <w:jc w:val="center"/>
              <w:rPr>
                <w:b/>
                <w:sz w:val="20"/>
                <w:szCs w:val="20"/>
              </w:rPr>
            </w:pPr>
            <w:r w:rsidRPr="00666281">
              <w:rPr>
                <w:b/>
                <w:sz w:val="20"/>
                <w:szCs w:val="20"/>
              </w:rPr>
              <w:t>Předmět pojištění</w:t>
            </w:r>
          </w:p>
        </w:tc>
        <w:tc>
          <w:tcPr>
            <w:tcW w:w="1134" w:type="dxa"/>
            <w:shd w:val="clear" w:color="auto" w:fill="auto"/>
            <w:vAlign w:val="center"/>
          </w:tcPr>
          <w:p w:rsidR="00C94A94" w:rsidRPr="00666281" w:rsidRDefault="00C94A94" w:rsidP="00910169">
            <w:pPr>
              <w:jc w:val="center"/>
              <w:rPr>
                <w:b/>
                <w:sz w:val="20"/>
                <w:szCs w:val="20"/>
              </w:rPr>
            </w:pPr>
            <w:r w:rsidRPr="00666281">
              <w:rPr>
                <w:b/>
                <w:sz w:val="20"/>
                <w:szCs w:val="20"/>
              </w:rPr>
              <w:t>Pojistná částka</w:t>
            </w:r>
            <w:r w:rsidRPr="00666281">
              <w:rPr>
                <w:b/>
                <w:sz w:val="20"/>
                <w:szCs w:val="20"/>
                <w:vertAlign w:val="superscript"/>
              </w:rPr>
              <w:t>10)</w:t>
            </w:r>
          </w:p>
        </w:tc>
        <w:tc>
          <w:tcPr>
            <w:tcW w:w="1417" w:type="dxa"/>
            <w:shd w:val="clear" w:color="auto" w:fill="auto"/>
            <w:vAlign w:val="center"/>
          </w:tcPr>
          <w:p w:rsidR="00C94A94" w:rsidRPr="00666281" w:rsidRDefault="00C94A94" w:rsidP="00910169">
            <w:pPr>
              <w:jc w:val="center"/>
              <w:rPr>
                <w:b/>
                <w:sz w:val="20"/>
                <w:szCs w:val="20"/>
              </w:rPr>
            </w:pPr>
            <w:r w:rsidRPr="00666281">
              <w:rPr>
                <w:b/>
                <w:sz w:val="20"/>
                <w:szCs w:val="20"/>
              </w:rPr>
              <w:t>Spoluúčast</w:t>
            </w:r>
            <w:r w:rsidRPr="00666281">
              <w:rPr>
                <w:b/>
                <w:sz w:val="20"/>
                <w:szCs w:val="20"/>
                <w:vertAlign w:val="superscript"/>
              </w:rPr>
              <w:t>5)</w:t>
            </w:r>
          </w:p>
        </w:tc>
        <w:tc>
          <w:tcPr>
            <w:tcW w:w="1418" w:type="dxa"/>
            <w:shd w:val="clear" w:color="auto" w:fill="auto"/>
            <w:vAlign w:val="center"/>
          </w:tcPr>
          <w:p w:rsidR="00C94A94" w:rsidRPr="00666281" w:rsidRDefault="00C94A94" w:rsidP="00910169">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rsidR="00C94A94" w:rsidRPr="00666281" w:rsidRDefault="00C94A94" w:rsidP="00910169">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w:t>
            </w:r>
          </w:p>
          <w:p w:rsidR="00C94A94" w:rsidRPr="00666281" w:rsidRDefault="00C94A94" w:rsidP="00910169">
            <w:pPr>
              <w:jc w:val="center"/>
              <w:rPr>
                <w:b/>
                <w:sz w:val="20"/>
                <w:szCs w:val="20"/>
              </w:rPr>
            </w:pPr>
            <w:r w:rsidRPr="00666281">
              <w:rPr>
                <w:b/>
                <w:sz w:val="20"/>
                <w:szCs w:val="20"/>
              </w:rPr>
              <w:t>První riziko</w:t>
            </w:r>
            <w:r w:rsidRPr="00666281">
              <w:rPr>
                <w:b/>
                <w:sz w:val="20"/>
                <w:szCs w:val="20"/>
                <w:vertAlign w:val="superscript"/>
              </w:rPr>
              <w:t>2)</w:t>
            </w:r>
          </w:p>
        </w:tc>
        <w:tc>
          <w:tcPr>
            <w:tcW w:w="1276" w:type="dxa"/>
            <w:shd w:val="clear" w:color="auto" w:fill="auto"/>
            <w:vAlign w:val="center"/>
          </w:tcPr>
          <w:p w:rsidR="00C94A94" w:rsidRPr="00666281" w:rsidRDefault="00C94A94" w:rsidP="00910169">
            <w:pPr>
              <w:jc w:val="center"/>
              <w:rPr>
                <w:b/>
                <w:sz w:val="20"/>
                <w:szCs w:val="20"/>
              </w:rPr>
            </w:pPr>
            <w:r w:rsidRPr="00666281">
              <w:rPr>
                <w:b/>
                <w:sz w:val="20"/>
                <w:szCs w:val="20"/>
              </w:rPr>
              <w:t>MRLP</w:t>
            </w:r>
            <w:r w:rsidRPr="00666281">
              <w:rPr>
                <w:b/>
                <w:sz w:val="20"/>
                <w:szCs w:val="20"/>
                <w:vertAlign w:val="superscript"/>
              </w:rPr>
              <w:t>3)</w:t>
            </w:r>
            <w:r w:rsidRPr="00666281">
              <w:rPr>
                <w:b/>
                <w:sz w:val="20"/>
                <w:szCs w:val="20"/>
              </w:rPr>
              <w:t xml:space="preserve"> Zlomkové pojištění</w:t>
            </w:r>
            <w:r w:rsidRPr="00666281">
              <w:rPr>
                <w:b/>
                <w:sz w:val="20"/>
                <w:szCs w:val="20"/>
                <w:vertAlign w:val="superscript"/>
              </w:rPr>
              <w:t>4)</w:t>
            </w:r>
          </w:p>
        </w:tc>
      </w:tr>
      <w:tr w:rsidR="00C94A94" w:rsidRPr="006368D9" w:rsidTr="00D741C4">
        <w:tc>
          <w:tcPr>
            <w:tcW w:w="709" w:type="dxa"/>
            <w:shd w:val="clear" w:color="auto" w:fill="auto"/>
            <w:vAlign w:val="center"/>
          </w:tcPr>
          <w:p w:rsidR="00C94A94" w:rsidRPr="00666281" w:rsidRDefault="00C94A94" w:rsidP="00291971">
            <w:pPr>
              <w:jc w:val="center"/>
              <w:rPr>
                <w:sz w:val="20"/>
                <w:szCs w:val="20"/>
              </w:rPr>
            </w:pPr>
            <w:r w:rsidRPr="00666281">
              <w:rPr>
                <w:sz w:val="20"/>
                <w:szCs w:val="20"/>
              </w:rPr>
              <w:t>1.</w:t>
            </w:r>
          </w:p>
        </w:tc>
        <w:tc>
          <w:tcPr>
            <w:tcW w:w="2977" w:type="dxa"/>
            <w:shd w:val="clear" w:color="auto" w:fill="auto"/>
            <w:vAlign w:val="center"/>
          </w:tcPr>
          <w:p w:rsidR="00C94A94" w:rsidRPr="00666281" w:rsidRDefault="00C94A94" w:rsidP="00910169">
            <w:pPr>
              <w:rPr>
                <w:sz w:val="20"/>
                <w:szCs w:val="20"/>
              </w:rPr>
            </w:pPr>
            <w:r>
              <w:rPr>
                <w:sz w:val="20"/>
                <w:szCs w:val="20"/>
              </w:rPr>
              <w:t>Přepravované peníze a ceniny</w:t>
            </w:r>
          </w:p>
        </w:tc>
        <w:tc>
          <w:tcPr>
            <w:tcW w:w="1134" w:type="dxa"/>
            <w:shd w:val="clear" w:color="auto" w:fill="auto"/>
            <w:vAlign w:val="center"/>
          </w:tcPr>
          <w:p w:rsidR="00C94A94" w:rsidRPr="00666281" w:rsidRDefault="00C94A94" w:rsidP="00910169">
            <w:pPr>
              <w:jc w:val="center"/>
              <w:rPr>
                <w:sz w:val="20"/>
                <w:szCs w:val="20"/>
              </w:rPr>
            </w:pPr>
            <w:r>
              <w:rPr>
                <w:sz w:val="20"/>
                <w:szCs w:val="20"/>
              </w:rPr>
              <w:t>××</w:t>
            </w:r>
          </w:p>
        </w:tc>
        <w:tc>
          <w:tcPr>
            <w:tcW w:w="1417" w:type="dxa"/>
            <w:shd w:val="clear" w:color="auto" w:fill="auto"/>
            <w:vAlign w:val="center"/>
          </w:tcPr>
          <w:p w:rsidR="00C94A94" w:rsidRPr="00666281" w:rsidRDefault="00C94A94" w:rsidP="00910169">
            <w:pPr>
              <w:jc w:val="center"/>
              <w:rPr>
                <w:sz w:val="20"/>
                <w:szCs w:val="20"/>
              </w:rPr>
            </w:pPr>
            <w:r>
              <w:rPr>
                <w:sz w:val="20"/>
                <w:szCs w:val="20"/>
              </w:rPr>
              <w:t>5 000 Kč</w:t>
            </w:r>
          </w:p>
        </w:tc>
        <w:tc>
          <w:tcPr>
            <w:tcW w:w="1418" w:type="dxa"/>
            <w:shd w:val="clear" w:color="auto" w:fill="auto"/>
            <w:vAlign w:val="center"/>
          </w:tcPr>
          <w:p w:rsidR="00C94A94" w:rsidRPr="00666281" w:rsidRDefault="00C94A94" w:rsidP="00910169">
            <w:pPr>
              <w:jc w:val="center"/>
              <w:rPr>
                <w:sz w:val="20"/>
                <w:szCs w:val="20"/>
              </w:rPr>
            </w:pPr>
            <w:r w:rsidRPr="008F1C82">
              <w:rPr>
                <w:sz w:val="20"/>
                <w:szCs w:val="20"/>
              </w:rPr>
              <w:t>*)</w:t>
            </w:r>
          </w:p>
        </w:tc>
        <w:tc>
          <w:tcPr>
            <w:tcW w:w="1418" w:type="dxa"/>
            <w:shd w:val="clear" w:color="auto" w:fill="auto"/>
            <w:vAlign w:val="center"/>
          </w:tcPr>
          <w:p w:rsidR="00C94A94" w:rsidRPr="00666281" w:rsidRDefault="004A7AF3" w:rsidP="00910169">
            <w:pPr>
              <w:jc w:val="center"/>
              <w:rPr>
                <w:sz w:val="20"/>
                <w:szCs w:val="20"/>
              </w:rPr>
            </w:pPr>
            <w:r>
              <w:rPr>
                <w:sz w:val="20"/>
                <w:szCs w:val="20"/>
              </w:rPr>
              <w:t>5</w:t>
            </w:r>
            <w:r w:rsidR="00C94A94">
              <w:rPr>
                <w:sz w:val="20"/>
                <w:szCs w:val="20"/>
              </w:rPr>
              <w:t>00 000 Kč</w:t>
            </w:r>
          </w:p>
        </w:tc>
        <w:tc>
          <w:tcPr>
            <w:tcW w:w="1276" w:type="dxa"/>
            <w:shd w:val="clear" w:color="auto" w:fill="auto"/>
            <w:vAlign w:val="center"/>
          </w:tcPr>
          <w:p w:rsidR="00C94A94" w:rsidRPr="00666281" w:rsidRDefault="00C94A94" w:rsidP="00910169">
            <w:pPr>
              <w:jc w:val="center"/>
              <w:rPr>
                <w:sz w:val="20"/>
                <w:szCs w:val="20"/>
              </w:rPr>
            </w:pPr>
            <w:r>
              <w:rPr>
                <w:sz w:val="20"/>
                <w:szCs w:val="20"/>
              </w:rPr>
              <w:t>××</w:t>
            </w:r>
          </w:p>
        </w:tc>
      </w:tr>
      <w:tr w:rsidR="00C94A94" w:rsidRPr="006368D9" w:rsidTr="00D741C4">
        <w:tc>
          <w:tcPr>
            <w:tcW w:w="10349" w:type="dxa"/>
            <w:gridSpan w:val="7"/>
            <w:shd w:val="clear" w:color="auto" w:fill="auto"/>
          </w:tcPr>
          <w:p w:rsidR="00C94A94" w:rsidRPr="00666281" w:rsidRDefault="00C94A94" w:rsidP="00910169">
            <w:pPr>
              <w:rPr>
                <w:sz w:val="20"/>
                <w:szCs w:val="20"/>
              </w:rPr>
            </w:pPr>
            <w:r w:rsidRPr="00666281">
              <w:rPr>
                <w:sz w:val="20"/>
                <w:szCs w:val="20"/>
              </w:rPr>
              <w:t>Poznámky:</w:t>
            </w:r>
          </w:p>
        </w:tc>
      </w:tr>
    </w:tbl>
    <w:p w:rsidR="00C94A94" w:rsidRPr="006368D9" w:rsidRDefault="00C94A94" w:rsidP="00C94A94">
      <w:pPr>
        <w:keepNext/>
        <w:rPr>
          <w:sz w:val="16"/>
          <w:szCs w:val="16"/>
        </w:rPr>
      </w:pPr>
      <w:r w:rsidRPr="006368D9">
        <w:rPr>
          <w:sz w:val="16"/>
          <w:szCs w:val="16"/>
        </w:rPr>
        <w:t xml:space="preserve">* není-li uvedeno, sjednává se pojištění s pojistnou hodnotou uvedenou v příslušných pojistných podmínkách </w:t>
      </w:r>
    </w:p>
    <w:p w:rsidR="000273D3" w:rsidRDefault="000273D3" w:rsidP="00291971">
      <w:pPr>
        <w:ind w:left="284" w:hanging="284"/>
        <w:rPr>
          <w:b/>
          <w:sz w:val="20"/>
          <w:szCs w:val="20"/>
        </w:rPr>
      </w:pPr>
    </w:p>
    <w:p w:rsidR="0020689F" w:rsidRDefault="0020689F" w:rsidP="00291971">
      <w:pPr>
        <w:ind w:left="284" w:hanging="284"/>
        <w:rPr>
          <w:b/>
          <w:sz w:val="20"/>
          <w:szCs w:val="20"/>
        </w:rPr>
      </w:pPr>
    </w:p>
    <w:p w:rsidR="00291971" w:rsidRPr="00291971" w:rsidRDefault="00291971" w:rsidP="00291971">
      <w:pPr>
        <w:ind w:left="284" w:hanging="284"/>
        <w:rPr>
          <w:rFonts w:cs="Arial"/>
          <w:b/>
          <w:sz w:val="20"/>
        </w:rPr>
      </w:pPr>
      <w:r w:rsidRPr="00291971">
        <w:rPr>
          <w:b/>
          <w:sz w:val="20"/>
          <w:szCs w:val="20"/>
        </w:rPr>
        <w:t>2.5.1.</w:t>
      </w:r>
      <w:r w:rsidRPr="00291971">
        <w:rPr>
          <w:b/>
          <w:sz w:val="20"/>
          <w:szCs w:val="20"/>
        </w:rPr>
        <w:tab/>
      </w:r>
      <w:r w:rsidRPr="00291971">
        <w:rPr>
          <w:rFonts w:cs="Arial"/>
          <w:b/>
          <w:sz w:val="20"/>
        </w:rPr>
        <w:t>Pojištění elektronických zařízení</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843"/>
        <w:gridCol w:w="1417"/>
        <w:gridCol w:w="1276"/>
        <w:gridCol w:w="1418"/>
      </w:tblGrid>
      <w:tr w:rsidR="00291971" w:rsidRPr="006368D9" w:rsidTr="00D741C4">
        <w:tc>
          <w:tcPr>
            <w:tcW w:w="10349" w:type="dxa"/>
            <w:gridSpan w:val="6"/>
            <w:shd w:val="clear" w:color="auto" w:fill="auto"/>
          </w:tcPr>
          <w:p w:rsidR="00291971" w:rsidRPr="0018633A" w:rsidRDefault="00291971" w:rsidP="00910169">
            <w:pPr>
              <w:rPr>
                <w:sz w:val="20"/>
                <w:szCs w:val="20"/>
              </w:rPr>
            </w:pPr>
            <w:r w:rsidRPr="00666281">
              <w:rPr>
                <w:b/>
                <w:sz w:val="20"/>
                <w:szCs w:val="20"/>
              </w:rPr>
              <w:t>Místo pojištění:</w:t>
            </w:r>
            <w:r>
              <w:rPr>
                <w:b/>
                <w:sz w:val="20"/>
                <w:szCs w:val="20"/>
              </w:rPr>
              <w:t xml:space="preserve"> </w:t>
            </w:r>
            <w:r>
              <w:rPr>
                <w:sz w:val="20"/>
                <w:szCs w:val="20"/>
              </w:rPr>
              <w:t>území ČR</w:t>
            </w:r>
          </w:p>
        </w:tc>
      </w:tr>
      <w:tr w:rsidR="00291971" w:rsidRPr="006368D9" w:rsidTr="00D741C4">
        <w:tc>
          <w:tcPr>
            <w:tcW w:w="10349" w:type="dxa"/>
            <w:gridSpan w:val="6"/>
            <w:shd w:val="clear" w:color="auto" w:fill="auto"/>
          </w:tcPr>
          <w:p w:rsidR="00291971" w:rsidRPr="00666281" w:rsidRDefault="00291971" w:rsidP="00910169">
            <w:pPr>
              <w:rPr>
                <w:sz w:val="20"/>
                <w:szCs w:val="20"/>
              </w:rPr>
            </w:pPr>
            <w:r w:rsidRPr="00666281">
              <w:rPr>
                <w:b/>
                <w:sz w:val="20"/>
                <w:szCs w:val="20"/>
              </w:rPr>
              <w:t xml:space="preserve">Pojištění se řídí: </w:t>
            </w:r>
            <w:r w:rsidRPr="00666281">
              <w:rPr>
                <w:sz w:val="20"/>
                <w:szCs w:val="20"/>
              </w:rPr>
              <w:t>VPP P-100/14, ZPP P-320/14 a doložkami DOB103</w:t>
            </w:r>
          </w:p>
        </w:tc>
      </w:tr>
      <w:tr w:rsidR="00291971" w:rsidRPr="006368D9" w:rsidTr="00D741C4">
        <w:tc>
          <w:tcPr>
            <w:tcW w:w="709" w:type="dxa"/>
            <w:shd w:val="clear" w:color="auto" w:fill="auto"/>
            <w:vAlign w:val="center"/>
          </w:tcPr>
          <w:p w:rsidR="00291971" w:rsidRPr="00666281" w:rsidRDefault="00291971" w:rsidP="00910169">
            <w:pPr>
              <w:jc w:val="center"/>
              <w:rPr>
                <w:b/>
                <w:sz w:val="20"/>
                <w:szCs w:val="20"/>
              </w:rPr>
            </w:pPr>
            <w:proofErr w:type="spellStart"/>
            <w:r w:rsidRPr="00666281">
              <w:rPr>
                <w:b/>
                <w:sz w:val="20"/>
                <w:szCs w:val="20"/>
              </w:rPr>
              <w:t>Poř</w:t>
            </w:r>
            <w:proofErr w:type="spellEnd"/>
            <w:r w:rsidRPr="00666281">
              <w:rPr>
                <w:b/>
                <w:sz w:val="20"/>
                <w:szCs w:val="20"/>
              </w:rPr>
              <w:t>. číslo</w:t>
            </w:r>
          </w:p>
        </w:tc>
        <w:tc>
          <w:tcPr>
            <w:tcW w:w="3686" w:type="dxa"/>
            <w:shd w:val="clear" w:color="auto" w:fill="auto"/>
            <w:vAlign w:val="center"/>
          </w:tcPr>
          <w:p w:rsidR="00291971" w:rsidRPr="00666281" w:rsidRDefault="00291971" w:rsidP="00910169">
            <w:pPr>
              <w:jc w:val="center"/>
              <w:rPr>
                <w:b/>
                <w:sz w:val="20"/>
                <w:szCs w:val="20"/>
              </w:rPr>
            </w:pPr>
            <w:r w:rsidRPr="00666281">
              <w:rPr>
                <w:b/>
                <w:sz w:val="20"/>
                <w:szCs w:val="20"/>
              </w:rPr>
              <w:t>Předmět pojištění</w:t>
            </w:r>
          </w:p>
        </w:tc>
        <w:tc>
          <w:tcPr>
            <w:tcW w:w="1843" w:type="dxa"/>
            <w:shd w:val="clear" w:color="auto" w:fill="auto"/>
            <w:vAlign w:val="center"/>
          </w:tcPr>
          <w:p w:rsidR="00291971" w:rsidRPr="00666281" w:rsidRDefault="00291971" w:rsidP="00910169">
            <w:pPr>
              <w:jc w:val="center"/>
              <w:rPr>
                <w:b/>
                <w:sz w:val="20"/>
                <w:szCs w:val="20"/>
              </w:rPr>
            </w:pPr>
            <w:r w:rsidRPr="00666281">
              <w:rPr>
                <w:b/>
                <w:sz w:val="20"/>
                <w:szCs w:val="20"/>
              </w:rPr>
              <w:t>Pojistná částka</w:t>
            </w:r>
            <w:r w:rsidRPr="00666281">
              <w:rPr>
                <w:b/>
                <w:sz w:val="20"/>
                <w:szCs w:val="20"/>
                <w:vertAlign w:val="superscript"/>
              </w:rPr>
              <w:t>10)</w:t>
            </w:r>
          </w:p>
        </w:tc>
        <w:tc>
          <w:tcPr>
            <w:tcW w:w="1417" w:type="dxa"/>
            <w:shd w:val="clear" w:color="auto" w:fill="auto"/>
            <w:vAlign w:val="center"/>
          </w:tcPr>
          <w:p w:rsidR="00291971" w:rsidRPr="00666281" w:rsidRDefault="00291971" w:rsidP="00910169">
            <w:pPr>
              <w:jc w:val="center"/>
              <w:rPr>
                <w:b/>
                <w:sz w:val="20"/>
                <w:szCs w:val="20"/>
              </w:rPr>
            </w:pPr>
            <w:r w:rsidRPr="00666281">
              <w:rPr>
                <w:b/>
                <w:sz w:val="20"/>
                <w:szCs w:val="20"/>
              </w:rPr>
              <w:t>Spoluúčast</w:t>
            </w:r>
            <w:r w:rsidRPr="00666281">
              <w:rPr>
                <w:b/>
                <w:sz w:val="20"/>
                <w:szCs w:val="20"/>
                <w:vertAlign w:val="superscript"/>
              </w:rPr>
              <w:t>5)</w:t>
            </w:r>
          </w:p>
        </w:tc>
        <w:tc>
          <w:tcPr>
            <w:tcW w:w="1276" w:type="dxa"/>
            <w:shd w:val="clear" w:color="auto" w:fill="auto"/>
            <w:vAlign w:val="center"/>
          </w:tcPr>
          <w:p w:rsidR="00291971" w:rsidRPr="00666281" w:rsidRDefault="00291971" w:rsidP="00910169">
            <w:pPr>
              <w:jc w:val="center"/>
              <w:rPr>
                <w:b/>
                <w:sz w:val="20"/>
                <w:szCs w:val="20"/>
              </w:rPr>
            </w:pPr>
            <w:r w:rsidRPr="00666281">
              <w:rPr>
                <w:b/>
                <w:sz w:val="20"/>
                <w:szCs w:val="20"/>
              </w:rPr>
              <w:t>Pojištění se sjednává na cenu</w:t>
            </w:r>
            <w:r w:rsidRPr="00666281">
              <w:rPr>
                <w:b/>
                <w:sz w:val="20"/>
                <w:szCs w:val="20"/>
                <w:vertAlign w:val="superscript"/>
              </w:rPr>
              <w:t>*1)</w:t>
            </w:r>
          </w:p>
        </w:tc>
        <w:tc>
          <w:tcPr>
            <w:tcW w:w="1418" w:type="dxa"/>
            <w:shd w:val="clear" w:color="auto" w:fill="auto"/>
            <w:vAlign w:val="center"/>
          </w:tcPr>
          <w:p w:rsidR="00291971" w:rsidRPr="00666281" w:rsidRDefault="00291971" w:rsidP="00910169">
            <w:pPr>
              <w:jc w:val="center"/>
              <w:rPr>
                <w:b/>
                <w:sz w:val="20"/>
                <w:szCs w:val="20"/>
              </w:rPr>
            </w:pPr>
            <w:r w:rsidRPr="00666281">
              <w:rPr>
                <w:b/>
                <w:sz w:val="20"/>
                <w:szCs w:val="20"/>
              </w:rPr>
              <w:t>MRLP</w:t>
            </w:r>
            <w:r w:rsidRPr="00666281">
              <w:rPr>
                <w:b/>
                <w:sz w:val="20"/>
                <w:szCs w:val="20"/>
                <w:vertAlign w:val="superscript"/>
              </w:rPr>
              <w:t>3)</w:t>
            </w:r>
          </w:p>
        </w:tc>
      </w:tr>
      <w:tr w:rsidR="00291971" w:rsidRPr="006368D9" w:rsidTr="00D741C4">
        <w:tc>
          <w:tcPr>
            <w:tcW w:w="709" w:type="dxa"/>
            <w:shd w:val="clear" w:color="auto" w:fill="auto"/>
            <w:vAlign w:val="center"/>
          </w:tcPr>
          <w:p w:rsidR="00291971" w:rsidRPr="00666281" w:rsidRDefault="00291971" w:rsidP="00291971">
            <w:pPr>
              <w:jc w:val="center"/>
              <w:rPr>
                <w:sz w:val="20"/>
                <w:szCs w:val="20"/>
              </w:rPr>
            </w:pPr>
            <w:r w:rsidRPr="00666281">
              <w:rPr>
                <w:sz w:val="20"/>
                <w:szCs w:val="20"/>
              </w:rPr>
              <w:t>1.</w:t>
            </w:r>
          </w:p>
        </w:tc>
        <w:tc>
          <w:tcPr>
            <w:tcW w:w="3686" w:type="dxa"/>
            <w:shd w:val="clear" w:color="auto" w:fill="auto"/>
            <w:vAlign w:val="center"/>
          </w:tcPr>
          <w:p w:rsidR="00291971" w:rsidRPr="00666281" w:rsidRDefault="00291971" w:rsidP="00910169">
            <w:pPr>
              <w:rPr>
                <w:sz w:val="20"/>
                <w:szCs w:val="20"/>
              </w:rPr>
            </w:pPr>
            <w:r>
              <w:rPr>
                <w:sz w:val="20"/>
                <w:szCs w:val="20"/>
              </w:rPr>
              <w:t>Soubor vlastních a cizích elektronických zařízení, včetně přenosných zařízení a elektronických částí lékařských přístrojů</w:t>
            </w:r>
          </w:p>
        </w:tc>
        <w:tc>
          <w:tcPr>
            <w:tcW w:w="1843" w:type="dxa"/>
            <w:shd w:val="clear" w:color="auto" w:fill="auto"/>
            <w:vAlign w:val="center"/>
          </w:tcPr>
          <w:p w:rsidR="00291971" w:rsidRPr="00666281" w:rsidRDefault="00291971" w:rsidP="00A74B73">
            <w:pPr>
              <w:jc w:val="center"/>
              <w:rPr>
                <w:sz w:val="20"/>
                <w:szCs w:val="20"/>
              </w:rPr>
            </w:pPr>
            <w:r w:rsidRPr="00A74B73">
              <w:rPr>
                <w:sz w:val="20"/>
                <w:szCs w:val="20"/>
              </w:rPr>
              <w:t>1</w:t>
            </w:r>
            <w:r w:rsidR="00A74B73" w:rsidRPr="00A74B73">
              <w:rPr>
                <w:sz w:val="20"/>
                <w:szCs w:val="20"/>
              </w:rPr>
              <w:t> 200 000 000</w:t>
            </w:r>
            <w:r w:rsidRPr="00A74B73">
              <w:rPr>
                <w:sz w:val="20"/>
                <w:szCs w:val="20"/>
              </w:rPr>
              <w:t xml:space="preserve"> Kč</w:t>
            </w:r>
          </w:p>
        </w:tc>
        <w:tc>
          <w:tcPr>
            <w:tcW w:w="1417" w:type="dxa"/>
            <w:shd w:val="clear" w:color="auto" w:fill="auto"/>
            <w:vAlign w:val="center"/>
          </w:tcPr>
          <w:p w:rsidR="00291971" w:rsidRPr="00666281" w:rsidRDefault="00291971" w:rsidP="00910169">
            <w:pPr>
              <w:jc w:val="center"/>
              <w:rPr>
                <w:sz w:val="20"/>
                <w:szCs w:val="20"/>
              </w:rPr>
            </w:pPr>
            <w:r>
              <w:rPr>
                <w:sz w:val="20"/>
                <w:szCs w:val="20"/>
              </w:rPr>
              <w:t>10 000 Kč</w:t>
            </w:r>
          </w:p>
        </w:tc>
        <w:tc>
          <w:tcPr>
            <w:tcW w:w="1276" w:type="dxa"/>
            <w:shd w:val="clear" w:color="auto" w:fill="auto"/>
            <w:vAlign w:val="center"/>
          </w:tcPr>
          <w:p w:rsidR="00291971" w:rsidRPr="00666281" w:rsidRDefault="00291971" w:rsidP="00910169">
            <w:pPr>
              <w:jc w:val="center"/>
              <w:rPr>
                <w:sz w:val="20"/>
                <w:szCs w:val="20"/>
              </w:rPr>
            </w:pPr>
            <w:r w:rsidRPr="008F1C82">
              <w:rPr>
                <w:sz w:val="20"/>
                <w:szCs w:val="20"/>
              </w:rPr>
              <w:t>*)</w:t>
            </w:r>
          </w:p>
        </w:tc>
        <w:tc>
          <w:tcPr>
            <w:tcW w:w="1418" w:type="dxa"/>
            <w:shd w:val="clear" w:color="auto" w:fill="auto"/>
            <w:vAlign w:val="center"/>
          </w:tcPr>
          <w:p w:rsidR="00291971" w:rsidRPr="00666281" w:rsidRDefault="00291971" w:rsidP="00910169">
            <w:pPr>
              <w:jc w:val="center"/>
              <w:rPr>
                <w:sz w:val="20"/>
                <w:szCs w:val="20"/>
              </w:rPr>
            </w:pPr>
            <w:r>
              <w:rPr>
                <w:sz w:val="20"/>
                <w:szCs w:val="20"/>
              </w:rPr>
              <w:t>5 000 000 Kč</w:t>
            </w:r>
          </w:p>
        </w:tc>
      </w:tr>
      <w:tr w:rsidR="00291971" w:rsidRPr="006368D9" w:rsidTr="00D741C4">
        <w:tc>
          <w:tcPr>
            <w:tcW w:w="10349" w:type="dxa"/>
            <w:gridSpan w:val="6"/>
            <w:shd w:val="clear" w:color="auto" w:fill="auto"/>
          </w:tcPr>
          <w:p w:rsidR="00291971" w:rsidRDefault="00291971" w:rsidP="00910169">
            <w:pPr>
              <w:rPr>
                <w:sz w:val="20"/>
                <w:szCs w:val="20"/>
              </w:rPr>
            </w:pPr>
            <w:r w:rsidRPr="00666281">
              <w:rPr>
                <w:sz w:val="20"/>
                <w:szCs w:val="20"/>
              </w:rPr>
              <w:t>Poznámky:</w:t>
            </w:r>
          </w:p>
          <w:p w:rsidR="001E18B7" w:rsidRPr="00666281" w:rsidRDefault="001E18B7" w:rsidP="00910169">
            <w:pPr>
              <w:rPr>
                <w:sz w:val="20"/>
                <w:szCs w:val="20"/>
              </w:rPr>
            </w:pPr>
            <w:r>
              <w:rPr>
                <w:sz w:val="20"/>
                <w:szCs w:val="20"/>
              </w:rPr>
              <w:lastRenderedPageBreak/>
              <w:t>Odchylně od ustanovení čl. 1 odst. 4) ZPP P-320/14 se pojištění vztahuje pouze na zařízení, jejichž stáří nepřesáhlo v době vzniku škody 10 let.</w:t>
            </w:r>
            <w:r w:rsidR="00E7354D">
              <w:rPr>
                <w:sz w:val="20"/>
                <w:szCs w:val="20"/>
              </w:rPr>
              <w:t xml:space="preserve"> Pro určení stáří zařízení je rozhodující rok jeho prvního uvedení do provozu. V případě, že rok prvního uvedení zařízení do provozu nelze zjistit, je pro určení stáří zařízení rozhodující rok jeho výroby. Rok prvního uvedení zařízení do provozu, příp. rok jeho výroby se do 10 leté doby stáří zařízení nezapočítává.</w:t>
            </w:r>
          </w:p>
        </w:tc>
      </w:tr>
    </w:tbl>
    <w:p w:rsidR="00291971" w:rsidRDefault="00291971" w:rsidP="00291971">
      <w:pPr>
        <w:rPr>
          <w:sz w:val="16"/>
          <w:szCs w:val="16"/>
        </w:rPr>
      </w:pPr>
      <w:r w:rsidRPr="006368D9">
        <w:rPr>
          <w:sz w:val="16"/>
          <w:szCs w:val="16"/>
        </w:rPr>
        <w:lastRenderedPageBreak/>
        <w:t xml:space="preserve">* není-li uvedeno, sjednává se pojištění s pojistnou hodnotou uvedenou v příslušných pojistných podmínkách </w:t>
      </w:r>
    </w:p>
    <w:p w:rsidR="001E18B7" w:rsidRPr="006368D9" w:rsidRDefault="001E18B7" w:rsidP="00291971">
      <w:pPr>
        <w:rPr>
          <w:sz w:val="16"/>
          <w:szCs w:val="16"/>
        </w:rPr>
      </w:pPr>
    </w:p>
    <w:p w:rsidR="00291971" w:rsidRPr="006368D9" w:rsidRDefault="00291971" w:rsidP="00291971">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291971" w:rsidRPr="006368D9" w:rsidRDefault="00291971" w:rsidP="00291971">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291971" w:rsidRPr="006368D9" w:rsidRDefault="00291971" w:rsidP="00291971">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rsidR="00291971" w:rsidRPr="006368D9" w:rsidRDefault="00291971" w:rsidP="00291971">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rsidR="00291971" w:rsidRPr="006368D9" w:rsidRDefault="00291971" w:rsidP="00291971">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je limit pojistného plnění ve smyslu ustanovení </w:t>
      </w:r>
      <w:r w:rsidRPr="006368D9">
        <w:rPr>
          <w:rFonts w:cs="Arial"/>
          <w:sz w:val="18"/>
        </w:rPr>
        <w:t>čl. 23 odst. 1) písm. a) VPP P-100/14</w:t>
      </w:r>
    </w:p>
    <w:p w:rsidR="00291971" w:rsidRPr="006368D9" w:rsidRDefault="00291971" w:rsidP="00291971">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291971" w:rsidRPr="006368D9" w:rsidRDefault="00291971" w:rsidP="00291971">
      <w:pPr>
        <w:tabs>
          <w:tab w:val="left" w:pos="284"/>
        </w:tabs>
        <w:jc w:val="both"/>
        <w:rPr>
          <w:rFonts w:cs="Arial"/>
          <w:sz w:val="18"/>
        </w:rPr>
      </w:pPr>
      <w:r w:rsidRPr="006368D9">
        <w:rPr>
          <w:b/>
          <w:sz w:val="20"/>
          <w:szCs w:val="20"/>
          <w:vertAlign w:val="superscript"/>
        </w:rPr>
        <w:t>4)</w:t>
      </w:r>
      <w:r w:rsidRPr="006368D9">
        <w:rPr>
          <w:rFonts w:cs="Arial"/>
          <w:sz w:val="18"/>
        </w:rPr>
        <w:tab/>
        <w:t>zlomkové pojištění se vztahuje pouze na uvedený podíl z pojistné částky ve smyslu čl. 23 odst. 1) písm. b) VPP P-100/14</w:t>
      </w:r>
    </w:p>
    <w:p w:rsidR="00291971" w:rsidRPr="006368D9" w:rsidRDefault="00291971" w:rsidP="00291971">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291971" w:rsidRPr="006368D9" w:rsidRDefault="00291971" w:rsidP="00291971">
      <w:pPr>
        <w:tabs>
          <w:tab w:val="left" w:pos="284"/>
        </w:tabs>
        <w:ind w:left="284" w:hanging="284"/>
        <w:jc w:val="both"/>
        <w:rPr>
          <w:rFonts w:cs="Arial"/>
          <w:sz w:val="18"/>
        </w:rPr>
      </w:pPr>
      <w:r w:rsidRPr="006368D9">
        <w:rPr>
          <w:b/>
          <w:sz w:val="20"/>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rsidR="00291971" w:rsidRPr="006368D9" w:rsidRDefault="00291971" w:rsidP="00291971">
      <w:pPr>
        <w:tabs>
          <w:tab w:val="left" w:pos="284"/>
        </w:tabs>
        <w:ind w:left="284" w:hanging="284"/>
        <w:jc w:val="both"/>
        <w:rPr>
          <w:rFonts w:cs="Arial"/>
          <w:bCs/>
          <w:sz w:val="18"/>
        </w:rPr>
      </w:pPr>
      <w:r w:rsidRPr="006368D9">
        <w:rPr>
          <w:b/>
          <w:sz w:val="20"/>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rsidR="00291971" w:rsidRPr="006368D9" w:rsidRDefault="00291971" w:rsidP="00291971">
      <w:pPr>
        <w:tabs>
          <w:tab w:val="left" w:pos="426"/>
        </w:tabs>
        <w:ind w:left="284" w:hanging="284"/>
        <w:jc w:val="both"/>
        <w:rPr>
          <w:rFonts w:cs="Arial"/>
          <w:i/>
          <w:sz w:val="18"/>
        </w:rPr>
      </w:pPr>
      <w:r w:rsidRPr="006368D9">
        <w:rPr>
          <w:b/>
          <w:sz w:val="20"/>
          <w:szCs w:val="20"/>
          <w:vertAlign w:val="superscript"/>
        </w:rPr>
        <w:t>8)</w:t>
      </w:r>
      <w:r w:rsidRPr="006368D9">
        <w:rPr>
          <w:rFonts w:cs="Arial"/>
          <w:bCs/>
          <w:sz w:val="18"/>
        </w:rPr>
        <w:tab/>
      </w:r>
      <w:r w:rsidRPr="006368D9">
        <w:rPr>
          <w:rFonts w:cs="Arial"/>
          <w:sz w:val="18"/>
        </w:rPr>
        <w:t xml:space="preserve">dobou ručení se rozumí doba ve smyslu čl. 11 odst. 4) ZPP P-400/14  </w:t>
      </w:r>
    </w:p>
    <w:p w:rsidR="00291971" w:rsidRPr="006368D9" w:rsidRDefault="00291971" w:rsidP="00291971">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291971" w:rsidRPr="006368D9" w:rsidRDefault="00291971" w:rsidP="00291971">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rsidR="00407B8C" w:rsidRDefault="00407B8C" w:rsidP="00513C02">
      <w:pPr>
        <w:pStyle w:val="Zkladntext32"/>
        <w:numPr>
          <w:ilvl w:val="12"/>
          <w:numId w:val="0"/>
        </w:numPr>
        <w:tabs>
          <w:tab w:val="clear" w:pos="-720"/>
          <w:tab w:val="left" w:pos="-1701"/>
        </w:tabs>
        <w:spacing w:line="240" w:lineRule="auto"/>
        <w:jc w:val="both"/>
        <w:rPr>
          <w:rFonts w:ascii="Koop Office" w:hAnsi="Koop Office" w:cs="Arial"/>
        </w:rPr>
      </w:pPr>
    </w:p>
    <w:p w:rsidR="00291971" w:rsidRPr="00291971" w:rsidRDefault="00291971" w:rsidP="00291971">
      <w:pPr>
        <w:keepNext/>
        <w:numPr>
          <w:ilvl w:val="0"/>
          <w:numId w:val="9"/>
        </w:numPr>
        <w:rPr>
          <w:rFonts w:cs="Arial"/>
          <w:b/>
          <w:sz w:val="20"/>
          <w:szCs w:val="20"/>
        </w:rPr>
      </w:pPr>
      <w:bookmarkStart w:id="1" w:name="_Toc367839357"/>
      <w:r w:rsidRPr="00291971">
        <w:rPr>
          <w:rFonts w:cs="Arial"/>
          <w:b/>
          <w:sz w:val="20"/>
          <w:szCs w:val="20"/>
        </w:rPr>
        <w:t xml:space="preserve">Pojistné plnění </w:t>
      </w:r>
    </w:p>
    <w:p w:rsidR="00291971" w:rsidRPr="00291971" w:rsidRDefault="00291971" w:rsidP="00595C92">
      <w:pPr>
        <w:numPr>
          <w:ilvl w:val="0"/>
          <w:numId w:val="10"/>
        </w:numPr>
        <w:spacing w:before="120"/>
        <w:jc w:val="both"/>
        <w:rPr>
          <w:rFonts w:cs="Arial"/>
          <w:b/>
          <w:bCs/>
          <w:sz w:val="20"/>
          <w:szCs w:val="20"/>
        </w:rPr>
      </w:pPr>
      <w:r w:rsidRPr="00291971">
        <w:rPr>
          <w:rFonts w:cs="Arial"/>
          <w:sz w:val="20"/>
          <w:szCs w:val="20"/>
        </w:rPr>
        <w:t xml:space="preserve">Pojistné plnění ze všech pojištění sjednaných touto pojistnou smlouvou, v souhrnu za všechny pojistné události způsobené povodní nebo záplavou, nastalé v průběhu jednoho pojistného roku </w:t>
      </w:r>
      <w:r w:rsidRPr="00291971">
        <w:rPr>
          <w:sz w:val="20"/>
          <w:szCs w:val="20"/>
        </w:rPr>
        <w:t xml:space="preserve">(resp. je-li pojištění sjednáno na dobu kratší než jeden pojistný rok, v průběhu trvání pojištění), </w:t>
      </w:r>
      <w:r w:rsidRPr="00291971">
        <w:rPr>
          <w:rFonts w:cs="Arial"/>
          <w:sz w:val="20"/>
          <w:szCs w:val="20"/>
        </w:rPr>
        <w:t>je omezeno maximálním ročním limitem pojistného plnění ve výši 50 000 000 Kč; tím nejsou dotčena jiná ujednání, z nichž vyplývá povinnost pojistitele poskytnout pojistné plnění v nižší nebo stejné výši.</w:t>
      </w:r>
    </w:p>
    <w:p w:rsidR="00291971" w:rsidRPr="00291971" w:rsidRDefault="00291971" w:rsidP="00291971">
      <w:pPr>
        <w:spacing w:before="60"/>
        <w:ind w:left="425"/>
        <w:jc w:val="both"/>
        <w:rPr>
          <w:rFonts w:cs="Arial"/>
          <w:sz w:val="20"/>
          <w:szCs w:val="20"/>
        </w:rPr>
      </w:pPr>
      <w:r w:rsidRPr="00291971">
        <w:rPr>
          <w:sz w:val="20"/>
          <w:szCs w:val="20"/>
        </w:rPr>
        <w:t xml:space="preserve">Vyjma míst pojištění specifikovaných v čl. II. bodech 1.2.1. – 1.2.7. této pojistné smlouvy se však v rámci maximálního ročního limitu pojistného plnění uvedeného výše v tomto bodě pro všechny pojistné události nastalé v průběhu trvání pojištění, které vzniknou povodní nebo záplavou v záplavovém území (stanovené dle zák. č. 254/2001 Sb., o vodách a o změně některých zákonů (vodní zákon), </w:t>
      </w:r>
      <w:proofErr w:type="spellStart"/>
      <w:r w:rsidRPr="00291971">
        <w:rPr>
          <w:sz w:val="20"/>
          <w:szCs w:val="20"/>
        </w:rPr>
        <w:t>vyhl</w:t>
      </w:r>
      <w:proofErr w:type="spellEnd"/>
      <w:r w:rsidRPr="00291971">
        <w:rPr>
          <w:sz w:val="20"/>
          <w:szCs w:val="20"/>
        </w:rPr>
        <w:t>. č. 236/2002 Sb., o způsobu a rozsahu zpracování návrhu a stanovení záplavových území v platném znění) vymezeném záplavovou čárou tzv. dvacetileté vody (tj. území s periodicitou povodně 20 let - výskyt povodně, který je dosažen nebo překročen průměrně jedenkrát za 20 let) sjednává maximální roční limit pojis</w:t>
      </w:r>
      <w:r w:rsidR="00910169">
        <w:rPr>
          <w:sz w:val="20"/>
          <w:szCs w:val="20"/>
        </w:rPr>
        <w:t>tného plnění ve výši 500 000</w:t>
      </w:r>
      <w:r w:rsidRPr="00291971">
        <w:rPr>
          <w:sz w:val="20"/>
          <w:szCs w:val="20"/>
        </w:rPr>
        <w:t xml:space="preserve"> Kč. </w:t>
      </w:r>
      <w:r w:rsidRPr="00291971">
        <w:rPr>
          <w:rFonts w:cs="Arial"/>
          <w:sz w:val="20"/>
          <w:szCs w:val="20"/>
        </w:rPr>
        <w:t xml:space="preserve">Tím nejsou dotčena jiná ujednání, z nichž vyplývá povinnost pojistitele poskytnout pojistné plnění v nižší nebo stejné výši. </w:t>
      </w:r>
    </w:p>
    <w:p w:rsidR="00291971" w:rsidRPr="00291971" w:rsidRDefault="00291971" w:rsidP="0020689F">
      <w:pPr>
        <w:numPr>
          <w:ilvl w:val="0"/>
          <w:numId w:val="10"/>
        </w:numPr>
        <w:tabs>
          <w:tab w:val="left" w:pos="-1418"/>
        </w:tabs>
        <w:spacing w:before="120"/>
        <w:jc w:val="both"/>
        <w:rPr>
          <w:rFonts w:cs="Arial"/>
          <w:sz w:val="20"/>
          <w:szCs w:val="20"/>
        </w:rPr>
      </w:pPr>
      <w:r w:rsidRPr="00291971">
        <w:rPr>
          <w:rFonts w:cs="Arial"/>
          <w:sz w:val="20"/>
          <w:szCs w:val="20"/>
        </w:rPr>
        <w:t xml:space="preserve">Pojistné plnění ze všech pojištění sjednaných touto pojistnou smlouvou, v souhrnu za všechny pojistné události způsobené vichřicí nebo krupobitím, nastalé v průběhu jednoho pojistného roku </w:t>
      </w:r>
      <w:r w:rsidRPr="00291971">
        <w:rPr>
          <w:sz w:val="20"/>
          <w:szCs w:val="20"/>
        </w:rPr>
        <w:t>(resp. je-li pojištění sjednáno na dobu kratší než jeden pojistný rok, v průběhu trvání pojištění)</w:t>
      </w:r>
      <w:r w:rsidRPr="00291971">
        <w:rPr>
          <w:rFonts w:cs="Arial"/>
          <w:sz w:val="20"/>
          <w:szCs w:val="20"/>
        </w:rPr>
        <w:t>, je omezeno maximálním ročním limitem pojistného plnění ve výši 300 000 000 Kč; tím nejsou dotčena jiná ujednání, z nichž vyplývá povinnost pojistitele poskytnout pojistné plnění v nižší nebo stejné výši.</w:t>
      </w:r>
    </w:p>
    <w:p w:rsidR="00291971" w:rsidRPr="00291971" w:rsidRDefault="00291971" w:rsidP="0020689F">
      <w:pPr>
        <w:numPr>
          <w:ilvl w:val="0"/>
          <w:numId w:val="10"/>
        </w:numPr>
        <w:tabs>
          <w:tab w:val="left" w:pos="-1418"/>
        </w:tabs>
        <w:spacing w:before="120"/>
        <w:jc w:val="both"/>
        <w:rPr>
          <w:rFonts w:cs="Arial"/>
          <w:sz w:val="20"/>
          <w:szCs w:val="20"/>
        </w:rPr>
      </w:pPr>
      <w:r w:rsidRPr="00291971">
        <w:rPr>
          <w:rFonts w:cs="Arial"/>
          <w:sz w:val="20"/>
          <w:szCs w:val="20"/>
        </w:rPr>
        <w:t>Pojistné plnění ze všech pojištění sjednaných touto pojistnou smlouvou, v souhrnu za všechny pojistné události způsobené sesouváním půdy, zřícením skal nebo zemin, sesouváním nebo zřícením lavin, zemětřesením, tíhou sněhu nebo námrazy nastalé v průběhu jednoho pojistného roku (resp. je-li pojištění sjednáno na dobu kratší než jeden pojistný rok, v průběhu trvání pojištění), je omezeno maximálním ročním limitem pojistného plnění ve výši 100 000 000 Kč; tím nejsou dotčena jiná ujednání, z nichž vyplývá povinnost pojistitele poskytnout pojistné plnění v nižší nebo stejné výši.</w:t>
      </w:r>
    </w:p>
    <w:p w:rsidR="00291971" w:rsidRDefault="00291971" w:rsidP="0020689F">
      <w:pPr>
        <w:numPr>
          <w:ilvl w:val="0"/>
          <w:numId w:val="10"/>
        </w:numPr>
        <w:tabs>
          <w:tab w:val="left" w:pos="-1418"/>
        </w:tabs>
        <w:spacing w:before="120"/>
        <w:jc w:val="both"/>
        <w:rPr>
          <w:rFonts w:cs="Arial"/>
          <w:sz w:val="20"/>
          <w:szCs w:val="20"/>
        </w:rPr>
      </w:pPr>
      <w:r w:rsidRPr="00291971">
        <w:rPr>
          <w:rFonts w:cs="Arial"/>
          <w:sz w:val="20"/>
          <w:szCs w:val="20"/>
        </w:rPr>
        <w:t>Pojistné plnění z pojištění sjednaného doložkou DALL115, v souhrnu za všechny pojistné události nastalé v průběhu jednoho pojistného roku (resp. je-li pojištění sjednáno na dobu kratší než jeden pojistný rok, v průběhu trvání pojištění), je omezeno maximálním ročním limitem pojistného plnění ve výši 2 000 000 Kč. Od celkové výše pojistného plnění za každou pojistnou událost z pojištění dle doložky DALL115 se odečítá spoluúčast ve výši 50 000 Kč.</w:t>
      </w:r>
    </w:p>
    <w:p w:rsidR="00291971" w:rsidRPr="00291971" w:rsidRDefault="00291971" w:rsidP="0020689F">
      <w:pPr>
        <w:numPr>
          <w:ilvl w:val="0"/>
          <w:numId w:val="10"/>
        </w:numPr>
        <w:tabs>
          <w:tab w:val="left" w:pos="-1418"/>
        </w:tabs>
        <w:spacing w:before="120"/>
        <w:jc w:val="both"/>
        <w:rPr>
          <w:rFonts w:cs="Arial"/>
          <w:sz w:val="20"/>
          <w:szCs w:val="20"/>
        </w:rPr>
      </w:pPr>
      <w:r w:rsidRPr="00291971">
        <w:rPr>
          <w:rFonts w:cs="Arial"/>
          <w:sz w:val="20"/>
          <w:szCs w:val="20"/>
        </w:rPr>
        <w:lastRenderedPageBreak/>
        <w:t>Pojistné plnění ze všech pojištění sjednaných touto pojistnou smlouvou, v souhrnu za všechny pojistné události způsobené úmyslným poškozením pojištěných věcí malbami, nástřiky nebo polepením nastalé v průběhu jednoho pojistného roku (resp. je-li pojištění sjednáno na dobu kratší než jeden pojistný rok, v průběhu trvání pojištění), je omezeno maximálním ročním limitem pojistného plnění ve výši 100 000 Kč; tím nejsou dotčena jiná ujednání, z nichž vyplývá povinnost pojistitele poskytnout pojistné plnění v nižší nebo stejné výši. Od celkové výše pojistného plnění za každou pojistnou událost se odečítá spoluúčast ve výši 1 000 Kč.</w:t>
      </w:r>
    </w:p>
    <w:p w:rsidR="00407B8C" w:rsidRPr="00291971" w:rsidRDefault="00407B8C" w:rsidP="00291971">
      <w:pPr>
        <w:tabs>
          <w:tab w:val="left" w:pos="426"/>
        </w:tabs>
        <w:rPr>
          <w:sz w:val="20"/>
          <w:szCs w:val="20"/>
        </w:rPr>
      </w:pPr>
    </w:p>
    <w:p w:rsidR="00291971" w:rsidRPr="00291971" w:rsidRDefault="00291971" w:rsidP="00595C92">
      <w:pPr>
        <w:keepNext/>
        <w:jc w:val="center"/>
        <w:rPr>
          <w:rFonts w:cs="Arial"/>
          <w:b/>
          <w:bCs/>
          <w:sz w:val="24"/>
        </w:rPr>
      </w:pPr>
      <w:r w:rsidRPr="00291971">
        <w:rPr>
          <w:rFonts w:cs="Arial"/>
          <w:b/>
          <w:bCs/>
          <w:sz w:val="24"/>
        </w:rPr>
        <w:t>Článek III.</w:t>
      </w:r>
    </w:p>
    <w:p w:rsidR="00291971" w:rsidRPr="00291971" w:rsidRDefault="00291971" w:rsidP="00910169">
      <w:pPr>
        <w:keepNext/>
        <w:jc w:val="center"/>
        <w:rPr>
          <w:b/>
          <w:bCs/>
          <w:sz w:val="24"/>
        </w:rPr>
      </w:pPr>
      <w:r w:rsidRPr="00291971">
        <w:rPr>
          <w:b/>
          <w:bCs/>
          <w:sz w:val="24"/>
        </w:rPr>
        <w:t>Výše a způsob placení pojistného</w:t>
      </w:r>
    </w:p>
    <w:p w:rsidR="00291971" w:rsidRPr="00291971" w:rsidRDefault="00291971" w:rsidP="00291971">
      <w:pPr>
        <w:keepNext/>
        <w:numPr>
          <w:ilvl w:val="0"/>
          <w:numId w:val="12"/>
        </w:numPr>
        <w:tabs>
          <w:tab w:val="left" w:pos="-1418"/>
        </w:tabs>
        <w:spacing w:before="180"/>
        <w:jc w:val="both"/>
        <w:rPr>
          <w:rFonts w:cs="Arial"/>
          <w:sz w:val="20"/>
          <w:szCs w:val="20"/>
        </w:rPr>
      </w:pPr>
      <w:r w:rsidRPr="00291971">
        <w:rPr>
          <w:rFonts w:cs="Arial"/>
          <w:sz w:val="20"/>
          <w:szCs w:val="20"/>
        </w:rPr>
        <w:t xml:space="preserve">Pojistné za jeden pojistný rok </w:t>
      </w:r>
      <w:r w:rsidR="00910169">
        <w:rPr>
          <w:rFonts w:cs="Arial"/>
          <w:sz w:val="20"/>
          <w:szCs w:val="20"/>
        </w:rPr>
        <w:t xml:space="preserve">od </w:t>
      </w:r>
      <w:r w:rsidR="00910169" w:rsidRPr="00F35DA3">
        <w:rPr>
          <w:rFonts w:cs="Arial"/>
          <w:sz w:val="20"/>
          <w:szCs w:val="20"/>
        </w:rPr>
        <w:t>01. 01. 201</w:t>
      </w:r>
      <w:r w:rsidR="00BA1EB0">
        <w:rPr>
          <w:rFonts w:cs="Arial"/>
          <w:sz w:val="20"/>
          <w:szCs w:val="20"/>
        </w:rPr>
        <w:t>9</w:t>
      </w:r>
      <w:r w:rsidR="00910169" w:rsidRPr="00F35DA3">
        <w:rPr>
          <w:rFonts w:cs="Arial"/>
          <w:sz w:val="20"/>
          <w:szCs w:val="20"/>
        </w:rPr>
        <w:t xml:space="preserve"> do 31. 12. 201</w:t>
      </w:r>
      <w:r w:rsidR="00BA1EB0">
        <w:rPr>
          <w:rFonts w:cs="Arial"/>
          <w:sz w:val="20"/>
          <w:szCs w:val="20"/>
        </w:rPr>
        <w:t>9</w:t>
      </w:r>
      <w:r w:rsidR="00910169">
        <w:rPr>
          <w:rFonts w:cs="Arial"/>
          <w:sz w:val="20"/>
          <w:szCs w:val="20"/>
        </w:rPr>
        <w:t xml:space="preserve"> </w:t>
      </w:r>
      <w:r w:rsidRPr="00291971">
        <w:rPr>
          <w:rFonts w:cs="Arial"/>
          <w:sz w:val="20"/>
          <w:szCs w:val="20"/>
        </w:rPr>
        <w:t>činí:</w:t>
      </w:r>
    </w:p>
    <w:p w:rsidR="00291971" w:rsidRPr="00291971" w:rsidRDefault="00291971" w:rsidP="00D741C4">
      <w:pPr>
        <w:widowControl w:val="0"/>
        <w:numPr>
          <w:ilvl w:val="0"/>
          <w:numId w:val="11"/>
        </w:numPr>
        <w:tabs>
          <w:tab w:val="left" w:pos="-720"/>
        </w:tabs>
        <w:spacing w:before="120"/>
        <w:ind w:left="993" w:hanging="567"/>
        <w:jc w:val="both"/>
        <w:rPr>
          <w:rFonts w:cs="Arial"/>
          <w:b/>
          <w:sz w:val="20"/>
          <w:szCs w:val="20"/>
        </w:rPr>
      </w:pPr>
      <w:r w:rsidRPr="00291971">
        <w:rPr>
          <w:rFonts w:cs="Arial"/>
          <w:b/>
          <w:sz w:val="20"/>
          <w:szCs w:val="20"/>
        </w:rPr>
        <w:t>Pojištění věci (majetku)</w:t>
      </w:r>
    </w:p>
    <w:p w:rsidR="00291971" w:rsidRPr="00291971" w:rsidRDefault="00291971" w:rsidP="00D741C4">
      <w:pPr>
        <w:widowControl w:val="0"/>
        <w:numPr>
          <w:ilvl w:val="12"/>
          <w:numId w:val="0"/>
        </w:numPr>
        <w:tabs>
          <w:tab w:val="right" w:leader="dot" w:pos="9638"/>
        </w:tabs>
        <w:ind w:left="993"/>
        <w:jc w:val="both"/>
        <w:rPr>
          <w:rFonts w:cs="Arial"/>
          <w:sz w:val="20"/>
          <w:szCs w:val="20"/>
        </w:rPr>
      </w:pPr>
      <w:r w:rsidRPr="00291971">
        <w:rPr>
          <w:rFonts w:cs="Arial"/>
          <w:sz w:val="20"/>
          <w:szCs w:val="20"/>
        </w:rPr>
        <w:t xml:space="preserve">Pojistné </w:t>
      </w:r>
      <w:r w:rsidRPr="00291971">
        <w:rPr>
          <w:rFonts w:cs="Arial"/>
          <w:sz w:val="20"/>
          <w:szCs w:val="20"/>
        </w:rPr>
        <w:tab/>
        <w:t xml:space="preserve"> </w:t>
      </w:r>
      <w:r w:rsidRPr="002C1FD3">
        <w:rPr>
          <w:rFonts w:cs="Arial"/>
          <w:sz w:val="20"/>
          <w:szCs w:val="20"/>
        </w:rPr>
        <w:t>3</w:t>
      </w:r>
      <w:r w:rsidR="00F35DA3" w:rsidRPr="002C1FD3">
        <w:rPr>
          <w:rFonts w:cs="Arial"/>
          <w:sz w:val="20"/>
          <w:szCs w:val="20"/>
        </w:rPr>
        <w:t> 060 518</w:t>
      </w:r>
      <w:r w:rsidRPr="002C1FD3">
        <w:rPr>
          <w:rFonts w:cs="Arial"/>
          <w:sz w:val="20"/>
          <w:szCs w:val="20"/>
        </w:rPr>
        <w:t> Kč</w:t>
      </w:r>
    </w:p>
    <w:p w:rsidR="00291971" w:rsidRPr="00291971" w:rsidRDefault="00291971" w:rsidP="0020689F">
      <w:pPr>
        <w:widowControl w:val="0"/>
        <w:numPr>
          <w:ilvl w:val="0"/>
          <w:numId w:val="11"/>
        </w:numPr>
        <w:tabs>
          <w:tab w:val="left" w:pos="-720"/>
        </w:tabs>
        <w:ind w:left="992" w:hanging="567"/>
        <w:jc w:val="both"/>
        <w:rPr>
          <w:rFonts w:cs="Arial"/>
          <w:b/>
          <w:sz w:val="20"/>
          <w:szCs w:val="20"/>
        </w:rPr>
      </w:pPr>
      <w:r w:rsidRPr="00291971">
        <w:rPr>
          <w:rFonts w:cs="Arial"/>
          <w:b/>
          <w:sz w:val="20"/>
          <w:szCs w:val="20"/>
        </w:rPr>
        <w:t xml:space="preserve">Pojištění pro případ odcizení </w:t>
      </w:r>
    </w:p>
    <w:p w:rsidR="00291971" w:rsidRPr="00291971" w:rsidRDefault="00291971" w:rsidP="00D741C4">
      <w:pPr>
        <w:widowControl w:val="0"/>
        <w:numPr>
          <w:ilvl w:val="12"/>
          <w:numId w:val="0"/>
        </w:numPr>
        <w:tabs>
          <w:tab w:val="right" w:leader="dot" w:pos="9638"/>
        </w:tabs>
        <w:ind w:left="993"/>
        <w:jc w:val="both"/>
        <w:rPr>
          <w:rFonts w:cs="Arial"/>
          <w:sz w:val="20"/>
          <w:szCs w:val="20"/>
        </w:rPr>
      </w:pPr>
      <w:r w:rsidRPr="00291971">
        <w:rPr>
          <w:rFonts w:cs="Arial"/>
          <w:sz w:val="20"/>
          <w:szCs w:val="20"/>
        </w:rPr>
        <w:t xml:space="preserve">Pojistné </w:t>
      </w:r>
      <w:r w:rsidRPr="00291971">
        <w:rPr>
          <w:rFonts w:cs="Arial"/>
          <w:sz w:val="20"/>
          <w:szCs w:val="20"/>
        </w:rPr>
        <w:tab/>
        <w:t xml:space="preserve"> 93 950 Kč</w:t>
      </w:r>
    </w:p>
    <w:p w:rsidR="00291971" w:rsidRPr="00291971" w:rsidRDefault="00291971" w:rsidP="0020689F">
      <w:pPr>
        <w:widowControl w:val="0"/>
        <w:numPr>
          <w:ilvl w:val="0"/>
          <w:numId w:val="11"/>
        </w:numPr>
        <w:tabs>
          <w:tab w:val="left" w:pos="-720"/>
        </w:tabs>
        <w:ind w:left="992" w:hanging="567"/>
        <w:jc w:val="both"/>
        <w:rPr>
          <w:rFonts w:cs="Arial"/>
          <w:b/>
          <w:sz w:val="20"/>
          <w:szCs w:val="20"/>
        </w:rPr>
      </w:pPr>
      <w:r w:rsidRPr="00291971">
        <w:rPr>
          <w:rFonts w:cs="Arial"/>
          <w:b/>
          <w:sz w:val="20"/>
          <w:szCs w:val="20"/>
        </w:rPr>
        <w:t>Pojištění pro případ vandalismu</w:t>
      </w:r>
    </w:p>
    <w:p w:rsidR="00291971" w:rsidRPr="00291971" w:rsidRDefault="00291971" w:rsidP="00D741C4">
      <w:pPr>
        <w:widowControl w:val="0"/>
        <w:numPr>
          <w:ilvl w:val="12"/>
          <w:numId w:val="0"/>
        </w:numPr>
        <w:tabs>
          <w:tab w:val="right" w:leader="dot" w:pos="9638"/>
        </w:tabs>
        <w:ind w:left="993"/>
        <w:jc w:val="both"/>
        <w:rPr>
          <w:rFonts w:cs="Arial"/>
          <w:sz w:val="20"/>
          <w:szCs w:val="20"/>
        </w:rPr>
      </w:pPr>
      <w:r w:rsidRPr="00291971">
        <w:rPr>
          <w:rFonts w:cs="Arial"/>
          <w:sz w:val="20"/>
          <w:szCs w:val="20"/>
        </w:rPr>
        <w:t xml:space="preserve">Pojistné </w:t>
      </w:r>
      <w:r w:rsidRPr="00291971">
        <w:rPr>
          <w:rFonts w:cs="Arial"/>
          <w:sz w:val="20"/>
          <w:szCs w:val="20"/>
        </w:rPr>
        <w:tab/>
        <w:t xml:space="preserve"> 60 000 Kč</w:t>
      </w:r>
    </w:p>
    <w:p w:rsidR="00291971" w:rsidRPr="00291971" w:rsidRDefault="00291971" w:rsidP="0020689F">
      <w:pPr>
        <w:widowControl w:val="0"/>
        <w:numPr>
          <w:ilvl w:val="0"/>
          <w:numId w:val="11"/>
        </w:numPr>
        <w:tabs>
          <w:tab w:val="left" w:pos="-720"/>
        </w:tabs>
        <w:ind w:left="992" w:hanging="567"/>
        <w:jc w:val="both"/>
        <w:rPr>
          <w:rFonts w:cs="Arial"/>
          <w:b/>
          <w:sz w:val="20"/>
          <w:szCs w:val="20"/>
        </w:rPr>
      </w:pPr>
      <w:r w:rsidRPr="00291971">
        <w:rPr>
          <w:rFonts w:cs="Arial"/>
          <w:b/>
          <w:sz w:val="20"/>
          <w:szCs w:val="20"/>
        </w:rPr>
        <w:t>Pojištění pro případ odcizení – loupež přepravovaných peněz nebo cenin</w:t>
      </w:r>
    </w:p>
    <w:p w:rsidR="00291971" w:rsidRPr="00291971" w:rsidRDefault="00291971" w:rsidP="00D741C4">
      <w:pPr>
        <w:widowControl w:val="0"/>
        <w:numPr>
          <w:ilvl w:val="12"/>
          <w:numId w:val="0"/>
        </w:numPr>
        <w:tabs>
          <w:tab w:val="right" w:leader="dot" w:pos="9638"/>
        </w:tabs>
        <w:ind w:left="993"/>
        <w:jc w:val="both"/>
        <w:rPr>
          <w:rFonts w:cs="Arial"/>
          <w:sz w:val="20"/>
          <w:szCs w:val="20"/>
        </w:rPr>
      </w:pPr>
      <w:r w:rsidRPr="00291971">
        <w:rPr>
          <w:rFonts w:cs="Arial"/>
          <w:sz w:val="20"/>
          <w:szCs w:val="20"/>
        </w:rPr>
        <w:t xml:space="preserve">Pojistné </w:t>
      </w:r>
      <w:r w:rsidRPr="00291971">
        <w:rPr>
          <w:rFonts w:cs="Arial"/>
          <w:sz w:val="20"/>
          <w:szCs w:val="20"/>
        </w:rPr>
        <w:tab/>
        <w:t xml:space="preserve"> 5 400 Kč</w:t>
      </w:r>
    </w:p>
    <w:p w:rsidR="00291971" w:rsidRPr="00291971" w:rsidRDefault="00291971" w:rsidP="0020689F">
      <w:pPr>
        <w:widowControl w:val="0"/>
        <w:numPr>
          <w:ilvl w:val="0"/>
          <w:numId w:val="11"/>
        </w:numPr>
        <w:tabs>
          <w:tab w:val="left" w:pos="-720"/>
        </w:tabs>
        <w:ind w:left="992" w:hanging="567"/>
        <w:jc w:val="both"/>
        <w:rPr>
          <w:rFonts w:cs="Arial"/>
          <w:b/>
          <w:sz w:val="20"/>
          <w:szCs w:val="20"/>
        </w:rPr>
      </w:pPr>
      <w:r w:rsidRPr="00291971">
        <w:rPr>
          <w:rFonts w:cs="Arial"/>
          <w:b/>
          <w:sz w:val="20"/>
          <w:szCs w:val="20"/>
        </w:rPr>
        <w:t>Pojištění elektronických zařízení</w:t>
      </w:r>
    </w:p>
    <w:p w:rsidR="00291971" w:rsidRPr="00291971" w:rsidRDefault="00291971" w:rsidP="00D741C4">
      <w:pPr>
        <w:widowControl w:val="0"/>
        <w:numPr>
          <w:ilvl w:val="12"/>
          <w:numId w:val="0"/>
        </w:numPr>
        <w:tabs>
          <w:tab w:val="right" w:leader="dot" w:pos="9638"/>
        </w:tabs>
        <w:ind w:left="993"/>
        <w:jc w:val="both"/>
        <w:rPr>
          <w:rFonts w:cs="Arial"/>
          <w:sz w:val="20"/>
          <w:szCs w:val="20"/>
        </w:rPr>
      </w:pPr>
      <w:r w:rsidRPr="00291971">
        <w:rPr>
          <w:rFonts w:cs="Arial"/>
          <w:sz w:val="20"/>
          <w:szCs w:val="20"/>
        </w:rPr>
        <w:t xml:space="preserve">Pojistné </w:t>
      </w:r>
      <w:r w:rsidRPr="00291971">
        <w:rPr>
          <w:rFonts w:cs="Arial"/>
          <w:sz w:val="20"/>
          <w:szCs w:val="20"/>
        </w:rPr>
        <w:tab/>
        <w:t xml:space="preserve"> </w:t>
      </w:r>
      <w:r w:rsidR="001E18B7">
        <w:rPr>
          <w:rFonts w:cs="Arial"/>
          <w:sz w:val="20"/>
          <w:szCs w:val="20"/>
        </w:rPr>
        <w:t>534 600</w:t>
      </w:r>
      <w:r w:rsidRPr="00F35DA3">
        <w:rPr>
          <w:rFonts w:cs="Arial"/>
          <w:sz w:val="20"/>
          <w:szCs w:val="20"/>
        </w:rPr>
        <w:t> Kč</w:t>
      </w:r>
    </w:p>
    <w:p w:rsidR="00291971" w:rsidRPr="00291971" w:rsidRDefault="00291971" w:rsidP="0020689F">
      <w:pPr>
        <w:widowControl w:val="0"/>
        <w:tabs>
          <w:tab w:val="right" w:leader="dot" w:pos="9639"/>
        </w:tabs>
        <w:ind w:left="284" w:right="-709" w:firstLine="142"/>
        <w:jc w:val="both"/>
        <w:rPr>
          <w:rFonts w:cs="Arial"/>
          <w:sz w:val="20"/>
          <w:szCs w:val="20"/>
        </w:rPr>
      </w:pPr>
      <w:r w:rsidRPr="00291971">
        <w:rPr>
          <w:rFonts w:cs="Arial"/>
          <w:b/>
          <w:sz w:val="20"/>
          <w:szCs w:val="20"/>
        </w:rPr>
        <w:t>Souhrn</w:t>
      </w:r>
      <w:r w:rsidRPr="00291971">
        <w:rPr>
          <w:rFonts w:cs="Arial"/>
          <w:sz w:val="20"/>
          <w:szCs w:val="20"/>
        </w:rPr>
        <w:t xml:space="preserve"> </w:t>
      </w:r>
      <w:r w:rsidRPr="00291971">
        <w:rPr>
          <w:rFonts w:cs="Arial"/>
          <w:b/>
          <w:sz w:val="20"/>
          <w:szCs w:val="20"/>
        </w:rPr>
        <w:t xml:space="preserve">pojistného za sjednaná pojištění za jeden pojistný rok činí </w:t>
      </w:r>
      <w:r w:rsidRPr="00291971">
        <w:rPr>
          <w:rFonts w:cs="Arial"/>
          <w:b/>
          <w:sz w:val="20"/>
          <w:szCs w:val="20"/>
        </w:rPr>
        <w:tab/>
        <w:t xml:space="preserve"> </w:t>
      </w:r>
      <w:r w:rsidRPr="002C1FD3">
        <w:rPr>
          <w:rFonts w:cs="Arial"/>
          <w:b/>
          <w:sz w:val="20"/>
          <w:szCs w:val="20"/>
        </w:rPr>
        <w:t>3</w:t>
      </w:r>
      <w:r w:rsidR="001E18B7">
        <w:rPr>
          <w:rFonts w:cs="Arial"/>
          <w:b/>
          <w:sz w:val="20"/>
          <w:szCs w:val="20"/>
        </w:rPr>
        <w:t> 754 468</w:t>
      </w:r>
      <w:r w:rsidRPr="002C1FD3">
        <w:rPr>
          <w:rFonts w:cs="Arial"/>
          <w:b/>
          <w:sz w:val="20"/>
          <w:szCs w:val="20"/>
        </w:rPr>
        <w:t> Kč</w:t>
      </w:r>
    </w:p>
    <w:p w:rsidR="00F53894" w:rsidRPr="00FC3421" w:rsidRDefault="00EC4929" w:rsidP="00D741C4">
      <w:pPr>
        <w:widowControl w:val="0"/>
        <w:numPr>
          <w:ilvl w:val="0"/>
          <w:numId w:val="12"/>
        </w:numPr>
        <w:tabs>
          <w:tab w:val="left" w:pos="-1418"/>
        </w:tabs>
        <w:spacing w:before="180"/>
        <w:jc w:val="both"/>
        <w:rPr>
          <w:rFonts w:cs="Arial"/>
          <w:sz w:val="20"/>
          <w:szCs w:val="20"/>
        </w:rPr>
      </w:pPr>
      <w:r w:rsidRPr="00FC3421">
        <w:rPr>
          <w:rFonts w:cs="Arial"/>
          <w:sz w:val="20"/>
          <w:szCs w:val="20"/>
        </w:rPr>
        <w:t xml:space="preserve">Pojistné je sjednáno jako běžné. Pojistné období je tříměsíční. </w:t>
      </w:r>
    </w:p>
    <w:p w:rsidR="005965BC" w:rsidRPr="003D52E4" w:rsidRDefault="005965BC" w:rsidP="00D741C4">
      <w:pPr>
        <w:widowControl w:val="0"/>
        <w:numPr>
          <w:ilvl w:val="0"/>
          <w:numId w:val="12"/>
        </w:numPr>
        <w:tabs>
          <w:tab w:val="left" w:pos="-1418"/>
        </w:tabs>
        <w:spacing w:before="180"/>
        <w:jc w:val="both"/>
        <w:rPr>
          <w:rFonts w:cs="Arial"/>
          <w:sz w:val="20"/>
          <w:szCs w:val="20"/>
        </w:rPr>
      </w:pPr>
      <w:r w:rsidRPr="003D52E4">
        <w:rPr>
          <w:rFonts w:cs="Arial"/>
          <w:sz w:val="20"/>
          <w:szCs w:val="20"/>
        </w:rPr>
        <w:t xml:space="preserve">Pojistné za </w:t>
      </w:r>
      <w:r w:rsidR="001C1FD7" w:rsidRPr="003D52E4">
        <w:rPr>
          <w:rFonts w:cs="Arial"/>
          <w:sz w:val="20"/>
          <w:szCs w:val="20"/>
        </w:rPr>
        <w:t>pátý</w:t>
      </w:r>
      <w:r w:rsidR="00F53894" w:rsidRPr="003D52E4">
        <w:rPr>
          <w:rFonts w:cs="Arial"/>
          <w:sz w:val="20"/>
          <w:szCs w:val="20"/>
        </w:rPr>
        <w:t xml:space="preserve"> pojistn</w:t>
      </w:r>
      <w:r w:rsidRPr="003D52E4">
        <w:rPr>
          <w:rFonts w:cs="Arial"/>
          <w:sz w:val="20"/>
          <w:szCs w:val="20"/>
        </w:rPr>
        <w:t>ý rok</w:t>
      </w:r>
      <w:r w:rsidR="00F53894" w:rsidRPr="003D52E4">
        <w:rPr>
          <w:rFonts w:cs="Arial"/>
          <w:sz w:val="20"/>
          <w:szCs w:val="20"/>
        </w:rPr>
        <w:t xml:space="preserve"> (01. 01. 201</w:t>
      </w:r>
      <w:r w:rsidR="00BA1EB0" w:rsidRPr="003D52E4">
        <w:rPr>
          <w:rFonts w:cs="Arial"/>
          <w:sz w:val="20"/>
          <w:szCs w:val="20"/>
        </w:rPr>
        <w:t>9</w:t>
      </w:r>
      <w:r w:rsidR="00F53894" w:rsidRPr="003D52E4">
        <w:rPr>
          <w:rFonts w:cs="Arial"/>
          <w:sz w:val="20"/>
          <w:szCs w:val="20"/>
        </w:rPr>
        <w:t xml:space="preserve"> – 31. 12. 201</w:t>
      </w:r>
      <w:r w:rsidR="00BA1EB0" w:rsidRPr="003D52E4">
        <w:rPr>
          <w:rFonts w:cs="Arial"/>
          <w:sz w:val="20"/>
          <w:szCs w:val="20"/>
        </w:rPr>
        <w:t>9</w:t>
      </w:r>
      <w:r w:rsidR="00F53894" w:rsidRPr="003D52E4">
        <w:rPr>
          <w:rFonts w:cs="Arial"/>
          <w:sz w:val="20"/>
          <w:szCs w:val="20"/>
        </w:rPr>
        <w:t xml:space="preserve">) </w:t>
      </w:r>
      <w:r w:rsidRPr="003D52E4">
        <w:rPr>
          <w:rFonts w:cs="Arial"/>
          <w:sz w:val="20"/>
          <w:szCs w:val="20"/>
        </w:rPr>
        <w:t xml:space="preserve">činí </w:t>
      </w:r>
      <w:r w:rsidRPr="003D52E4">
        <w:rPr>
          <w:rFonts w:cs="Arial"/>
          <w:b/>
          <w:sz w:val="20"/>
          <w:szCs w:val="20"/>
        </w:rPr>
        <w:t>3</w:t>
      </w:r>
      <w:r w:rsidR="00E7354D" w:rsidRPr="003D52E4">
        <w:rPr>
          <w:rFonts w:cs="Arial"/>
          <w:b/>
          <w:sz w:val="20"/>
          <w:szCs w:val="20"/>
        </w:rPr>
        <w:t> 754 468</w:t>
      </w:r>
      <w:r w:rsidRPr="003D52E4">
        <w:rPr>
          <w:rFonts w:cs="Arial"/>
          <w:sz w:val="20"/>
          <w:szCs w:val="20"/>
        </w:rPr>
        <w:t xml:space="preserve"> </w:t>
      </w:r>
      <w:r w:rsidRPr="003D52E4">
        <w:rPr>
          <w:rFonts w:cs="Arial"/>
          <w:b/>
          <w:sz w:val="20"/>
          <w:szCs w:val="20"/>
        </w:rPr>
        <w:t>Kč</w:t>
      </w:r>
      <w:r w:rsidRPr="003D52E4">
        <w:rPr>
          <w:rFonts w:cs="Arial"/>
          <w:sz w:val="20"/>
          <w:szCs w:val="20"/>
        </w:rPr>
        <w:t xml:space="preserve"> a je splatné k datům a v částkách takto:</w:t>
      </w:r>
    </w:p>
    <w:p w:rsidR="005965BC" w:rsidRPr="00FC3421" w:rsidRDefault="005965BC" w:rsidP="00EE3378">
      <w:pPr>
        <w:widowControl w:val="0"/>
        <w:tabs>
          <w:tab w:val="left" w:pos="-1418"/>
          <w:tab w:val="right" w:pos="6804"/>
        </w:tabs>
        <w:spacing w:before="120"/>
        <w:ind w:left="1418"/>
        <w:jc w:val="both"/>
        <w:rPr>
          <w:rFonts w:cs="Arial"/>
          <w:b/>
          <w:sz w:val="20"/>
          <w:szCs w:val="20"/>
        </w:rPr>
      </w:pPr>
      <w:r w:rsidRPr="00FC3421">
        <w:rPr>
          <w:rFonts w:cs="Arial"/>
          <w:b/>
          <w:sz w:val="20"/>
          <w:szCs w:val="20"/>
        </w:rPr>
        <w:t>01. 01. 201</w:t>
      </w:r>
      <w:r w:rsidR="001E18B7">
        <w:rPr>
          <w:rFonts w:cs="Arial"/>
          <w:b/>
          <w:sz w:val="20"/>
          <w:szCs w:val="20"/>
        </w:rPr>
        <w:t>9</w:t>
      </w:r>
      <w:r w:rsidRPr="00FC3421">
        <w:rPr>
          <w:rFonts w:cs="Arial"/>
          <w:b/>
          <w:sz w:val="20"/>
          <w:szCs w:val="20"/>
        </w:rPr>
        <w:tab/>
      </w:r>
      <w:r w:rsidR="00E7354D">
        <w:rPr>
          <w:rFonts w:cs="Arial"/>
          <w:b/>
          <w:sz w:val="20"/>
          <w:szCs w:val="20"/>
        </w:rPr>
        <w:t>926 467</w:t>
      </w:r>
      <w:r w:rsidRPr="00FC3421">
        <w:rPr>
          <w:rFonts w:cs="Arial"/>
          <w:b/>
          <w:sz w:val="20"/>
          <w:szCs w:val="20"/>
        </w:rPr>
        <w:t xml:space="preserve"> Kč</w:t>
      </w:r>
    </w:p>
    <w:p w:rsidR="005965BC" w:rsidRPr="00FC3421" w:rsidRDefault="005965BC" w:rsidP="00D741C4">
      <w:pPr>
        <w:widowControl w:val="0"/>
        <w:tabs>
          <w:tab w:val="left" w:pos="-1418"/>
          <w:tab w:val="right" w:pos="6804"/>
        </w:tabs>
        <w:ind w:left="1418"/>
        <w:jc w:val="both"/>
        <w:rPr>
          <w:rFonts w:cs="Arial"/>
          <w:b/>
          <w:sz w:val="20"/>
          <w:szCs w:val="20"/>
        </w:rPr>
      </w:pPr>
      <w:r w:rsidRPr="00FC3421">
        <w:rPr>
          <w:rFonts w:cs="Arial"/>
          <w:b/>
          <w:sz w:val="20"/>
          <w:szCs w:val="20"/>
        </w:rPr>
        <w:t>01. 04. 201</w:t>
      </w:r>
      <w:r w:rsidR="001E18B7">
        <w:rPr>
          <w:rFonts w:cs="Arial"/>
          <w:b/>
          <w:sz w:val="20"/>
          <w:szCs w:val="20"/>
        </w:rPr>
        <w:t>9</w:t>
      </w:r>
      <w:r w:rsidRPr="00FC3421">
        <w:rPr>
          <w:rFonts w:cs="Arial"/>
          <w:b/>
          <w:sz w:val="20"/>
          <w:szCs w:val="20"/>
        </w:rPr>
        <w:tab/>
      </w:r>
      <w:r w:rsidR="00E7354D">
        <w:rPr>
          <w:rFonts w:cs="Arial"/>
          <w:b/>
          <w:sz w:val="20"/>
          <w:szCs w:val="20"/>
        </w:rPr>
        <w:t>942 667</w:t>
      </w:r>
      <w:r w:rsidRPr="00FC3421">
        <w:rPr>
          <w:rFonts w:cs="Arial"/>
          <w:b/>
          <w:sz w:val="20"/>
          <w:szCs w:val="20"/>
        </w:rPr>
        <w:t xml:space="preserve"> Kč</w:t>
      </w:r>
    </w:p>
    <w:p w:rsidR="005965BC" w:rsidRPr="00FC3421" w:rsidRDefault="005965BC" w:rsidP="00D741C4">
      <w:pPr>
        <w:widowControl w:val="0"/>
        <w:tabs>
          <w:tab w:val="left" w:pos="-1418"/>
          <w:tab w:val="right" w:pos="6804"/>
        </w:tabs>
        <w:ind w:left="1418"/>
        <w:jc w:val="both"/>
        <w:rPr>
          <w:rFonts w:cs="Arial"/>
          <w:b/>
          <w:sz w:val="20"/>
          <w:szCs w:val="20"/>
        </w:rPr>
      </w:pPr>
      <w:r w:rsidRPr="00FC3421">
        <w:rPr>
          <w:rFonts w:cs="Arial"/>
          <w:b/>
          <w:sz w:val="20"/>
          <w:szCs w:val="20"/>
        </w:rPr>
        <w:t>01. 07. 201</w:t>
      </w:r>
      <w:r w:rsidR="001E18B7">
        <w:rPr>
          <w:rFonts w:cs="Arial"/>
          <w:b/>
          <w:sz w:val="20"/>
          <w:szCs w:val="20"/>
        </w:rPr>
        <w:t>9</w:t>
      </w:r>
      <w:r w:rsidRPr="00FC3421">
        <w:rPr>
          <w:rFonts w:cs="Arial"/>
          <w:b/>
          <w:sz w:val="20"/>
          <w:szCs w:val="20"/>
        </w:rPr>
        <w:tab/>
      </w:r>
      <w:r w:rsidR="00E7354D">
        <w:rPr>
          <w:rFonts w:cs="Arial"/>
          <w:b/>
          <w:sz w:val="20"/>
          <w:szCs w:val="20"/>
        </w:rPr>
        <w:t>942 667</w:t>
      </w:r>
      <w:r w:rsidRPr="00FC3421">
        <w:rPr>
          <w:rFonts w:cs="Arial"/>
          <w:b/>
          <w:sz w:val="20"/>
          <w:szCs w:val="20"/>
        </w:rPr>
        <w:t xml:space="preserve"> Kč</w:t>
      </w:r>
    </w:p>
    <w:p w:rsidR="00F53894" w:rsidRPr="00FC3421" w:rsidRDefault="005965BC" w:rsidP="00D741C4">
      <w:pPr>
        <w:widowControl w:val="0"/>
        <w:tabs>
          <w:tab w:val="left" w:pos="-1418"/>
          <w:tab w:val="right" w:pos="6804"/>
        </w:tabs>
        <w:ind w:left="1418"/>
        <w:jc w:val="both"/>
        <w:rPr>
          <w:rFonts w:cs="Arial"/>
          <w:b/>
          <w:sz w:val="20"/>
          <w:szCs w:val="20"/>
        </w:rPr>
      </w:pPr>
      <w:r w:rsidRPr="00FC3421">
        <w:rPr>
          <w:rFonts w:cs="Arial"/>
          <w:b/>
          <w:sz w:val="20"/>
          <w:szCs w:val="20"/>
        </w:rPr>
        <w:t>01. 10. 201</w:t>
      </w:r>
      <w:r w:rsidR="001E18B7">
        <w:rPr>
          <w:rFonts w:cs="Arial"/>
          <w:b/>
          <w:sz w:val="20"/>
          <w:szCs w:val="20"/>
        </w:rPr>
        <w:t>9</w:t>
      </w:r>
      <w:r w:rsidRPr="00FC3421">
        <w:rPr>
          <w:rFonts w:cs="Arial"/>
          <w:b/>
          <w:sz w:val="20"/>
          <w:szCs w:val="20"/>
        </w:rPr>
        <w:tab/>
      </w:r>
      <w:r w:rsidR="00E7354D">
        <w:rPr>
          <w:rFonts w:cs="Arial"/>
          <w:b/>
          <w:sz w:val="20"/>
          <w:szCs w:val="20"/>
        </w:rPr>
        <w:t>942 667</w:t>
      </w:r>
      <w:r w:rsidR="00EC4929" w:rsidRPr="00FC3421">
        <w:rPr>
          <w:rFonts w:cs="Arial"/>
          <w:b/>
          <w:sz w:val="20"/>
          <w:szCs w:val="20"/>
        </w:rPr>
        <w:t xml:space="preserve"> Kč </w:t>
      </w:r>
    </w:p>
    <w:p w:rsidR="00EC4929" w:rsidRPr="00FC3421" w:rsidRDefault="00EC4929" w:rsidP="00D741C4">
      <w:pPr>
        <w:widowControl w:val="0"/>
        <w:tabs>
          <w:tab w:val="left" w:pos="-1418"/>
        </w:tabs>
        <w:spacing w:before="180"/>
        <w:ind w:left="425"/>
        <w:jc w:val="both"/>
        <w:rPr>
          <w:rFonts w:cs="Arial"/>
          <w:sz w:val="20"/>
          <w:szCs w:val="20"/>
        </w:rPr>
      </w:pPr>
      <w:r w:rsidRPr="00FC3421">
        <w:rPr>
          <w:rFonts w:cs="Arial"/>
          <w:sz w:val="20"/>
          <w:szCs w:val="20"/>
        </w:rPr>
        <w:t>Pojistné za příslušné pojistné období je splatné vždy na základě daňového dokladu (faktury) s tím, že splatnost faktury bude 60 dnů od data jejího doručení pojistníkovi.</w:t>
      </w:r>
    </w:p>
    <w:p w:rsidR="00291971" w:rsidRPr="00FC3421" w:rsidRDefault="00EC4929" w:rsidP="00D741C4">
      <w:pPr>
        <w:widowControl w:val="0"/>
        <w:numPr>
          <w:ilvl w:val="0"/>
          <w:numId w:val="12"/>
        </w:numPr>
        <w:tabs>
          <w:tab w:val="left" w:pos="-1418"/>
        </w:tabs>
        <w:spacing w:before="180"/>
        <w:jc w:val="both"/>
        <w:rPr>
          <w:rFonts w:cs="Arial"/>
          <w:sz w:val="20"/>
          <w:szCs w:val="20"/>
        </w:rPr>
      </w:pPr>
      <w:r w:rsidRPr="00FC3421">
        <w:rPr>
          <w:rFonts w:cs="Arial"/>
          <w:sz w:val="20"/>
          <w:szCs w:val="20"/>
        </w:rPr>
        <w:t>V následujících pojistných letech počínaje 01. 01. 20</w:t>
      </w:r>
      <w:r w:rsidR="00BA1EB0">
        <w:rPr>
          <w:rFonts w:cs="Arial"/>
          <w:sz w:val="20"/>
          <w:szCs w:val="20"/>
        </w:rPr>
        <w:t>20</w:t>
      </w:r>
      <w:r w:rsidRPr="00FC3421">
        <w:rPr>
          <w:rFonts w:cs="Arial"/>
          <w:sz w:val="20"/>
          <w:szCs w:val="20"/>
        </w:rPr>
        <w:t xml:space="preserve"> činí p</w:t>
      </w:r>
      <w:r w:rsidR="00784BAF" w:rsidRPr="00FC3421">
        <w:rPr>
          <w:rFonts w:cs="Arial"/>
          <w:sz w:val="20"/>
          <w:szCs w:val="20"/>
        </w:rPr>
        <w:t xml:space="preserve">ojistné za </w:t>
      </w:r>
      <w:r w:rsidR="00A642AC" w:rsidRPr="00FC3421">
        <w:rPr>
          <w:rFonts w:cs="Arial"/>
          <w:sz w:val="20"/>
          <w:szCs w:val="20"/>
        </w:rPr>
        <w:t xml:space="preserve">každé pojistné období </w:t>
      </w:r>
      <w:r w:rsidR="00E7354D">
        <w:rPr>
          <w:rFonts w:cs="Arial"/>
          <w:b/>
          <w:sz w:val="20"/>
          <w:szCs w:val="20"/>
        </w:rPr>
        <w:t>938 617</w:t>
      </w:r>
      <w:r w:rsidR="00A642AC" w:rsidRPr="00FC3421">
        <w:rPr>
          <w:rFonts w:cs="Arial"/>
          <w:b/>
          <w:sz w:val="20"/>
          <w:szCs w:val="20"/>
        </w:rPr>
        <w:t> Kč</w:t>
      </w:r>
      <w:r w:rsidRPr="00FC3421">
        <w:rPr>
          <w:rFonts w:cs="Arial"/>
          <w:sz w:val="20"/>
          <w:szCs w:val="20"/>
        </w:rPr>
        <w:t xml:space="preserve"> a je </w:t>
      </w:r>
      <w:r w:rsidR="00291971" w:rsidRPr="00FC3421">
        <w:rPr>
          <w:rFonts w:cs="Arial"/>
          <w:sz w:val="20"/>
          <w:szCs w:val="20"/>
        </w:rPr>
        <w:t>splatné vždy na základě daňového dokladu (faktury) s tím, že splatnost faktury bude 60 dnů od data jejího doručení pojistníkovi.</w:t>
      </w:r>
    </w:p>
    <w:p w:rsidR="00291971" w:rsidRPr="00D741C4" w:rsidRDefault="00291971" w:rsidP="00D741C4">
      <w:pPr>
        <w:widowControl w:val="0"/>
        <w:numPr>
          <w:ilvl w:val="0"/>
          <w:numId w:val="12"/>
        </w:numPr>
        <w:tabs>
          <w:tab w:val="left" w:pos="-1418"/>
        </w:tabs>
        <w:spacing w:before="120"/>
        <w:jc w:val="both"/>
        <w:rPr>
          <w:rFonts w:cs="Arial"/>
          <w:sz w:val="20"/>
          <w:szCs w:val="20"/>
        </w:rPr>
      </w:pPr>
      <w:r w:rsidRPr="00291971">
        <w:rPr>
          <w:rFonts w:cs="Arial"/>
          <w:bCs/>
          <w:sz w:val="20"/>
          <w:szCs w:val="20"/>
        </w:rPr>
        <w:t>Pojistník je povinen uhradit pojistné v uvedené výši na účet vedoucího pojistitele č. </w:t>
      </w:r>
      <w:proofErr w:type="spellStart"/>
      <w:r w:rsidRPr="00291971">
        <w:rPr>
          <w:rFonts w:cs="Arial"/>
          <w:bCs/>
          <w:sz w:val="20"/>
          <w:szCs w:val="20"/>
        </w:rPr>
        <w:t>ú.</w:t>
      </w:r>
      <w:proofErr w:type="spellEnd"/>
      <w:r w:rsidRPr="00291971">
        <w:rPr>
          <w:rFonts w:cs="Arial"/>
          <w:bCs/>
          <w:sz w:val="20"/>
          <w:szCs w:val="20"/>
        </w:rPr>
        <w:t xml:space="preserve"> </w:t>
      </w:r>
      <w:proofErr w:type="spellStart"/>
      <w:r w:rsidR="00316DC8">
        <w:rPr>
          <w:rFonts w:cs="Arial"/>
          <w:bCs/>
          <w:sz w:val="20"/>
          <w:szCs w:val="20"/>
        </w:rPr>
        <w:t>xxxxx</w:t>
      </w:r>
      <w:proofErr w:type="spellEnd"/>
      <w:r w:rsidRPr="00291971">
        <w:rPr>
          <w:rFonts w:cs="Arial"/>
          <w:bCs/>
          <w:sz w:val="20"/>
          <w:szCs w:val="20"/>
        </w:rPr>
        <w:t>, variabilní symbol – číslo pojistné smlouvy.</w:t>
      </w:r>
    </w:p>
    <w:p w:rsidR="00291971" w:rsidRPr="00D741C4" w:rsidRDefault="00291971" w:rsidP="00D741C4">
      <w:pPr>
        <w:widowControl w:val="0"/>
        <w:numPr>
          <w:ilvl w:val="0"/>
          <w:numId w:val="12"/>
        </w:numPr>
        <w:tabs>
          <w:tab w:val="left" w:pos="-1418"/>
        </w:tabs>
        <w:spacing w:before="120"/>
        <w:jc w:val="both"/>
        <w:rPr>
          <w:rFonts w:cs="Arial"/>
          <w:bCs/>
          <w:sz w:val="20"/>
          <w:szCs w:val="20"/>
        </w:rPr>
      </w:pPr>
      <w:r w:rsidRPr="00D741C4">
        <w:rPr>
          <w:rFonts w:cs="Arial"/>
          <w:bCs/>
          <w:sz w:val="20"/>
          <w:szCs w:val="20"/>
        </w:rPr>
        <w:t>Účetní daňový doklad (faktura) bude splňovat náležitosti daňového dokladu dle zákona č. 563/1991 Sb., o účetnictví, ve znění pozdějších předpisů. Účetní a daňový doklad bude obsahovat zejména:</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označení povinné a oprávněné osoby, adresu, sídlo, DIČ,</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číslo dokladu,</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den odeslání a den splatnosti, den zdanitelného plnění,</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označení peněžního ústavu a číslo účtu, na který se má platit, konstantní a variabilní symbol,</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účtovanou částku, DPH, účtovanou částku vč. DPH,</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název provedené práce nebo služby,</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důvod účtování s odvoláním na smlouvu,</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razítko a podpis osoby oprávněné k vystavení daňového a účetního dokladu,</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seznam příloh,</w:t>
      </w:r>
    </w:p>
    <w:p w:rsidR="00291971" w:rsidRPr="00291971" w:rsidRDefault="00291971" w:rsidP="00291971">
      <w:pPr>
        <w:numPr>
          <w:ilvl w:val="0"/>
          <w:numId w:val="22"/>
        </w:numPr>
        <w:suppressAutoHyphens/>
        <w:spacing w:after="60"/>
        <w:contextualSpacing/>
        <w:jc w:val="both"/>
        <w:rPr>
          <w:rFonts w:cs="Arial"/>
          <w:sz w:val="20"/>
          <w:szCs w:val="20"/>
        </w:rPr>
      </w:pPr>
      <w:r w:rsidRPr="00291971">
        <w:rPr>
          <w:rFonts w:cs="Arial"/>
          <w:sz w:val="20"/>
          <w:szCs w:val="20"/>
        </w:rPr>
        <w:t>další náležitosti, pokud je stanoví obecně závazný předpis.</w:t>
      </w:r>
    </w:p>
    <w:p w:rsidR="00291971" w:rsidRPr="00D741C4" w:rsidRDefault="00291971" w:rsidP="00D741C4">
      <w:pPr>
        <w:widowControl w:val="0"/>
        <w:numPr>
          <w:ilvl w:val="0"/>
          <w:numId w:val="12"/>
        </w:numPr>
        <w:tabs>
          <w:tab w:val="left" w:pos="-1418"/>
        </w:tabs>
        <w:spacing w:before="240"/>
        <w:jc w:val="both"/>
        <w:rPr>
          <w:rFonts w:cs="Arial"/>
          <w:bCs/>
          <w:sz w:val="20"/>
          <w:szCs w:val="20"/>
        </w:rPr>
      </w:pPr>
      <w:r w:rsidRPr="00D741C4">
        <w:rPr>
          <w:rFonts w:cs="Arial"/>
          <w:bCs/>
          <w:sz w:val="20"/>
          <w:szCs w:val="20"/>
        </w:rPr>
        <w:t xml:space="preserve">V případě, že daňový doklad (faktura) nebude obsahovat náležitosti uvedené v předchozím bodě nebo k němu nebudou přiloženy řádné doklady (přílohy) smlouvou vyžadované, je pojistník oprávněn vrátit jej pojistiteli a požadovat vystavení nového řádného daňového účetního dokladu (faktury). Právo vrátit tento doklad pojistiteli zaniká, neuplatní-li pojistník do čtrnácti pracovních dnů ode dne doručení takového dokladu dodavatelem. Počínaje dnem doručení opraveného daňového účetního dokladu (faktury) objednateli </w:t>
      </w:r>
      <w:r w:rsidRPr="00D741C4">
        <w:rPr>
          <w:rFonts w:cs="Arial"/>
          <w:bCs/>
          <w:sz w:val="20"/>
          <w:szCs w:val="20"/>
        </w:rPr>
        <w:lastRenderedPageBreak/>
        <w:t>začne plynout nová lhůta splatnosti. Pojistitel je však povinen opravit vady dokladu nebo doklad doplnit o smlouvou požadované přílohy, je-li k tomu pojistníkem dodatečně vyzván i po lhůtě výše uvedené s tím, že však takováto výzva nemá účinky spojené s vrácením daňového účetního dokladu (faktury) dle tohoto bodu.</w:t>
      </w:r>
    </w:p>
    <w:p w:rsidR="00291971" w:rsidRDefault="00291971" w:rsidP="00D741C4">
      <w:pPr>
        <w:keepNext/>
        <w:numPr>
          <w:ilvl w:val="0"/>
          <w:numId w:val="12"/>
        </w:numPr>
        <w:tabs>
          <w:tab w:val="left" w:pos="-1560"/>
        </w:tabs>
        <w:spacing w:before="240"/>
        <w:jc w:val="both"/>
        <w:rPr>
          <w:rFonts w:cs="Arial"/>
          <w:sz w:val="20"/>
          <w:szCs w:val="20"/>
        </w:rPr>
      </w:pPr>
      <w:r w:rsidRPr="00291971">
        <w:rPr>
          <w:rFonts w:cs="Arial"/>
          <w:sz w:val="20"/>
          <w:szCs w:val="20"/>
        </w:rPr>
        <w:t>Platby budou probíhat výhradně v Kč a rovněž veškeré cenové údaje jsou uvedeny v Kč.</w:t>
      </w:r>
    </w:p>
    <w:p w:rsidR="00291971" w:rsidRPr="00291971" w:rsidRDefault="00291971" w:rsidP="00291971">
      <w:pPr>
        <w:tabs>
          <w:tab w:val="left" w:pos="-720"/>
        </w:tabs>
        <w:spacing w:before="120"/>
        <w:jc w:val="center"/>
        <w:rPr>
          <w:rFonts w:cs="Arial"/>
          <w:b/>
          <w:i/>
          <w:sz w:val="20"/>
          <w:szCs w:val="20"/>
        </w:rPr>
      </w:pPr>
    </w:p>
    <w:p w:rsidR="00291971" w:rsidRPr="00291971" w:rsidRDefault="00291971" w:rsidP="00291971">
      <w:pPr>
        <w:keepNext/>
        <w:jc w:val="center"/>
        <w:rPr>
          <w:rFonts w:cs="Arial"/>
          <w:b/>
          <w:bCs/>
          <w:sz w:val="24"/>
        </w:rPr>
      </w:pPr>
      <w:r w:rsidRPr="00291971">
        <w:rPr>
          <w:rFonts w:cs="Arial"/>
          <w:b/>
          <w:bCs/>
          <w:sz w:val="24"/>
        </w:rPr>
        <w:t>Článek IV.</w:t>
      </w:r>
    </w:p>
    <w:p w:rsidR="00291971" w:rsidRPr="00291971" w:rsidRDefault="00291971" w:rsidP="00291971">
      <w:pPr>
        <w:keepNext/>
        <w:jc w:val="center"/>
        <w:rPr>
          <w:b/>
          <w:bCs/>
          <w:sz w:val="24"/>
        </w:rPr>
      </w:pPr>
      <w:r w:rsidRPr="00291971">
        <w:rPr>
          <w:b/>
          <w:bCs/>
          <w:sz w:val="24"/>
        </w:rPr>
        <w:t>Hlášení škodných událostí</w:t>
      </w:r>
    </w:p>
    <w:p w:rsidR="00291971" w:rsidRPr="00291971" w:rsidRDefault="00291971" w:rsidP="00291971">
      <w:pPr>
        <w:keepNext/>
        <w:numPr>
          <w:ilvl w:val="12"/>
          <w:numId w:val="0"/>
        </w:numPr>
        <w:tabs>
          <w:tab w:val="left" w:pos="-1560"/>
        </w:tabs>
        <w:spacing w:before="120"/>
        <w:jc w:val="both"/>
        <w:rPr>
          <w:rFonts w:cs="Arial"/>
          <w:sz w:val="20"/>
          <w:szCs w:val="20"/>
        </w:rPr>
      </w:pPr>
      <w:r w:rsidRPr="00291971">
        <w:rPr>
          <w:rFonts w:cs="Arial"/>
          <w:sz w:val="20"/>
          <w:szCs w:val="20"/>
        </w:rPr>
        <w:t>Vznik škodné události je pojistník (pojištěný) povinen oznámit přímo nebo prostřednictvím zplnomocněného pojišťovacího makléře bez zbytečného odkladu na jeden z níže uvedených kontaktních údajů:</w:t>
      </w:r>
    </w:p>
    <w:p w:rsidR="00291971" w:rsidRPr="00572FC8" w:rsidRDefault="00291971" w:rsidP="00291971">
      <w:pPr>
        <w:tabs>
          <w:tab w:val="left" w:pos="426"/>
        </w:tabs>
        <w:jc w:val="center"/>
        <w:rPr>
          <w:sz w:val="20"/>
          <w:szCs w:val="20"/>
        </w:rPr>
      </w:pPr>
    </w:p>
    <w:p w:rsidR="00291971" w:rsidRPr="00291971" w:rsidRDefault="00291971" w:rsidP="00291971">
      <w:pPr>
        <w:tabs>
          <w:tab w:val="left" w:pos="426"/>
        </w:tabs>
        <w:jc w:val="center"/>
        <w:rPr>
          <w:sz w:val="20"/>
          <w:szCs w:val="20"/>
        </w:rPr>
      </w:pPr>
      <w:r w:rsidRPr="00291971">
        <w:rPr>
          <w:sz w:val="20"/>
          <w:szCs w:val="20"/>
        </w:rPr>
        <w:t xml:space="preserve">Kooperativa pojišťovna, a.s., </w:t>
      </w:r>
      <w:proofErr w:type="spellStart"/>
      <w:r w:rsidRPr="00291971">
        <w:rPr>
          <w:sz w:val="20"/>
          <w:szCs w:val="20"/>
        </w:rPr>
        <w:t>Vienna</w:t>
      </w:r>
      <w:proofErr w:type="spellEnd"/>
      <w:r w:rsidRPr="00291971">
        <w:rPr>
          <w:sz w:val="20"/>
          <w:szCs w:val="20"/>
        </w:rPr>
        <w:t xml:space="preserve"> </w:t>
      </w:r>
      <w:proofErr w:type="spellStart"/>
      <w:r w:rsidRPr="00291971">
        <w:rPr>
          <w:sz w:val="20"/>
          <w:szCs w:val="20"/>
        </w:rPr>
        <w:t>Insurance</w:t>
      </w:r>
      <w:proofErr w:type="spellEnd"/>
      <w:r w:rsidRPr="00291971">
        <w:rPr>
          <w:sz w:val="20"/>
          <w:szCs w:val="20"/>
        </w:rPr>
        <w:t xml:space="preserve"> Group</w:t>
      </w:r>
    </w:p>
    <w:p w:rsidR="00291971" w:rsidRPr="00291971" w:rsidRDefault="00291971" w:rsidP="00291971">
      <w:pPr>
        <w:numPr>
          <w:ilvl w:val="12"/>
          <w:numId w:val="0"/>
        </w:numPr>
        <w:tabs>
          <w:tab w:val="left" w:pos="-720"/>
          <w:tab w:val="left" w:pos="5954"/>
        </w:tabs>
        <w:jc w:val="center"/>
        <w:rPr>
          <w:sz w:val="20"/>
          <w:szCs w:val="20"/>
        </w:rPr>
      </w:pPr>
      <w:r w:rsidRPr="00291971">
        <w:rPr>
          <w:sz w:val="20"/>
          <w:szCs w:val="20"/>
        </w:rPr>
        <w:t>CENTRUM ZÁKAZNICKÉ PODPORY</w:t>
      </w:r>
    </w:p>
    <w:p w:rsidR="00291971" w:rsidRPr="00291971" w:rsidRDefault="00291971" w:rsidP="00291971">
      <w:pPr>
        <w:widowControl w:val="0"/>
        <w:numPr>
          <w:ilvl w:val="12"/>
          <w:numId w:val="0"/>
        </w:numPr>
        <w:tabs>
          <w:tab w:val="left" w:pos="-1560"/>
          <w:tab w:val="left" w:pos="5954"/>
        </w:tabs>
        <w:ind w:left="709" w:hanging="709"/>
        <w:jc w:val="center"/>
        <w:rPr>
          <w:sz w:val="20"/>
          <w:szCs w:val="20"/>
        </w:rPr>
      </w:pPr>
      <w:r w:rsidRPr="00291971">
        <w:rPr>
          <w:sz w:val="20"/>
          <w:szCs w:val="20"/>
        </w:rPr>
        <w:t>Centrální podatelna</w:t>
      </w:r>
    </w:p>
    <w:p w:rsidR="00291971" w:rsidRPr="00291971" w:rsidRDefault="00065239" w:rsidP="00291971">
      <w:pPr>
        <w:widowControl w:val="0"/>
        <w:numPr>
          <w:ilvl w:val="12"/>
          <w:numId w:val="0"/>
        </w:numPr>
        <w:tabs>
          <w:tab w:val="left" w:pos="-1560"/>
          <w:tab w:val="left" w:pos="5954"/>
        </w:tabs>
        <w:ind w:left="709" w:hanging="709"/>
        <w:jc w:val="center"/>
        <w:rPr>
          <w:sz w:val="20"/>
          <w:szCs w:val="20"/>
        </w:rPr>
      </w:pPr>
      <w:r>
        <w:rPr>
          <w:sz w:val="20"/>
          <w:szCs w:val="20"/>
        </w:rPr>
        <w:t>Brněnská 634</w:t>
      </w:r>
    </w:p>
    <w:p w:rsidR="00291971" w:rsidRPr="00291971" w:rsidRDefault="00291971" w:rsidP="00291971">
      <w:pPr>
        <w:widowControl w:val="0"/>
        <w:numPr>
          <w:ilvl w:val="12"/>
          <w:numId w:val="0"/>
        </w:numPr>
        <w:tabs>
          <w:tab w:val="left" w:pos="-1560"/>
          <w:tab w:val="left" w:pos="5954"/>
        </w:tabs>
        <w:ind w:left="709" w:hanging="709"/>
        <w:jc w:val="center"/>
        <w:rPr>
          <w:sz w:val="20"/>
          <w:szCs w:val="20"/>
        </w:rPr>
      </w:pPr>
      <w:r w:rsidRPr="00291971">
        <w:rPr>
          <w:sz w:val="20"/>
          <w:szCs w:val="20"/>
        </w:rPr>
        <w:t>664 42 Modřice</w:t>
      </w:r>
    </w:p>
    <w:p w:rsidR="00291971" w:rsidRPr="00291971" w:rsidRDefault="00291971" w:rsidP="00291971">
      <w:pPr>
        <w:widowControl w:val="0"/>
        <w:numPr>
          <w:ilvl w:val="12"/>
          <w:numId w:val="0"/>
        </w:numPr>
        <w:tabs>
          <w:tab w:val="left" w:pos="-1560"/>
          <w:tab w:val="left" w:pos="5954"/>
        </w:tabs>
        <w:ind w:left="709" w:hanging="709"/>
        <w:jc w:val="center"/>
        <w:rPr>
          <w:sz w:val="20"/>
          <w:szCs w:val="20"/>
        </w:rPr>
      </w:pPr>
      <w:r w:rsidRPr="00291971">
        <w:rPr>
          <w:sz w:val="20"/>
          <w:szCs w:val="20"/>
        </w:rPr>
        <w:t xml:space="preserve">Tel.: </w:t>
      </w:r>
      <w:r w:rsidRPr="00061A8D">
        <w:rPr>
          <w:sz w:val="20"/>
          <w:szCs w:val="20"/>
        </w:rPr>
        <w:t>957</w:t>
      </w:r>
      <w:r w:rsidRPr="00291971">
        <w:rPr>
          <w:sz w:val="20"/>
          <w:szCs w:val="20"/>
        </w:rPr>
        <w:t> 105 105</w:t>
      </w:r>
    </w:p>
    <w:p w:rsidR="00291971" w:rsidRPr="00291971" w:rsidRDefault="00291971" w:rsidP="00291971">
      <w:pPr>
        <w:widowControl w:val="0"/>
        <w:numPr>
          <w:ilvl w:val="12"/>
          <w:numId w:val="0"/>
        </w:numPr>
        <w:tabs>
          <w:tab w:val="left" w:pos="-1560"/>
          <w:tab w:val="left" w:pos="5954"/>
        </w:tabs>
        <w:ind w:left="709" w:hanging="709"/>
        <w:jc w:val="center"/>
        <w:rPr>
          <w:sz w:val="20"/>
          <w:szCs w:val="20"/>
        </w:rPr>
      </w:pPr>
      <w:r w:rsidRPr="00291971">
        <w:rPr>
          <w:sz w:val="20"/>
          <w:szCs w:val="20"/>
        </w:rPr>
        <w:t>fax: 547 212 602, 547 212 561</w:t>
      </w:r>
    </w:p>
    <w:p w:rsidR="00291971" w:rsidRPr="00291971" w:rsidRDefault="00B463BE" w:rsidP="00291971">
      <w:pPr>
        <w:widowControl w:val="0"/>
        <w:numPr>
          <w:ilvl w:val="12"/>
          <w:numId w:val="0"/>
        </w:numPr>
        <w:tabs>
          <w:tab w:val="left" w:pos="-1560"/>
          <w:tab w:val="left" w:pos="5954"/>
        </w:tabs>
        <w:ind w:left="709" w:hanging="709"/>
        <w:jc w:val="center"/>
        <w:rPr>
          <w:sz w:val="20"/>
          <w:szCs w:val="20"/>
        </w:rPr>
      </w:pPr>
      <w:r w:rsidRPr="003D52E4">
        <w:rPr>
          <w:sz w:val="20"/>
          <w:szCs w:val="20"/>
        </w:rPr>
        <w:t>datová schránka: n6tetn3</w:t>
      </w:r>
    </w:p>
    <w:p w:rsidR="00291971" w:rsidRPr="00291971" w:rsidRDefault="00291971" w:rsidP="00291971">
      <w:pPr>
        <w:widowControl w:val="0"/>
        <w:numPr>
          <w:ilvl w:val="12"/>
          <w:numId w:val="0"/>
        </w:numPr>
        <w:tabs>
          <w:tab w:val="left" w:pos="-1560"/>
          <w:tab w:val="left" w:pos="5954"/>
        </w:tabs>
        <w:ind w:left="709" w:hanging="709"/>
        <w:jc w:val="center"/>
        <w:rPr>
          <w:sz w:val="20"/>
          <w:szCs w:val="20"/>
        </w:rPr>
      </w:pPr>
      <w:r w:rsidRPr="00291971">
        <w:rPr>
          <w:sz w:val="20"/>
          <w:szCs w:val="20"/>
        </w:rPr>
        <w:t>www.koop.cz</w:t>
      </w:r>
    </w:p>
    <w:p w:rsidR="00291971" w:rsidRPr="00291971" w:rsidRDefault="00291971" w:rsidP="00291971">
      <w:pPr>
        <w:numPr>
          <w:ilvl w:val="12"/>
          <w:numId w:val="0"/>
        </w:numPr>
        <w:tabs>
          <w:tab w:val="left" w:pos="-1701"/>
        </w:tabs>
        <w:overflowPunct w:val="0"/>
        <w:autoSpaceDE w:val="0"/>
        <w:autoSpaceDN w:val="0"/>
        <w:adjustRightInd w:val="0"/>
        <w:spacing w:before="120"/>
        <w:jc w:val="both"/>
        <w:textAlignment w:val="baseline"/>
        <w:rPr>
          <w:rFonts w:cs="Arial"/>
          <w:sz w:val="20"/>
          <w:szCs w:val="20"/>
        </w:rPr>
      </w:pPr>
      <w:r w:rsidRPr="00291971">
        <w:rPr>
          <w:rFonts w:cs="Arial"/>
          <w:sz w:val="20"/>
          <w:szCs w:val="20"/>
        </w:rPr>
        <w:t xml:space="preserve">Na výzvu pojistitele je pojistník (pojištěný nebo jakákoliv jiná osoba) povinen oznámit vznik škodné události písemnou formou. </w:t>
      </w:r>
    </w:p>
    <w:p w:rsidR="00291971" w:rsidRDefault="00291971" w:rsidP="00291971">
      <w:pPr>
        <w:numPr>
          <w:ilvl w:val="12"/>
          <w:numId w:val="0"/>
        </w:numPr>
        <w:tabs>
          <w:tab w:val="left" w:pos="-1701"/>
        </w:tabs>
        <w:overflowPunct w:val="0"/>
        <w:autoSpaceDE w:val="0"/>
        <w:autoSpaceDN w:val="0"/>
        <w:adjustRightInd w:val="0"/>
        <w:jc w:val="both"/>
        <w:textAlignment w:val="baseline"/>
        <w:rPr>
          <w:rFonts w:cs="Arial"/>
          <w:sz w:val="20"/>
          <w:szCs w:val="20"/>
        </w:rPr>
      </w:pPr>
    </w:p>
    <w:bookmarkEnd w:id="1"/>
    <w:p w:rsidR="00291971" w:rsidRPr="00291971" w:rsidRDefault="00291971" w:rsidP="00291971">
      <w:pPr>
        <w:keepNext/>
        <w:jc w:val="center"/>
        <w:rPr>
          <w:rFonts w:cs="Arial"/>
          <w:b/>
          <w:bCs/>
          <w:sz w:val="24"/>
        </w:rPr>
      </w:pPr>
      <w:r w:rsidRPr="00291971">
        <w:rPr>
          <w:rFonts w:cs="Arial"/>
          <w:b/>
          <w:bCs/>
          <w:sz w:val="24"/>
        </w:rPr>
        <w:t>Článek V.</w:t>
      </w:r>
    </w:p>
    <w:p w:rsidR="00291971" w:rsidRPr="00291971" w:rsidRDefault="00291971" w:rsidP="00291971">
      <w:pPr>
        <w:keepNext/>
        <w:jc w:val="center"/>
        <w:rPr>
          <w:b/>
          <w:bCs/>
          <w:sz w:val="24"/>
        </w:rPr>
      </w:pPr>
      <w:r w:rsidRPr="00291971">
        <w:rPr>
          <w:b/>
          <w:bCs/>
          <w:sz w:val="24"/>
        </w:rPr>
        <w:t>Zvláštní ujednání</w:t>
      </w:r>
    </w:p>
    <w:p w:rsidR="00291971" w:rsidRPr="00291971" w:rsidRDefault="00291971" w:rsidP="00291971">
      <w:pPr>
        <w:keepNext/>
        <w:numPr>
          <w:ilvl w:val="0"/>
          <w:numId w:val="15"/>
        </w:numPr>
        <w:tabs>
          <w:tab w:val="left" w:pos="-1418"/>
        </w:tabs>
        <w:spacing w:before="120"/>
        <w:jc w:val="both"/>
        <w:rPr>
          <w:rFonts w:cs="Arial"/>
          <w:sz w:val="20"/>
          <w:szCs w:val="20"/>
        </w:rPr>
      </w:pPr>
      <w:r w:rsidRPr="00291971">
        <w:rPr>
          <w:sz w:val="20"/>
          <w:szCs w:val="20"/>
        </w:rPr>
        <w:t>Pojistitel bere na vědomí skutečnost, že si pojistník vyhradil opční právo ve smyslu § 99 zákona o veřejných zakázkách na zadání nové veřejné zakázky na další nové služby podobného druhu v jednacím řízení bez uveřejnění. Základní předmět plnění nové veřejné zakázky bude vždy obdobný předmětu veřejné zakázky „Pojištění majetku, vozidel a odpovědnosti za újmu poskytovatele zdravotnického zařízení“ ev.</w:t>
      </w:r>
      <w:r w:rsidR="00094EE2">
        <w:rPr>
          <w:sz w:val="20"/>
          <w:szCs w:val="20"/>
        </w:rPr>
        <w:t xml:space="preserve"> </w:t>
      </w:r>
      <w:r w:rsidRPr="00291971">
        <w:rPr>
          <w:sz w:val="20"/>
          <w:szCs w:val="20"/>
        </w:rPr>
        <w:t xml:space="preserve">č. zakázky 491412. </w:t>
      </w:r>
    </w:p>
    <w:p w:rsidR="00291971" w:rsidRPr="00291971" w:rsidRDefault="00291971" w:rsidP="00291971">
      <w:pPr>
        <w:keepNext/>
        <w:tabs>
          <w:tab w:val="left" w:pos="-1418"/>
        </w:tabs>
        <w:ind w:left="425"/>
        <w:jc w:val="both"/>
        <w:rPr>
          <w:sz w:val="20"/>
          <w:szCs w:val="20"/>
        </w:rPr>
      </w:pPr>
      <w:r w:rsidRPr="00291971">
        <w:rPr>
          <w:sz w:val="20"/>
          <w:szCs w:val="20"/>
        </w:rPr>
        <w:t>K případnému využití opčního práva si pojistník vyhrazuje dobu 48 měsíců ode dne uzavření této pojistné smlouvy, tj. pojistník si vyhrazuje právo v této době zahájit příslušná jednací řízení bez uveřejnění na nové služby, které jsou předmětem opčního práva. Pojistník si vyhrazuje využít uvedené opční právo v uvedené lhůtě 48 měsíců buď najednou v rozsahu celého předmětu opčního práva, nebo postupně vždy v dílčím rozsahu až do úplného vyčerpání celého předmětu opčního práva.</w:t>
      </w:r>
    </w:p>
    <w:p w:rsidR="00291971" w:rsidRPr="00291971" w:rsidRDefault="00291971" w:rsidP="00291971">
      <w:pPr>
        <w:numPr>
          <w:ilvl w:val="0"/>
          <w:numId w:val="15"/>
        </w:numPr>
        <w:tabs>
          <w:tab w:val="left" w:pos="-720"/>
        </w:tabs>
        <w:spacing w:before="120"/>
        <w:jc w:val="both"/>
        <w:rPr>
          <w:sz w:val="20"/>
          <w:szCs w:val="20"/>
        </w:rPr>
      </w:pPr>
      <w:r w:rsidRPr="00291971">
        <w:rPr>
          <w:rFonts w:cs="Arial"/>
          <w:sz w:val="20"/>
          <w:szCs w:val="20"/>
        </w:rPr>
        <w:t>Ujednává se, že se ruší ustanovení čl. 10 odst. 9) VPP P-100/14.</w:t>
      </w:r>
    </w:p>
    <w:p w:rsidR="00291971" w:rsidRPr="00291971" w:rsidRDefault="00291971" w:rsidP="00291971">
      <w:pPr>
        <w:numPr>
          <w:ilvl w:val="0"/>
          <w:numId w:val="15"/>
        </w:numPr>
        <w:tabs>
          <w:tab w:val="left" w:pos="-720"/>
        </w:tabs>
        <w:spacing w:before="120"/>
        <w:jc w:val="both"/>
        <w:rPr>
          <w:sz w:val="20"/>
          <w:szCs w:val="20"/>
        </w:rPr>
      </w:pPr>
      <w:r w:rsidRPr="00291971">
        <w:rPr>
          <w:rFonts w:cs="Arial"/>
          <w:sz w:val="20"/>
          <w:szCs w:val="20"/>
        </w:rPr>
        <w:t>Výši pojistného (nabídkové ceny) lze překročit pouze při prokazatelném navýšení cen surovin, paliv, energií, směnného kurzu koruny vůči euru nebo dolaru o více než 20%. Změna pojistného musí být projednána s pojistníkem minimálně s měsíčním předstihem. V případě změn celních či daňových sazeb může být pojistné navýšeno, a to pouze ve výši shodné s touto změnou.</w:t>
      </w:r>
    </w:p>
    <w:p w:rsidR="00291971" w:rsidRPr="00291971" w:rsidRDefault="00291971" w:rsidP="00291971">
      <w:pPr>
        <w:keepNext/>
        <w:numPr>
          <w:ilvl w:val="0"/>
          <w:numId w:val="15"/>
        </w:numPr>
        <w:tabs>
          <w:tab w:val="left" w:pos="-1418"/>
        </w:tabs>
        <w:spacing w:before="120"/>
        <w:jc w:val="both"/>
        <w:rPr>
          <w:rFonts w:cs="Arial"/>
          <w:sz w:val="20"/>
          <w:szCs w:val="20"/>
        </w:rPr>
      </w:pPr>
      <w:r w:rsidRPr="00291971">
        <w:rPr>
          <w:rFonts w:cs="Arial"/>
          <w:sz w:val="20"/>
          <w:szCs w:val="20"/>
        </w:rPr>
        <w:t xml:space="preserve">Veškerý nový majetek na místech pojištění patřící svým charakterem mezi pojištěné věci, který pojištěný nabude v průběhu pojistného roku, je automaticky zahrnut do pojištění. </w:t>
      </w:r>
    </w:p>
    <w:p w:rsidR="00291971" w:rsidRPr="00291971" w:rsidRDefault="00291971" w:rsidP="00291971">
      <w:pPr>
        <w:tabs>
          <w:tab w:val="left" w:pos="-1418"/>
        </w:tabs>
        <w:ind w:left="426"/>
        <w:jc w:val="both"/>
        <w:rPr>
          <w:rFonts w:cs="Arial"/>
          <w:sz w:val="20"/>
          <w:szCs w:val="20"/>
        </w:rPr>
      </w:pPr>
      <w:r w:rsidRPr="00291971">
        <w:rPr>
          <w:rFonts w:cs="Arial"/>
          <w:sz w:val="20"/>
          <w:szCs w:val="20"/>
        </w:rPr>
        <w:t xml:space="preserve">Pojištěný je povinen výše uvedenou změnu oznámit pojistiteli nejpozději do 60 kalendářních dnů od nabytí majetku, poměrné pojistné bude zúčtováno v nejbližším dodatku k této pojistné smlouvě s datem účinnosti od data nabytí majetku. </w:t>
      </w:r>
    </w:p>
    <w:p w:rsidR="00291971" w:rsidRPr="00291971" w:rsidRDefault="00291971" w:rsidP="00291971">
      <w:pPr>
        <w:tabs>
          <w:tab w:val="left" w:pos="-1418"/>
        </w:tabs>
        <w:ind w:left="426"/>
        <w:jc w:val="both"/>
        <w:rPr>
          <w:rFonts w:cs="Arial"/>
          <w:sz w:val="20"/>
          <w:szCs w:val="20"/>
        </w:rPr>
      </w:pPr>
      <w:r w:rsidRPr="00291971">
        <w:rPr>
          <w:rFonts w:cs="Arial"/>
          <w:sz w:val="20"/>
          <w:szCs w:val="20"/>
        </w:rPr>
        <w:t>Pokud pojištěný do termínu 60 dnů od nabytí nového majetku pojistiteli tento majetek řádně nenahlásí, není pojištěn.</w:t>
      </w:r>
    </w:p>
    <w:p w:rsidR="00291971" w:rsidRPr="00291971" w:rsidRDefault="00291971" w:rsidP="00291971">
      <w:pPr>
        <w:numPr>
          <w:ilvl w:val="0"/>
          <w:numId w:val="15"/>
        </w:numPr>
        <w:tabs>
          <w:tab w:val="left" w:pos="-1418"/>
        </w:tabs>
        <w:spacing w:before="120"/>
        <w:jc w:val="both"/>
        <w:rPr>
          <w:iCs/>
          <w:sz w:val="20"/>
          <w:szCs w:val="20"/>
        </w:rPr>
      </w:pPr>
      <w:r w:rsidRPr="00291971">
        <w:rPr>
          <w:iCs/>
          <w:sz w:val="20"/>
          <w:szCs w:val="20"/>
        </w:rPr>
        <w:t xml:space="preserve">Ujednává se, že pro účely této pojistné smlouvy ke dni sjednání pojištění odpovídají pojistné částky stanovené pro soubory pojištěných věcí, kromě souboru věcí pojištěných na první riziko a věcí pojištěných na tzv. jinou cenu, pojistné hodnotě. Pokud se pojistná hodnota pojištěného souboru nezvýší do doby vzniku pojistné událostí o více než 15 %, pojistitel nevyužije svého práva na snížení plnění ve smyslu § 2854 zákona č. 89/2012. </w:t>
      </w:r>
    </w:p>
    <w:p w:rsidR="00291971" w:rsidRDefault="00291971" w:rsidP="00291971">
      <w:pPr>
        <w:tabs>
          <w:tab w:val="left" w:pos="-1418"/>
        </w:tabs>
        <w:ind w:left="425"/>
        <w:jc w:val="both"/>
        <w:rPr>
          <w:iCs/>
          <w:sz w:val="20"/>
          <w:szCs w:val="20"/>
        </w:rPr>
      </w:pPr>
      <w:r w:rsidRPr="00291971">
        <w:rPr>
          <w:iCs/>
          <w:sz w:val="20"/>
          <w:szCs w:val="20"/>
        </w:rPr>
        <w:lastRenderedPageBreak/>
        <w:t>Odchylně od čl. 15 odst. 2) písm. h) VPP P-100/14 se ujednává, že pojistník a pojištěný je povinen oznámit pojistiteli změnu pojistné hodnoty pojištěné věci nebo souboru věcí, zvýšila-li se v době trvání pojištění alespoň o 15%.</w:t>
      </w:r>
    </w:p>
    <w:p w:rsidR="00291971" w:rsidRPr="00005584" w:rsidRDefault="00291971" w:rsidP="00005584">
      <w:pPr>
        <w:numPr>
          <w:ilvl w:val="0"/>
          <w:numId w:val="15"/>
        </w:numPr>
        <w:tabs>
          <w:tab w:val="left" w:pos="-1418"/>
        </w:tabs>
        <w:spacing w:before="120"/>
        <w:jc w:val="both"/>
        <w:rPr>
          <w:iCs/>
          <w:sz w:val="20"/>
          <w:szCs w:val="20"/>
        </w:rPr>
      </w:pPr>
      <w:r w:rsidRPr="00005584">
        <w:rPr>
          <w:iCs/>
          <w:sz w:val="20"/>
          <w:szCs w:val="20"/>
        </w:rPr>
        <w:t>Pojistitel uhradí kromě zachraňovacích nákladů (čl. 13 odst. 2) VPP P-100/14) účelně vynaložené náklady z již nastalé pojistné události z jiného pojistnou smlouvou sjednaného pojištění na demolici/rozebrání pojištěných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vhodném místě, včetně nákladů na jejich odvoz na takové místo (skládku), dále jen „demoliční náklady“. Demoliční náklady uhradí pojistitel pouze v případě, že pojištěné věci shledal neopravitelnými nebo jejich demolici/rozebrání nařídil po pojistné události orgán státní správy z důvodů bezpečnostních.</w:t>
      </w:r>
    </w:p>
    <w:p w:rsidR="00291971" w:rsidRPr="00291971" w:rsidRDefault="00291971" w:rsidP="00291971">
      <w:pPr>
        <w:spacing w:before="60"/>
        <w:ind w:left="426"/>
        <w:jc w:val="both"/>
        <w:rPr>
          <w:sz w:val="20"/>
          <w:szCs w:val="20"/>
        </w:rPr>
      </w:pPr>
      <w:r w:rsidRPr="00291971">
        <w:rPr>
          <w:sz w:val="20"/>
          <w:szCs w:val="20"/>
        </w:rPr>
        <w:t>Pojistitel dále uhradí kromě zachraňovacích nákladů (čl. 13 odst. 2) VPP P-100/14) účelně vynaložené náklady z již nastalé pojistné události z jiného pojistnou smlouvou sjednaného pojištění na dočasné přemístění pojištěných věcí movitého charakteru uložených v místě pojištění, ve kterém nastala tato pojistná událost. Pojistitel také uhradí účelně vynaložené náklady na nájemné za dočasné uskladnění těchto pojištěných věcí v cizích prostorách a náklady na jejich následné navrácení do místa pojištění.</w:t>
      </w:r>
    </w:p>
    <w:p w:rsidR="00291971" w:rsidRPr="00291971" w:rsidRDefault="00291971" w:rsidP="00291971">
      <w:pPr>
        <w:spacing w:before="60"/>
        <w:ind w:left="426"/>
        <w:jc w:val="both"/>
        <w:rPr>
          <w:sz w:val="20"/>
          <w:szCs w:val="20"/>
        </w:rPr>
      </w:pPr>
      <w:r w:rsidRPr="00291971">
        <w:rPr>
          <w:sz w:val="20"/>
          <w:szCs w:val="20"/>
        </w:rPr>
        <w:t>Pojistitel dále uhradí kromě zachraňovacích nákladů (čl. 13 odst. 2) VPP P-100/14) účelně vynaložené náklady z již nastalé pojistné události z jiného pojistnou smlouvou sjednaného pojištění na hašení, které pojištěný svépomocí vynaloží na své náklady na hašení hořícího pojištěného majetku. Pojištění se nevztahuje na náklady vzniklé Hasičskému záchrannému sboru, Policii ČR nebo jiným subjektům, které jsou povinny tyto náklady vynaložit ve veřejném zájmu na základě zvláštních právních předpisů. Pojistitel neposkytne plnění za náklady vzniklé použitím věcných prostředků požární ochrany a požárně bezpečnostních zařízení s neprovedenou nebo neplatnou kontrolou či údržbou (dle platného zákona o podmínkách požární bezpečnosti a výkonu státního požárního dozoru).</w:t>
      </w:r>
    </w:p>
    <w:p w:rsidR="00291971" w:rsidRPr="00291971" w:rsidRDefault="00291971" w:rsidP="00291971">
      <w:pPr>
        <w:spacing w:before="60"/>
        <w:ind w:left="426"/>
        <w:jc w:val="both"/>
        <w:rPr>
          <w:sz w:val="20"/>
          <w:szCs w:val="20"/>
        </w:rPr>
      </w:pPr>
      <w:r w:rsidRPr="00291971">
        <w:rPr>
          <w:sz w:val="20"/>
          <w:szCs w:val="20"/>
        </w:rPr>
        <w:t>Pojištění nákladů uvedených v tomto bodu 6. se sjednává s MRLP</w:t>
      </w:r>
      <w:r w:rsidRPr="00291971">
        <w:rPr>
          <w:sz w:val="20"/>
          <w:szCs w:val="20"/>
          <w:vertAlign w:val="superscript"/>
        </w:rPr>
        <w:t xml:space="preserve">3) </w:t>
      </w:r>
      <w:r w:rsidRPr="00291971">
        <w:rPr>
          <w:sz w:val="20"/>
          <w:szCs w:val="20"/>
        </w:rPr>
        <w:t>ve výši 100 000 000 Kč a se spoluúčastí ve výši 50 000 Kč.</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Odchylně od ustanovení čl. 9 odst. 1) písm. b) ZPP P-700/14 se ujednává, že pojištění pro případ poškození nebo zničení pojištěné věci pádem stromů, stožárů nebo jiných věcí se vztahuje i na součásti poškozené věci nebo součásti téhož souboru jako poškozená věc (např. komín kotelny).</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Odchylně od čl. 8 odst. 25) ZPP P-700/14 se požárem rozumí oheň, který vznikl mimo určené ohniště nebo který určené ohniště opustil a který se vlastní silou rozšířil nebo byl pachatelem úmyslně rozšířen. Požárem není působení užitkového ohně a jeho tepla, žhnutí a doutnání s omezeným přístupem vzduchu.</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Ve smyslu ZPP P-700/14 se kouřem rozumí směs plynných a v ní rozptýlených tuhých produktů hoření.</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Ujednává se, že pojištění pro případ pojistného nebezpečí povodeň i záplava se vztahuje i na škody způsobené zpětným vystoupením kapaliny z odpadního potrubí, které bylo způsobeno zahlcením venkovní kanalizace v důsledku atmosférických srážek, povodně a záplavy nebo poruchy zařízení.</w:t>
      </w:r>
    </w:p>
    <w:p w:rsidR="00291971" w:rsidRPr="00291971" w:rsidRDefault="00291971" w:rsidP="00291971">
      <w:pPr>
        <w:numPr>
          <w:ilvl w:val="0"/>
          <w:numId w:val="15"/>
        </w:numPr>
        <w:tabs>
          <w:tab w:val="left" w:pos="-1418"/>
        </w:tabs>
        <w:spacing w:before="120"/>
        <w:jc w:val="both"/>
        <w:rPr>
          <w:rFonts w:cs="Arial"/>
          <w:sz w:val="20"/>
          <w:szCs w:val="20"/>
        </w:rPr>
      </w:pPr>
      <w:r w:rsidRPr="00291971">
        <w:rPr>
          <w:sz w:val="20"/>
          <w:szCs w:val="20"/>
        </w:rPr>
        <w:t xml:space="preserve">Ujednává se, že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291971" w:rsidRPr="00291971" w:rsidRDefault="00291971" w:rsidP="00291971">
      <w:pPr>
        <w:spacing w:before="60"/>
        <w:ind w:left="425"/>
        <w:jc w:val="both"/>
        <w:rPr>
          <w:sz w:val="20"/>
          <w:szCs w:val="20"/>
        </w:rPr>
      </w:pPr>
      <w:r w:rsidRPr="00291971">
        <w:rPr>
          <w:sz w:val="20"/>
          <w:szCs w:val="20"/>
        </w:rPr>
        <w:t>Pojištění se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291971" w:rsidRPr="00291971" w:rsidRDefault="00291971" w:rsidP="00291971">
      <w:pPr>
        <w:spacing w:before="60"/>
        <w:ind w:left="425"/>
        <w:jc w:val="both"/>
        <w:rPr>
          <w:sz w:val="20"/>
          <w:szCs w:val="20"/>
        </w:rPr>
      </w:pPr>
      <w:r w:rsidRPr="00291971">
        <w:rPr>
          <w:sz w:val="20"/>
          <w:szCs w:val="20"/>
        </w:rPr>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291971" w:rsidRPr="00291971" w:rsidRDefault="00291971" w:rsidP="00291971">
      <w:pPr>
        <w:spacing w:before="60"/>
        <w:ind w:left="425"/>
        <w:jc w:val="both"/>
        <w:rPr>
          <w:sz w:val="20"/>
          <w:szCs w:val="20"/>
        </w:rPr>
      </w:pPr>
      <w:r w:rsidRPr="00291971">
        <w:rPr>
          <w:sz w:val="20"/>
          <w:szCs w:val="20"/>
        </w:rPr>
        <w:t>Pojištění se nevztahuje na škody způsobené v důsledku vniknutí vody z přívalového deště do pojištěné budovy nebo ostatní stavby nedostatečně uzavřenými okny, venkovními dveřmi nebo neuzavřenými vnějšími stavebními otvory.</w:t>
      </w:r>
    </w:p>
    <w:p w:rsidR="00291971" w:rsidRPr="00291971" w:rsidRDefault="00291971" w:rsidP="00291971">
      <w:pPr>
        <w:spacing w:before="60"/>
        <w:ind w:left="425"/>
        <w:jc w:val="both"/>
        <w:rPr>
          <w:sz w:val="20"/>
          <w:szCs w:val="20"/>
        </w:rPr>
      </w:pPr>
      <w:r w:rsidRPr="00291971">
        <w:rPr>
          <w:sz w:val="20"/>
          <w:szCs w:val="20"/>
        </w:rPr>
        <w:t>Pojištění se dále nevztahuje na poškození nebo zničení budovy nebo ostatní stavby nebo věci normálními atmosférickými srážkami, s nimiž je třeba podle ročního období a místních poměrů počítat.</w:t>
      </w:r>
    </w:p>
    <w:p w:rsidR="00291971" w:rsidRPr="00291971" w:rsidRDefault="00291971" w:rsidP="00291971">
      <w:pPr>
        <w:spacing w:before="60"/>
        <w:ind w:left="425"/>
        <w:jc w:val="both"/>
        <w:rPr>
          <w:sz w:val="20"/>
          <w:szCs w:val="20"/>
        </w:rPr>
      </w:pPr>
      <w:r w:rsidRPr="00291971">
        <w:rPr>
          <w:sz w:val="20"/>
          <w:szCs w:val="20"/>
        </w:rPr>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291971" w:rsidRPr="00291971" w:rsidRDefault="00291971" w:rsidP="00291971">
      <w:pPr>
        <w:spacing w:before="60"/>
        <w:ind w:left="425"/>
        <w:jc w:val="both"/>
        <w:rPr>
          <w:sz w:val="20"/>
          <w:szCs w:val="20"/>
        </w:rPr>
      </w:pPr>
      <w:r w:rsidRPr="00291971">
        <w:rPr>
          <w:sz w:val="20"/>
          <w:szCs w:val="20"/>
        </w:rPr>
        <w:lastRenderedPageBreak/>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291971" w:rsidRPr="00291971" w:rsidRDefault="00291971" w:rsidP="00291971">
      <w:pPr>
        <w:spacing w:before="60"/>
        <w:ind w:left="425"/>
        <w:jc w:val="both"/>
        <w:rPr>
          <w:sz w:val="20"/>
          <w:szCs w:val="20"/>
        </w:rPr>
      </w:pPr>
      <w:r w:rsidRPr="00291971">
        <w:rPr>
          <w:sz w:val="20"/>
          <w:szCs w:val="20"/>
        </w:rPr>
        <w:t>Pojištění se sjednává s maximálním ročním limitem pojistného plnění ve výši 500 000 Kč a se spoluúčastí ve výši 50 000 Kč.</w:t>
      </w:r>
    </w:p>
    <w:p w:rsidR="00291971" w:rsidRPr="00005584" w:rsidRDefault="00291971" w:rsidP="00005584">
      <w:pPr>
        <w:numPr>
          <w:ilvl w:val="0"/>
          <w:numId w:val="15"/>
        </w:numPr>
        <w:tabs>
          <w:tab w:val="left" w:pos="-1418"/>
        </w:tabs>
        <w:spacing w:before="120"/>
        <w:jc w:val="both"/>
        <w:rPr>
          <w:sz w:val="20"/>
          <w:szCs w:val="20"/>
        </w:rPr>
      </w:pPr>
      <w:r w:rsidRPr="00291971">
        <w:rPr>
          <w:sz w:val="20"/>
          <w:szCs w:val="20"/>
        </w:rPr>
        <w:t xml:space="preserve">Ve smyslu ustanovení čl. 9 odst. 1) písm. i) ZPP P-700/14se vodovodní nebezpečí vztahuje i na škody způsobené vodou vytékající z klimatizačních zařízení, </w:t>
      </w:r>
      <w:proofErr w:type="spellStart"/>
      <w:r w:rsidRPr="00291971">
        <w:rPr>
          <w:sz w:val="20"/>
          <w:szCs w:val="20"/>
        </w:rPr>
        <w:t>sprinklerových</w:t>
      </w:r>
      <w:proofErr w:type="spellEnd"/>
      <w:r w:rsidRPr="00291971">
        <w:rPr>
          <w:sz w:val="20"/>
          <w:szCs w:val="20"/>
        </w:rPr>
        <w:t xml:space="preserve"> a samočinných hasicích zařízení v důsledku poruchy těchto zařízení. Odchylně od čl. 3 odst. 2) písm. d) ZPP P-700/14 se ujednává, že se pojištění vztahuje i na škody způsobené při provádění tlakových zkoušek hasicího zařízení.</w:t>
      </w:r>
    </w:p>
    <w:p w:rsidR="00291971" w:rsidRPr="00005584" w:rsidRDefault="00291971" w:rsidP="00005584">
      <w:pPr>
        <w:numPr>
          <w:ilvl w:val="0"/>
          <w:numId w:val="15"/>
        </w:numPr>
        <w:tabs>
          <w:tab w:val="left" w:pos="-1418"/>
        </w:tabs>
        <w:spacing w:before="120"/>
        <w:jc w:val="both"/>
        <w:rPr>
          <w:sz w:val="20"/>
          <w:szCs w:val="20"/>
        </w:rPr>
      </w:pPr>
      <w:r w:rsidRPr="00005584">
        <w:rPr>
          <w:sz w:val="20"/>
          <w:szCs w:val="20"/>
        </w:rPr>
        <w:t xml:space="preserve">Dojde-li v průběhu trvání pojistné smlouvy k pojistné události způsobené následkem pojistného nebezpečí povodeň nebo záplava a vichřice nebo krupobití, budou za jednu pojistnou událost považovány všechny škodní události, resp. série </w:t>
      </w:r>
      <w:proofErr w:type="spellStart"/>
      <w:r w:rsidRPr="00005584">
        <w:rPr>
          <w:sz w:val="20"/>
          <w:szCs w:val="20"/>
        </w:rPr>
        <w:t>škodních</w:t>
      </w:r>
      <w:proofErr w:type="spellEnd"/>
      <w:r w:rsidRPr="00005584">
        <w:rPr>
          <w:sz w:val="20"/>
          <w:szCs w:val="20"/>
        </w:rPr>
        <w:t xml:space="preserve"> událostí, vzniklé v důsledku jedné příčiny během 72 hodin. Za počátek časové lhůty 72 hodin je považován okamžik, kdy došlo k prvnímu poškození pojištěného majetku ve smyslu sjednaného pojištění. V tomto případě se od celkového pojistného plnění odečítá pouze ta spoluúčast, která je nejvyšší z těchto spoluúčastí, pokud není pro pojištěného výhodnější odečtení spoluúčastí z jednotlivých předmětných pojištění, jichž se pojistná událost týká.</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Ve smyslu ustanovení čl. 6 odst. 1) ZPP P-700/14 je pojistnou hodnotou cizích předmětů užívaných jejich nová cena (pojištění na novou cenu).</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Pojištění se vztahuje i na škody na pojištěných budovách nebo ostatních stavbách v průběhu jejich rekonstrukce, pokud tyto škody nastanou některým z těchto pojistných nebezpečí: požární nebezpečí, povodeň nebo záplava, vichřice nebo krupobití, sesuv, zemětřesení, tíha sněhu nebo námrazy, vodovodní nebezpečí, a to za předpokladu, že ke škodě nedošlo bezprostředně v důsledku stavebně montážní činnosti.</w:t>
      </w:r>
    </w:p>
    <w:p w:rsidR="00291971" w:rsidRP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Odchylně od DOZ101 a</w:t>
      </w:r>
      <w:r w:rsidRPr="00291971">
        <w:rPr>
          <w:rFonts w:cs="Arial"/>
          <w:color w:val="FF0000"/>
          <w:sz w:val="20"/>
          <w:szCs w:val="20"/>
        </w:rPr>
        <w:t xml:space="preserve"> </w:t>
      </w:r>
      <w:r w:rsidRPr="00291971">
        <w:rPr>
          <w:rFonts w:cs="Arial"/>
          <w:sz w:val="20"/>
          <w:szCs w:val="20"/>
        </w:rPr>
        <w:t>DOZ102 se sjednávají způsoby zabezpečení pro následující pojištěné věci:</w:t>
      </w:r>
    </w:p>
    <w:p w:rsidR="00291971" w:rsidRPr="00291971" w:rsidRDefault="00291971" w:rsidP="00291971">
      <w:pPr>
        <w:numPr>
          <w:ilvl w:val="0"/>
          <w:numId w:val="29"/>
        </w:numPr>
        <w:tabs>
          <w:tab w:val="left" w:pos="-1418"/>
        </w:tabs>
        <w:spacing w:before="60"/>
        <w:ind w:hanging="295"/>
        <w:jc w:val="both"/>
        <w:rPr>
          <w:rFonts w:cs="Arial"/>
          <w:sz w:val="20"/>
          <w:szCs w:val="20"/>
        </w:rPr>
      </w:pPr>
      <w:r w:rsidRPr="00291971">
        <w:rPr>
          <w:rFonts w:cs="Arial"/>
          <w:sz w:val="20"/>
          <w:szCs w:val="20"/>
        </w:rPr>
        <w:t xml:space="preserve">pro výběrní automaty, </w:t>
      </w:r>
      <w:proofErr w:type="spellStart"/>
      <w:r w:rsidRPr="00291971">
        <w:rPr>
          <w:rFonts w:cs="Arial"/>
          <w:sz w:val="20"/>
          <w:szCs w:val="20"/>
        </w:rPr>
        <w:t>měničky</w:t>
      </w:r>
      <w:proofErr w:type="spellEnd"/>
      <w:r w:rsidRPr="00291971">
        <w:rPr>
          <w:rFonts w:cs="Arial"/>
          <w:sz w:val="20"/>
          <w:szCs w:val="20"/>
        </w:rPr>
        <w:t xml:space="preserve"> mincí, včetně venkovního parkovacího automatu se za dostatečné zabezpečení považuje pevné ukotvení k zemi či stěně s tím, že pevnost žádného z kotvících otvorů nesmí být nižší než 10 </w:t>
      </w:r>
      <w:proofErr w:type="spellStart"/>
      <w:r w:rsidRPr="00291971">
        <w:rPr>
          <w:rFonts w:cs="Arial"/>
          <w:sz w:val="20"/>
          <w:szCs w:val="20"/>
        </w:rPr>
        <w:t>kN</w:t>
      </w:r>
      <w:proofErr w:type="spellEnd"/>
      <w:r w:rsidRPr="00291971">
        <w:rPr>
          <w:rFonts w:cs="Arial"/>
          <w:sz w:val="20"/>
          <w:szCs w:val="20"/>
        </w:rPr>
        <w:t>.</w:t>
      </w:r>
    </w:p>
    <w:p w:rsidR="00291971" w:rsidRPr="00291971" w:rsidRDefault="00291971" w:rsidP="00291971">
      <w:pPr>
        <w:numPr>
          <w:ilvl w:val="0"/>
          <w:numId w:val="29"/>
        </w:numPr>
        <w:tabs>
          <w:tab w:val="left" w:pos="-1418"/>
        </w:tabs>
        <w:spacing w:before="60"/>
        <w:ind w:hanging="295"/>
        <w:jc w:val="both"/>
        <w:rPr>
          <w:rFonts w:cs="Arial"/>
          <w:sz w:val="20"/>
          <w:szCs w:val="20"/>
        </w:rPr>
      </w:pPr>
      <w:r w:rsidRPr="00291971">
        <w:rPr>
          <w:rFonts w:cs="Arial"/>
          <w:sz w:val="20"/>
          <w:szCs w:val="20"/>
        </w:rPr>
        <w:t xml:space="preserve">pro vlastní finanční prostředky uložené ve </w:t>
      </w:r>
      <w:proofErr w:type="spellStart"/>
      <w:r w:rsidRPr="00291971">
        <w:rPr>
          <w:rFonts w:cs="Arial"/>
          <w:sz w:val="20"/>
          <w:szCs w:val="20"/>
        </w:rPr>
        <w:t>výběrních</w:t>
      </w:r>
      <w:proofErr w:type="spellEnd"/>
      <w:r w:rsidRPr="00291971">
        <w:rPr>
          <w:rFonts w:cs="Arial"/>
          <w:sz w:val="20"/>
          <w:szCs w:val="20"/>
        </w:rPr>
        <w:t xml:space="preserve"> automatech, </w:t>
      </w:r>
      <w:proofErr w:type="spellStart"/>
      <w:r w:rsidRPr="00291971">
        <w:rPr>
          <w:rFonts w:cs="Arial"/>
          <w:sz w:val="20"/>
          <w:szCs w:val="20"/>
        </w:rPr>
        <w:t>měničkách</w:t>
      </w:r>
      <w:proofErr w:type="spellEnd"/>
      <w:r w:rsidRPr="00291971">
        <w:rPr>
          <w:rFonts w:cs="Arial"/>
          <w:sz w:val="20"/>
          <w:szCs w:val="20"/>
        </w:rPr>
        <w:t xml:space="preserve"> mincí a venkovním parkovacím automatu se za dostatečné zabezpečení považuje umístění v trezorovým zámkem třídy A dle ČSN EN 1300 uzamčených a k zemi či stěně pevně ukotvených </w:t>
      </w:r>
      <w:proofErr w:type="spellStart"/>
      <w:r w:rsidRPr="00291971">
        <w:rPr>
          <w:rFonts w:cs="Arial"/>
          <w:sz w:val="20"/>
          <w:szCs w:val="20"/>
        </w:rPr>
        <w:t>výběrních</w:t>
      </w:r>
      <w:proofErr w:type="spellEnd"/>
      <w:r w:rsidRPr="00291971">
        <w:rPr>
          <w:rFonts w:cs="Arial"/>
          <w:sz w:val="20"/>
          <w:szCs w:val="20"/>
        </w:rPr>
        <w:t xml:space="preserve"> automatech nebo </w:t>
      </w:r>
      <w:proofErr w:type="spellStart"/>
      <w:r w:rsidRPr="00291971">
        <w:rPr>
          <w:rFonts w:cs="Arial"/>
          <w:sz w:val="20"/>
          <w:szCs w:val="20"/>
        </w:rPr>
        <w:t>měničkách</w:t>
      </w:r>
      <w:proofErr w:type="spellEnd"/>
      <w:r w:rsidRPr="00291971">
        <w:rPr>
          <w:rFonts w:cs="Arial"/>
          <w:sz w:val="20"/>
          <w:szCs w:val="20"/>
        </w:rPr>
        <w:t xml:space="preserve"> mincí nebo parkovacím automatu.</w:t>
      </w:r>
    </w:p>
    <w:p w:rsidR="00291971" w:rsidRPr="00291971" w:rsidRDefault="00291971" w:rsidP="00291971">
      <w:pPr>
        <w:numPr>
          <w:ilvl w:val="0"/>
          <w:numId w:val="29"/>
        </w:numPr>
        <w:tabs>
          <w:tab w:val="left" w:pos="-1418"/>
        </w:tabs>
        <w:spacing w:before="60"/>
        <w:ind w:hanging="295"/>
        <w:jc w:val="both"/>
        <w:rPr>
          <w:rFonts w:cs="Arial"/>
          <w:sz w:val="20"/>
          <w:szCs w:val="20"/>
        </w:rPr>
      </w:pPr>
      <w:r w:rsidRPr="00291971">
        <w:rPr>
          <w:rFonts w:cs="Arial"/>
          <w:sz w:val="20"/>
          <w:szCs w:val="20"/>
        </w:rPr>
        <w:t>pro vlastní a cizí finanční prostředky v trezoru se za dostatečné zabezpečení</w:t>
      </w:r>
    </w:p>
    <w:p w:rsidR="00291971" w:rsidRDefault="00291971" w:rsidP="00291971">
      <w:pPr>
        <w:tabs>
          <w:tab w:val="left" w:pos="-1418"/>
          <w:tab w:val="left" w:pos="1134"/>
        </w:tabs>
        <w:ind w:left="1134" w:hanging="425"/>
        <w:jc w:val="both"/>
        <w:rPr>
          <w:rFonts w:cs="Arial"/>
          <w:sz w:val="20"/>
          <w:szCs w:val="20"/>
        </w:rPr>
      </w:pPr>
      <w:r w:rsidRPr="00291971">
        <w:rPr>
          <w:rFonts w:cs="Arial"/>
          <w:sz w:val="20"/>
          <w:szCs w:val="20"/>
        </w:rPr>
        <w:t>-</w:t>
      </w:r>
      <w:r w:rsidRPr="00291971">
        <w:rPr>
          <w:rFonts w:cs="Arial"/>
          <w:sz w:val="20"/>
          <w:szCs w:val="20"/>
        </w:rPr>
        <w:tab/>
        <w:t>pro limit plnění ve výši 15 000 Kč považuje umístění v uzamčeném trezoru/pokladně nezjištěné konstrukce v uzamčené místnosti, jejíž vstupní dveře budou vybaveny dozickým zámkem nebo zámkem s cylindrickou vložkou.</w:t>
      </w:r>
    </w:p>
    <w:p w:rsidR="00291971" w:rsidRPr="00291971" w:rsidRDefault="00291971" w:rsidP="00291971">
      <w:pPr>
        <w:tabs>
          <w:tab w:val="left" w:pos="-1418"/>
          <w:tab w:val="left" w:pos="1134"/>
        </w:tabs>
        <w:ind w:left="1134" w:hanging="425"/>
        <w:jc w:val="both"/>
        <w:rPr>
          <w:rFonts w:cs="Arial"/>
          <w:sz w:val="20"/>
          <w:szCs w:val="20"/>
        </w:rPr>
      </w:pPr>
      <w:r w:rsidRPr="00291971">
        <w:rPr>
          <w:rFonts w:cs="Arial"/>
          <w:sz w:val="20"/>
          <w:szCs w:val="20"/>
        </w:rPr>
        <w:t>-</w:t>
      </w:r>
      <w:r w:rsidRPr="00291971">
        <w:rPr>
          <w:rFonts w:cs="Arial"/>
          <w:sz w:val="20"/>
          <w:szCs w:val="20"/>
        </w:rPr>
        <w:tab/>
        <w:t>pro limit plnění ve výši 100 000 Kč považuje umístění v uzamčeném trezoru bezpečnostní třídy BT0 dle ČSN EN 1143-1 v uzamčené místnosti, jejíž všechny vstupní dveře budou vybaveny zámkem s bezpečnostní cylindrickou vložkou a bezpečnostním kováním, a jejíž všechny prosklené části s plochou větší než 600 cm</w:t>
      </w:r>
      <w:r w:rsidRPr="00291971">
        <w:rPr>
          <w:rFonts w:cs="Arial"/>
          <w:sz w:val="20"/>
          <w:szCs w:val="20"/>
          <w:vertAlign w:val="superscript"/>
        </w:rPr>
        <w:t xml:space="preserve">2 </w:t>
      </w:r>
      <w:r w:rsidRPr="00291971">
        <w:rPr>
          <w:rFonts w:cs="Arial"/>
          <w:sz w:val="20"/>
          <w:szCs w:val="20"/>
        </w:rPr>
        <w:t>budou vybaveny funkční mříží v případě, že prosklená plocha je níže než 2,5 m nad okolním terénem nebo od nejvyšší snadno přístupné konstrukce.</w:t>
      </w:r>
    </w:p>
    <w:p w:rsidR="00291971" w:rsidRPr="00291971" w:rsidRDefault="00291971" w:rsidP="00291971">
      <w:pPr>
        <w:numPr>
          <w:ilvl w:val="0"/>
          <w:numId w:val="29"/>
        </w:numPr>
        <w:tabs>
          <w:tab w:val="left" w:pos="-1418"/>
        </w:tabs>
        <w:spacing w:before="60"/>
        <w:ind w:hanging="295"/>
        <w:jc w:val="both"/>
        <w:rPr>
          <w:rFonts w:cs="Arial"/>
          <w:sz w:val="20"/>
          <w:szCs w:val="20"/>
        </w:rPr>
      </w:pPr>
      <w:r w:rsidRPr="00291971">
        <w:rPr>
          <w:rFonts w:cs="Arial"/>
          <w:sz w:val="20"/>
          <w:szCs w:val="20"/>
        </w:rPr>
        <w:t xml:space="preserve">pro mobilní elektronická zařízení se za dostatečné zabezpečení považuje umístění v uzamčené místnosti. </w:t>
      </w:r>
      <w:r w:rsidRPr="00291971">
        <w:rPr>
          <w:spacing w:val="-2"/>
          <w:sz w:val="20"/>
          <w:szCs w:val="20"/>
        </w:rPr>
        <w:t>Bylo-li odcizeno mobilní elektronické zařízení z motorového vozidla, vzniká pojištěnému právo na plnění pouze v případě, pokud jsou současně splněny následující podmínky:</w:t>
      </w:r>
    </w:p>
    <w:p w:rsidR="00291971" w:rsidRPr="00291971" w:rsidRDefault="00291971" w:rsidP="00291971">
      <w:pPr>
        <w:tabs>
          <w:tab w:val="left" w:pos="-1418"/>
          <w:tab w:val="left" w:pos="1134"/>
        </w:tabs>
        <w:spacing w:before="40"/>
        <w:ind w:left="1134" w:hanging="425"/>
        <w:jc w:val="both"/>
        <w:rPr>
          <w:rFonts w:cs="Arial"/>
          <w:sz w:val="20"/>
          <w:szCs w:val="20"/>
        </w:rPr>
      </w:pPr>
      <w:r w:rsidRPr="00291971">
        <w:rPr>
          <w:rFonts w:cs="Arial"/>
          <w:sz w:val="20"/>
          <w:szCs w:val="20"/>
        </w:rPr>
        <w:t>-</w:t>
      </w:r>
      <w:r w:rsidRPr="00291971">
        <w:rPr>
          <w:rFonts w:cs="Arial"/>
          <w:sz w:val="20"/>
          <w:szCs w:val="20"/>
        </w:rPr>
        <w:tab/>
        <w:t>motorové vozidlo, z něhož bylo zařízení odcizeno, bylo uzamčeno, mělo uzavřená okna a mělo pevnou střechu,</w:t>
      </w:r>
    </w:p>
    <w:p w:rsidR="00291971" w:rsidRPr="00291971" w:rsidRDefault="00291971" w:rsidP="00291971">
      <w:pPr>
        <w:tabs>
          <w:tab w:val="left" w:pos="-1418"/>
          <w:tab w:val="left" w:pos="1134"/>
        </w:tabs>
        <w:ind w:left="1134" w:hanging="425"/>
        <w:jc w:val="both"/>
        <w:rPr>
          <w:rFonts w:cs="Arial"/>
          <w:sz w:val="20"/>
          <w:szCs w:val="20"/>
        </w:rPr>
      </w:pPr>
      <w:r w:rsidRPr="00291971">
        <w:rPr>
          <w:rFonts w:cs="Arial"/>
          <w:sz w:val="20"/>
          <w:szCs w:val="20"/>
        </w:rPr>
        <w:t>-</w:t>
      </w:r>
      <w:r w:rsidRPr="00291971">
        <w:rPr>
          <w:rFonts w:cs="Arial"/>
          <w:sz w:val="20"/>
          <w:szCs w:val="20"/>
        </w:rPr>
        <w:tab/>
        <w:t>odcizené zařízení bylo v době vzniku škody umístěno v zavazadlovém prostoru a nebylo zvnějšku viditelné, nebo bylo umístěno v uzamčené příruční schránce vozidla,</w:t>
      </w:r>
    </w:p>
    <w:p w:rsidR="00291971" w:rsidRPr="00291971" w:rsidRDefault="00291971" w:rsidP="00291971">
      <w:pPr>
        <w:tabs>
          <w:tab w:val="left" w:pos="-1418"/>
          <w:tab w:val="left" w:pos="1134"/>
        </w:tabs>
        <w:ind w:left="1134" w:hanging="425"/>
        <w:jc w:val="both"/>
        <w:rPr>
          <w:rFonts w:cs="Arial"/>
          <w:sz w:val="20"/>
          <w:szCs w:val="20"/>
        </w:rPr>
      </w:pPr>
      <w:r w:rsidRPr="00291971">
        <w:rPr>
          <w:rFonts w:cs="Arial"/>
          <w:sz w:val="20"/>
          <w:szCs w:val="20"/>
        </w:rPr>
        <w:t>-</w:t>
      </w:r>
      <w:r w:rsidRPr="00291971">
        <w:rPr>
          <w:rFonts w:cs="Arial"/>
          <w:sz w:val="20"/>
          <w:szCs w:val="20"/>
        </w:rPr>
        <w:tab/>
        <w:t>škoda vznikla prokazatelně v době od 6.00 do 22.00 hod.; ustanovení tohoto písmene neplatí, pokud bylo motorové vozidlo odstaveno v uzamčené garáži nebo na hlídaném parkovišti.</w:t>
      </w:r>
    </w:p>
    <w:p w:rsidR="00291971" w:rsidRPr="00291971" w:rsidRDefault="00291971" w:rsidP="00291971">
      <w:pPr>
        <w:numPr>
          <w:ilvl w:val="0"/>
          <w:numId w:val="29"/>
        </w:numPr>
        <w:tabs>
          <w:tab w:val="left" w:pos="-1418"/>
        </w:tabs>
        <w:spacing w:before="60"/>
        <w:ind w:hanging="295"/>
        <w:jc w:val="both"/>
        <w:rPr>
          <w:rFonts w:cs="Arial"/>
          <w:sz w:val="20"/>
          <w:szCs w:val="20"/>
        </w:rPr>
      </w:pPr>
      <w:r w:rsidRPr="00291971">
        <w:rPr>
          <w:rFonts w:cs="Arial"/>
          <w:sz w:val="20"/>
          <w:szCs w:val="20"/>
        </w:rPr>
        <w:t xml:space="preserve">z pojištění </w:t>
      </w:r>
      <w:r w:rsidRPr="00291971">
        <w:rPr>
          <w:sz w:val="20"/>
          <w:szCs w:val="20"/>
        </w:rPr>
        <w:t>věcí umístěných na volném prostranství mimo uzavřený prostor</w:t>
      </w:r>
      <w:r w:rsidRPr="00291971">
        <w:rPr>
          <w:rFonts w:cs="Arial"/>
          <w:sz w:val="20"/>
          <w:szCs w:val="20"/>
        </w:rPr>
        <w:t xml:space="preserve"> vzniká právo na pojistné plnění, jestliže se pachatel pojištěné věci zmocnil dále uvedeným způsobem: </w:t>
      </w:r>
    </w:p>
    <w:p w:rsidR="00291971" w:rsidRPr="00291971" w:rsidRDefault="00291971" w:rsidP="00291971">
      <w:pPr>
        <w:tabs>
          <w:tab w:val="left" w:pos="-1418"/>
          <w:tab w:val="left" w:pos="1134"/>
        </w:tabs>
        <w:spacing w:before="40"/>
        <w:ind w:left="1134" w:hanging="425"/>
        <w:jc w:val="both"/>
        <w:rPr>
          <w:rFonts w:cs="Arial"/>
          <w:sz w:val="20"/>
          <w:szCs w:val="20"/>
        </w:rPr>
      </w:pPr>
      <w:r w:rsidRPr="00291971">
        <w:rPr>
          <w:rFonts w:cs="Arial"/>
          <w:sz w:val="20"/>
          <w:szCs w:val="20"/>
        </w:rPr>
        <w:t>-</w:t>
      </w:r>
      <w:r w:rsidRPr="00291971">
        <w:rPr>
          <w:rFonts w:cs="Arial"/>
          <w:sz w:val="20"/>
          <w:szCs w:val="20"/>
        </w:rPr>
        <w:tab/>
        <w:t>pachatel překonal konstrukční upevnění věci, nebo</w:t>
      </w:r>
    </w:p>
    <w:p w:rsidR="00291971" w:rsidRPr="00291971" w:rsidRDefault="00291971" w:rsidP="00291971">
      <w:pPr>
        <w:tabs>
          <w:tab w:val="left" w:pos="-1418"/>
          <w:tab w:val="left" w:pos="1134"/>
        </w:tabs>
        <w:ind w:left="1134" w:hanging="425"/>
        <w:jc w:val="both"/>
        <w:rPr>
          <w:rFonts w:cs="Arial"/>
          <w:sz w:val="20"/>
          <w:szCs w:val="20"/>
        </w:rPr>
      </w:pPr>
      <w:r w:rsidRPr="00291971">
        <w:rPr>
          <w:rFonts w:cs="Arial"/>
          <w:sz w:val="20"/>
          <w:szCs w:val="20"/>
        </w:rPr>
        <w:lastRenderedPageBreak/>
        <w:t>-</w:t>
      </w:r>
      <w:r w:rsidRPr="00291971">
        <w:rPr>
          <w:rFonts w:cs="Arial"/>
          <w:sz w:val="20"/>
          <w:szCs w:val="20"/>
        </w:rPr>
        <w:tab/>
        <w:t>pachatel se pojištěné věci zmocnil pomocí nástroje nebo nástrojů, nebo</w:t>
      </w:r>
    </w:p>
    <w:p w:rsidR="00291971" w:rsidRPr="00291971" w:rsidRDefault="00291971" w:rsidP="00291971">
      <w:pPr>
        <w:tabs>
          <w:tab w:val="left" w:pos="-1418"/>
          <w:tab w:val="left" w:pos="1134"/>
        </w:tabs>
        <w:ind w:left="1134" w:hanging="425"/>
        <w:jc w:val="both"/>
        <w:rPr>
          <w:rFonts w:cs="Arial"/>
          <w:sz w:val="20"/>
          <w:szCs w:val="20"/>
        </w:rPr>
      </w:pPr>
      <w:r w:rsidRPr="00291971">
        <w:rPr>
          <w:rFonts w:cs="Arial"/>
          <w:sz w:val="20"/>
          <w:szCs w:val="20"/>
        </w:rPr>
        <w:t>-</w:t>
      </w:r>
      <w:r w:rsidRPr="00291971">
        <w:rPr>
          <w:rFonts w:cs="Arial"/>
          <w:sz w:val="20"/>
          <w:szCs w:val="20"/>
        </w:rPr>
        <w:tab/>
        <w:t>pachatel se zmocnil pojištěné věci z místa, které bylo opatřeno funkčním oplocením a</w:t>
      </w:r>
      <w:r w:rsidR="00401ABE">
        <w:rPr>
          <w:rFonts w:cs="Arial"/>
          <w:sz w:val="20"/>
          <w:szCs w:val="20"/>
        </w:rPr>
        <w:t> </w:t>
      </w:r>
      <w:r w:rsidRPr="00291971">
        <w:rPr>
          <w:rFonts w:cs="Arial"/>
          <w:sz w:val="20"/>
          <w:szCs w:val="20"/>
        </w:rPr>
        <w:t>uzamčenými vraty.</w:t>
      </w:r>
    </w:p>
    <w:p w:rsidR="00291971" w:rsidRDefault="00291971" w:rsidP="00291971">
      <w:pPr>
        <w:numPr>
          <w:ilvl w:val="0"/>
          <w:numId w:val="15"/>
        </w:numPr>
        <w:tabs>
          <w:tab w:val="left" w:pos="-1418"/>
        </w:tabs>
        <w:spacing w:before="120"/>
        <w:jc w:val="both"/>
        <w:rPr>
          <w:rFonts w:cs="Arial"/>
          <w:sz w:val="20"/>
          <w:szCs w:val="20"/>
        </w:rPr>
      </w:pPr>
      <w:r w:rsidRPr="00291971">
        <w:rPr>
          <w:rFonts w:cs="Arial"/>
          <w:sz w:val="20"/>
          <w:szCs w:val="20"/>
        </w:rPr>
        <w:t>Pojištění zahrnuje do výše pojistné částky, resp. sjednaného limitu plnění, i náklady na odstranění škod na stavebních součástech, které vznikly v důsledku odcizení.</w:t>
      </w:r>
    </w:p>
    <w:p w:rsidR="00575E82" w:rsidRPr="00061A8D" w:rsidRDefault="00575E82" w:rsidP="00575E82">
      <w:pPr>
        <w:numPr>
          <w:ilvl w:val="0"/>
          <w:numId w:val="15"/>
        </w:numPr>
        <w:tabs>
          <w:tab w:val="left" w:pos="-1418"/>
        </w:tabs>
        <w:spacing w:before="120"/>
        <w:jc w:val="both"/>
        <w:rPr>
          <w:rFonts w:cs="Arial"/>
          <w:sz w:val="20"/>
          <w:szCs w:val="20"/>
        </w:rPr>
      </w:pPr>
      <w:r w:rsidRPr="00061A8D">
        <w:rPr>
          <w:rFonts w:cs="Arial"/>
          <w:sz w:val="20"/>
          <w:szCs w:val="20"/>
        </w:rPr>
        <w:t>Ujednává se, že se ustanovení části 1. čl. 3 odst. 2) písm. f) ZPP P-700/14 ruší a nově zní:</w:t>
      </w:r>
    </w:p>
    <w:p w:rsidR="00575E82" w:rsidRDefault="00575E82" w:rsidP="00575E82">
      <w:pPr>
        <w:tabs>
          <w:tab w:val="left" w:pos="-1418"/>
        </w:tabs>
        <w:ind w:left="425"/>
        <w:jc w:val="both"/>
        <w:rPr>
          <w:rFonts w:cs="Arial"/>
          <w:sz w:val="20"/>
          <w:szCs w:val="20"/>
        </w:rPr>
      </w:pPr>
      <w:r w:rsidRPr="00061A8D">
        <w:rPr>
          <w:rFonts w:cs="Arial"/>
          <w:sz w:val="20"/>
          <w:szCs w:val="20"/>
        </w:rPr>
        <w:t>„Z pojištění nevzniká právo na plnění pojistitele za škody vzniklé na pojištěné věci během její přepravy jako nákladu.“</w:t>
      </w:r>
    </w:p>
    <w:p w:rsidR="00065239" w:rsidRPr="00061A8D" w:rsidRDefault="00065239" w:rsidP="00065239">
      <w:pPr>
        <w:numPr>
          <w:ilvl w:val="0"/>
          <w:numId w:val="15"/>
        </w:numPr>
        <w:tabs>
          <w:tab w:val="left" w:pos="-1418"/>
        </w:tabs>
        <w:spacing w:before="120"/>
        <w:jc w:val="both"/>
        <w:rPr>
          <w:rFonts w:cs="Arial"/>
          <w:sz w:val="20"/>
          <w:szCs w:val="20"/>
        </w:rPr>
      </w:pPr>
      <w:r w:rsidRPr="00061A8D">
        <w:rPr>
          <w:rFonts w:cs="Arial"/>
          <w:sz w:val="20"/>
          <w:szCs w:val="20"/>
        </w:rPr>
        <w:t>Ujednává se, že se ustanovení čl. 3 odst. 2) písm. h) ZPP P-320/14 ruší a nově zní:</w:t>
      </w:r>
    </w:p>
    <w:p w:rsidR="00065239" w:rsidRDefault="00065239" w:rsidP="00065239">
      <w:pPr>
        <w:ind w:left="426"/>
        <w:jc w:val="both"/>
        <w:rPr>
          <w:rFonts w:cs="Arial"/>
          <w:sz w:val="20"/>
          <w:szCs w:val="20"/>
        </w:rPr>
      </w:pPr>
      <w:r w:rsidRPr="00061A8D">
        <w:rPr>
          <w:rFonts w:cs="Arial"/>
          <w:sz w:val="20"/>
          <w:szCs w:val="20"/>
        </w:rPr>
        <w:t>„Z pojištění nevzniká právo na plnění pojistitele za škody vzniklé na pojištěném zařízení během jeho přepravy jako nákladu.“</w:t>
      </w:r>
    </w:p>
    <w:p w:rsidR="008E10F6" w:rsidRPr="003D52E4" w:rsidRDefault="008E10F6" w:rsidP="008E10F6">
      <w:pPr>
        <w:numPr>
          <w:ilvl w:val="0"/>
          <w:numId w:val="15"/>
        </w:numPr>
        <w:tabs>
          <w:tab w:val="left" w:pos="-1418"/>
        </w:tabs>
        <w:spacing w:before="120"/>
        <w:jc w:val="both"/>
        <w:rPr>
          <w:rFonts w:cs="Arial"/>
          <w:sz w:val="20"/>
          <w:szCs w:val="20"/>
        </w:rPr>
      </w:pPr>
      <w:r w:rsidRPr="003D52E4">
        <w:rPr>
          <w:rFonts w:cs="Arial"/>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065239" w:rsidRPr="00094EE2" w:rsidRDefault="00065239" w:rsidP="00401ABE">
      <w:pPr>
        <w:numPr>
          <w:ilvl w:val="12"/>
          <w:numId w:val="0"/>
        </w:numPr>
        <w:tabs>
          <w:tab w:val="left" w:pos="-1701"/>
        </w:tabs>
        <w:overflowPunct w:val="0"/>
        <w:autoSpaceDE w:val="0"/>
        <w:autoSpaceDN w:val="0"/>
        <w:adjustRightInd w:val="0"/>
        <w:jc w:val="both"/>
        <w:textAlignment w:val="baseline"/>
        <w:rPr>
          <w:rFonts w:cs="Arial"/>
          <w:sz w:val="20"/>
          <w:szCs w:val="20"/>
        </w:rPr>
      </w:pPr>
    </w:p>
    <w:p w:rsidR="00291971" w:rsidRPr="00291971" w:rsidRDefault="00291971" w:rsidP="00595C92">
      <w:pPr>
        <w:keepNext/>
        <w:jc w:val="center"/>
        <w:rPr>
          <w:rFonts w:cs="Arial"/>
          <w:b/>
          <w:bCs/>
          <w:sz w:val="24"/>
        </w:rPr>
      </w:pPr>
      <w:r w:rsidRPr="00291971">
        <w:rPr>
          <w:rFonts w:cs="Arial"/>
          <w:b/>
          <w:bCs/>
          <w:sz w:val="24"/>
        </w:rPr>
        <w:t>Článek VI.</w:t>
      </w:r>
    </w:p>
    <w:p w:rsidR="00291971" w:rsidRPr="00291971" w:rsidRDefault="00291971" w:rsidP="00910169">
      <w:pPr>
        <w:keepNext/>
        <w:jc w:val="center"/>
        <w:rPr>
          <w:b/>
          <w:bCs/>
          <w:sz w:val="24"/>
        </w:rPr>
      </w:pPr>
      <w:r w:rsidRPr="00291971">
        <w:rPr>
          <w:b/>
          <w:bCs/>
          <w:sz w:val="24"/>
        </w:rPr>
        <w:t>Ujednání o soupojištění</w:t>
      </w:r>
    </w:p>
    <w:p w:rsidR="00291971" w:rsidRPr="00065239" w:rsidRDefault="00291971" w:rsidP="00291971">
      <w:pPr>
        <w:numPr>
          <w:ilvl w:val="1"/>
          <w:numId w:val="24"/>
        </w:numPr>
        <w:tabs>
          <w:tab w:val="num" w:pos="426"/>
        </w:tabs>
        <w:spacing w:before="120"/>
        <w:ind w:left="426" w:hanging="426"/>
        <w:jc w:val="both"/>
        <w:rPr>
          <w:rFonts w:cs="Arial"/>
          <w:b/>
          <w:sz w:val="20"/>
          <w:szCs w:val="20"/>
        </w:rPr>
      </w:pPr>
      <w:r w:rsidRPr="00291971">
        <w:rPr>
          <w:rFonts w:cs="Arial"/>
          <w:sz w:val="20"/>
          <w:szCs w:val="20"/>
        </w:rPr>
        <w:t>Na pojištění dle této pojistné smlouvy se podílejí tito pojistitelé:</w:t>
      </w:r>
    </w:p>
    <w:p w:rsidR="00291971" w:rsidRPr="00291971" w:rsidRDefault="00291971" w:rsidP="00291971">
      <w:pPr>
        <w:numPr>
          <w:ilvl w:val="0"/>
          <w:numId w:val="30"/>
        </w:numPr>
        <w:tabs>
          <w:tab w:val="num" w:pos="709"/>
        </w:tabs>
        <w:ind w:left="709" w:hanging="283"/>
        <w:jc w:val="both"/>
        <w:rPr>
          <w:rFonts w:cs="Arial"/>
          <w:sz w:val="20"/>
          <w:szCs w:val="20"/>
        </w:rPr>
      </w:pPr>
      <w:r w:rsidRPr="00291971">
        <w:rPr>
          <w:rFonts w:cs="Arial"/>
          <w:sz w:val="20"/>
          <w:szCs w:val="20"/>
        </w:rPr>
        <w:t xml:space="preserve">Kooperativa pojišťovna, a.s., </w:t>
      </w:r>
      <w:proofErr w:type="spellStart"/>
      <w:r w:rsidRPr="00291971">
        <w:rPr>
          <w:rFonts w:cs="Arial"/>
          <w:sz w:val="20"/>
          <w:szCs w:val="20"/>
        </w:rPr>
        <w:t>Vienna</w:t>
      </w:r>
      <w:proofErr w:type="spellEnd"/>
      <w:r w:rsidRPr="00291971">
        <w:rPr>
          <w:rFonts w:cs="Arial"/>
          <w:sz w:val="20"/>
          <w:szCs w:val="20"/>
        </w:rPr>
        <w:t xml:space="preserve"> </w:t>
      </w:r>
      <w:proofErr w:type="spellStart"/>
      <w:r w:rsidRPr="00291971">
        <w:rPr>
          <w:rFonts w:cs="Arial"/>
          <w:sz w:val="20"/>
          <w:szCs w:val="20"/>
        </w:rPr>
        <w:t>Insurance</w:t>
      </w:r>
      <w:proofErr w:type="spellEnd"/>
      <w:r w:rsidRPr="00291971">
        <w:rPr>
          <w:rFonts w:cs="Arial"/>
          <w:sz w:val="20"/>
          <w:szCs w:val="20"/>
        </w:rPr>
        <w:t xml:space="preserve"> Group, která je vedoucím pojistitelem a přebírá 70 % práv a závazků plynoucích z pojištění (soupojištění) dle této pojistné smlouvy,</w:t>
      </w:r>
    </w:p>
    <w:p w:rsidR="00291971" w:rsidRPr="00291971" w:rsidRDefault="00291971" w:rsidP="00291971">
      <w:pPr>
        <w:numPr>
          <w:ilvl w:val="0"/>
          <w:numId w:val="30"/>
        </w:numPr>
        <w:tabs>
          <w:tab w:val="num" w:pos="709"/>
        </w:tabs>
        <w:suppressAutoHyphens/>
        <w:ind w:left="709" w:hanging="283"/>
        <w:jc w:val="both"/>
        <w:rPr>
          <w:rFonts w:cs="Arial"/>
          <w:sz w:val="20"/>
          <w:szCs w:val="20"/>
        </w:rPr>
      </w:pPr>
      <w:proofErr w:type="spellStart"/>
      <w:r w:rsidRPr="00291971">
        <w:rPr>
          <w:rFonts w:cs="Arial"/>
          <w:snapToGrid w:val="0"/>
          <w:sz w:val="20"/>
          <w:szCs w:val="20"/>
        </w:rPr>
        <w:t>Generali</w:t>
      </w:r>
      <w:proofErr w:type="spellEnd"/>
      <w:r w:rsidRPr="00291971">
        <w:rPr>
          <w:rFonts w:cs="Arial"/>
          <w:snapToGrid w:val="0"/>
          <w:sz w:val="20"/>
          <w:szCs w:val="20"/>
        </w:rPr>
        <w:t xml:space="preserve"> Pojišťovna a.s.,</w:t>
      </w:r>
      <w:r w:rsidRPr="00291971">
        <w:rPr>
          <w:rFonts w:cs="Arial"/>
          <w:sz w:val="20"/>
          <w:szCs w:val="20"/>
        </w:rPr>
        <w:t xml:space="preserve"> která je (</w:t>
      </w:r>
      <w:proofErr w:type="spellStart"/>
      <w:r w:rsidRPr="00291971">
        <w:rPr>
          <w:rFonts w:cs="Arial"/>
          <w:sz w:val="20"/>
          <w:szCs w:val="20"/>
        </w:rPr>
        <w:t>sou</w:t>
      </w:r>
      <w:proofErr w:type="spellEnd"/>
      <w:r w:rsidRPr="00291971">
        <w:rPr>
          <w:rFonts w:cs="Arial"/>
          <w:sz w:val="20"/>
          <w:szCs w:val="20"/>
        </w:rPr>
        <w:t>)pojistitelem a přebírá 15 % práv a závazků plynoucích z pojištění (soupojištění) dle této pojistné smlouvy,</w:t>
      </w:r>
    </w:p>
    <w:p w:rsidR="00291971" w:rsidRPr="00291971" w:rsidRDefault="00291971" w:rsidP="00291971">
      <w:pPr>
        <w:numPr>
          <w:ilvl w:val="0"/>
          <w:numId w:val="30"/>
        </w:numPr>
        <w:tabs>
          <w:tab w:val="num" w:pos="709"/>
        </w:tabs>
        <w:ind w:left="709" w:hanging="283"/>
        <w:jc w:val="both"/>
        <w:rPr>
          <w:rFonts w:cs="Arial"/>
          <w:sz w:val="20"/>
          <w:szCs w:val="20"/>
        </w:rPr>
      </w:pPr>
      <w:r w:rsidRPr="00291971">
        <w:rPr>
          <w:sz w:val="20"/>
          <w:szCs w:val="20"/>
        </w:rPr>
        <w:t>Pojišťovna VZP, a.s.</w:t>
      </w:r>
      <w:r w:rsidRPr="00291971">
        <w:rPr>
          <w:rFonts w:cs="Arial"/>
          <w:sz w:val="20"/>
          <w:szCs w:val="20"/>
        </w:rPr>
        <w:t>, která je (</w:t>
      </w:r>
      <w:proofErr w:type="spellStart"/>
      <w:r w:rsidRPr="00291971">
        <w:rPr>
          <w:rFonts w:cs="Arial"/>
          <w:sz w:val="20"/>
          <w:szCs w:val="20"/>
        </w:rPr>
        <w:t>sou</w:t>
      </w:r>
      <w:proofErr w:type="spellEnd"/>
      <w:r w:rsidRPr="00291971">
        <w:rPr>
          <w:rFonts w:cs="Arial"/>
          <w:sz w:val="20"/>
          <w:szCs w:val="20"/>
        </w:rPr>
        <w:t>)pojistitelem a přebírá 15 % práv a závazků plynoucích z pojištění (soupojištění) dle této pojistné smlouvy.</w:t>
      </w:r>
    </w:p>
    <w:p w:rsidR="00291971" w:rsidRPr="00291971" w:rsidRDefault="00291971" w:rsidP="00291971">
      <w:pPr>
        <w:spacing w:after="120"/>
        <w:ind w:left="426"/>
        <w:jc w:val="both"/>
        <w:rPr>
          <w:rFonts w:cs="Arial"/>
          <w:sz w:val="20"/>
          <w:szCs w:val="20"/>
        </w:rPr>
      </w:pPr>
      <w:r w:rsidRPr="00291971">
        <w:rPr>
          <w:rFonts w:cs="Arial"/>
          <w:sz w:val="20"/>
          <w:szCs w:val="20"/>
        </w:rPr>
        <w:t>Pokud je níže v textu tohoto ujednání o soupojištění užito pojmu pojistitel bez bližší specifikace, rozumí se tím vedoucí pojistitel a/nebo (</w:t>
      </w:r>
      <w:proofErr w:type="spellStart"/>
      <w:r w:rsidRPr="00291971">
        <w:rPr>
          <w:rFonts w:cs="Arial"/>
          <w:sz w:val="20"/>
          <w:szCs w:val="20"/>
        </w:rPr>
        <w:t>sou</w:t>
      </w:r>
      <w:proofErr w:type="spellEnd"/>
      <w:r w:rsidRPr="00291971">
        <w:rPr>
          <w:rFonts w:cs="Arial"/>
          <w:sz w:val="20"/>
          <w:szCs w:val="20"/>
        </w:rPr>
        <w:t>)pojistitel ve smyslu tohoto bodu 1.</w:t>
      </w:r>
    </w:p>
    <w:p w:rsidR="00291971" w:rsidRPr="00065239" w:rsidRDefault="00291971" w:rsidP="00291971">
      <w:pPr>
        <w:numPr>
          <w:ilvl w:val="1"/>
          <w:numId w:val="24"/>
        </w:numPr>
        <w:tabs>
          <w:tab w:val="num" w:pos="426"/>
        </w:tabs>
        <w:spacing w:before="120"/>
        <w:ind w:left="426" w:hanging="426"/>
        <w:jc w:val="both"/>
        <w:rPr>
          <w:rFonts w:cs="Arial"/>
          <w:b/>
          <w:sz w:val="20"/>
          <w:szCs w:val="20"/>
        </w:rPr>
      </w:pPr>
      <w:r w:rsidRPr="00291971">
        <w:rPr>
          <w:rFonts w:cs="Arial"/>
          <w:sz w:val="20"/>
          <w:szCs w:val="20"/>
        </w:rPr>
        <w:t>Pojistitelé se podílejí na právech (zejména právo na pojistné) a závazcích (zejména závazek poskytnout pojistné plnění) plynoucích z pojištění výše uvedeným podílem.</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Žádný z pojistitelů neručí za splnění povinností jiného pojistitele.</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Vedoucí pojistitel:</w:t>
      </w:r>
    </w:p>
    <w:p w:rsidR="00291971" w:rsidRPr="00291971" w:rsidRDefault="00291971" w:rsidP="00291971">
      <w:pPr>
        <w:numPr>
          <w:ilvl w:val="0"/>
          <w:numId w:val="25"/>
        </w:numPr>
        <w:spacing w:before="60"/>
        <w:ind w:hanging="295"/>
        <w:jc w:val="both"/>
        <w:rPr>
          <w:rFonts w:cs="Arial"/>
          <w:sz w:val="20"/>
          <w:szCs w:val="20"/>
        </w:rPr>
      </w:pPr>
      <w:r w:rsidRPr="00291971">
        <w:rPr>
          <w:rFonts w:cs="Arial"/>
          <w:sz w:val="20"/>
          <w:szCs w:val="20"/>
        </w:rPr>
        <w:t>stanovuje po dohodě s ostatními pojistiteli pojistně technické podmínky pojištění, včetně výše pojistného,</w:t>
      </w:r>
    </w:p>
    <w:p w:rsidR="00291971" w:rsidRPr="00291971" w:rsidRDefault="00291971" w:rsidP="00291971">
      <w:pPr>
        <w:numPr>
          <w:ilvl w:val="0"/>
          <w:numId w:val="25"/>
        </w:numPr>
        <w:ind w:hanging="295"/>
        <w:jc w:val="both"/>
        <w:rPr>
          <w:rFonts w:cs="Arial"/>
          <w:sz w:val="20"/>
          <w:szCs w:val="20"/>
        </w:rPr>
      </w:pPr>
      <w:r w:rsidRPr="00291971">
        <w:rPr>
          <w:rFonts w:cs="Arial"/>
          <w:sz w:val="20"/>
          <w:szCs w:val="20"/>
        </w:rPr>
        <w:t>spravuje pojištění jménem všech pojistitelů, zejména přijímá oznámení a projevy vůle pojistníka (pojištěného), přijímá oznámení o vzniku pojistné události, vede šetření nezbytná ke zjištění rozsahu povinnosti všech pojistitelů poskytnout pojistné plnění a pokud není níže uvedeno jinak, přijímá pojistné,</w:t>
      </w:r>
    </w:p>
    <w:p w:rsidR="00291971" w:rsidRPr="00291971" w:rsidRDefault="00291971" w:rsidP="00291971">
      <w:pPr>
        <w:numPr>
          <w:ilvl w:val="0"/>
          <w:numId w:val="25"/>
        </w:numPr>
        <w:ind w:hanging="295"/>
        <w:jc w:val="both"/>
        <w:rPr>
          <w:rFonts w:cs="Arial"/>
          <w:sz w:val="20"/>
          <w:szCs w:val="20"/>
        </w:rPr>
      </w:pPr>
      <w:r w:rsidRPr="00291971">
        <w:rPr>
          <w:rFonts w:cs="Arial"/>
          <w:sz w:val="20"/>
          <w:szCs w:val="20"/>
        </w:rPr>
        <w:t xml:space="preserve">vymáhá dlužné pojistné, uplatňuje postižní právo, realizuje požadavky vyplývající z poznatků pojistitelů o nastalé pojistné události při jejím šetření, pokud není níže uvedeno jinak, </w:t>
      </w:r>
    </w:p>
    <w:p w:rsidR="00291971" w:rsidRPr="00291971" w:rsidRDefault="00291971" w:rsidP="00291971">
      <w:pPr>
        <w:numPr>
          <w:ilvl w:val="0"/>
          <w:numId w:val="25"/>
        </w:numPr>
        <w:ind w:hanging="295"/>
        <w:jc w:val="both"/>
        <w:rPr>
          <w:rFonts w:cs="Arial"/>
          <w:sz w:val="20"/>
          <w:szCs w:val="20"/>
        </w:rPr>
      </w:pPr>
      <w:r w:rsidRPr="00291971">
        <w:rPr>
          <w:rFonts w:cs="Arial"/>
          <w:sz w:val="20"/>
          <w:szCs w:val="20"/>
        </w:rPr>
        <w:t>přijímá oznámení o vinkulaci pojistného plnění (v případech, kdy má být pojistné plnění vinkulováno), vede jejich evidenci a ostatní pojistitele bez zbytečného odkladu o provedení vinkulace pojistného plnění informuje,</w:t>
      </w:r>
    </w:p>
    <w:p w:rsidR="00291971" w:rsidRPr="00291971" w:rsidRDefault="00291971" w:rsidP="00291971">
      <w:pPr>
        <w:numPr>
          <w:ilvl w:val="0"/>
          <w:numId w:val="25"/>
        </w:numPr>
        <w:ind w:hanging="295"/>
        <w:jc w:val="both"/>
        <w:rPr>
          <w:rFonts w:cs="Arial"/>
          <w:sz w:val="20"/>
          <w:szCs w:val="20"/>
        </w:rPr>
      </w:pPr>
      <w:r w:rsidRPr="00291971">
        <w:rPr>
          <w:rFonts w:cs="Arial"/>
          <w:sz w:val="20"/>
          <w:szCs w:val="20"/>
        </w:rPr>
        <w:t>přijímá oznámení a projevy vůle pojistníka ohledně změn rozsahu pojištění a o této skutečnosti bezodkladně informuje ostatní pojistitele. Případnou změnou rozsahu pojištění není dotčen poměr podílů jednotlivých pojistitelů na právech a závazcích plynoucích z pojištění, pokud nebude ujednáno jinak.</w:t>
      </w:r>
      <w:r w:rsidRPr="00291971">
        <w:rPr>
          <w:rFonts w:cs="Arial"/>
          <w:spacing w:val="-2"/>
          <w:sz w:val="20"/>
          <w:szCs w:val="20"/>
        </w:rPr>
        <w:t xml:space="preserve"> Jestliže</w:t>
      </w:r>
      <w:r w:rsidRPr="00291971">
        <w:rPr>
          <w:rFonts w:cs="Arial"/>
          <w:sz w:val="20"/>
          <w:szCs w:val="20"/>
        </w:rPr>
        <w:t xml:space="preserve"> pojistitel návrh na rozšíření pojištění odmítne, je vedoucí pojistitel oprávněn sjednat tomu odpovídající pojištění na vlastní vrub. Pokud návrh na rozšíření pojištění odmítne vedoucí pojistitel, je oprávněn sjednat tomu odpovídající pojištění na vlastní vrub pojistitel,</w:t>
      </w:r>
    </w:p>
    <w:p w:rsidR="00291971" w:rsidRPr="00291971" w:rsidRDefault="00291971" w:rsidP="00291971">
      <w:pPr>
        <w:numPr>
          <w:ilvl w:val="0"/>
          <w:numId w:val="25"/>
        </w:numPr>
        <w:ind w:hanging="295"/>
        <w:jc w:val="both"/>
        <w:rPr>
          <w:rFonts w:cs="Arial"/>
          <w:sz w:val="20"/>
          <w:szCs w:val="20"/>
        </w:rPr>
      </w:pPr>
      <w:r w:rsidRPr="00291971">
        <w:rPr>
          <w:rFonts w:cs="Arial"/>
          <w:sz w:val="20"/>
          <w:szCs w:val="20"/>
        </w:rPr>
        <w:t xml:space="preserve">přijímá další oznámení a činí právní úkony, k nimž je určen v níže uvedených ujednáních, </w:t>
      </w:r>
    </w:p>
    <w:p w:rsidR="00291971" w:rsidRPr="00291971" w:rsidRDefault="00291971" w:rsidP="00291971">
      <w:pPr>
        <w:numPr>
          <w:ilvl w:val="0"/>
          <w:numId w:val="25"/>
        </w:numPr>
        <w:ind w:hanging="295"/>
        <w:jc w:val="both"/>
        <w:rPr>
          <w:rFonts w:cs="Arial"/>
          <w:sz w:val="20"/>
          <w:szCs w:val="20"/>
        </w:rPr>
      </w:pPr>
      <w:r w:rsidRPr="00291971">
        <w:rPr>
          <w:rFonts w:cs="Arial"/>
          <w:sz w:val="20"/>
          <w:szCs w:val="20"/>
        </w:rPr>
        <w:t>předává ostatním pojistitelům bez zbytečného odkladu oznámení a projevy vůle pojistníka (pojištěného).</w:t>
      </w:r>
    </w:p>
    <w:p w:rsid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Veškerá komunikace mezi pojistníkem a pojistiteli bude zajišťována výhradně vedoucím pojistitelem.</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w:t>
      </w:r>
      <w:proofErr w:type="spellStart"/>
      <w:r w:rsidRPr="00291971">
        <w:rPr>
          <w:rFonts w:cs="Arial"/>
          <w:sz w:val="20"/>
          <w:szCs w:val="20"/>
        </w:rPr>
        <w:t>Sou</w:t>
      </w:r>
      <w:proofErr w:type="spellEnd"/>
      <w:r w:rsidRPr="00291971">
        <w:rPr>
          <w:rFonts w:cs="Arial"/>
          <w:sz w:val="20"/>
          <w:szCs w:val="20"/>
        </w:rPr>
        <w:t>)pojistitel:</w:t>
      </w:r>
    </w:p>
    <w:p w:rsidR="00291971" w:rsidRPr="00291971" w:rsidRDefault="00291971" w:rsidP="00291971">
      <w:pPr>
        <w:numPr>
          <w:ilvl w:val="0"/>
          <w:numId w:val="26"/>
        </w:numPr>
        <w:spacing w:before="60"/>
        <w:ind w:hanging="295"/>
        <w:jc w:val="both"/>
        <w:rPr>
          <w:rFonts w:cs="Arial"/>
          <w:sz w:val="20"/>
          <w:szCs w:val="20"/>
        </w:rPr>
      </w:pPr>
      <w:r w:rsidRPr="00291971">
        <w:rPr>
          <w:rFonts w:cs="Arial"/>
          <w:sz w:val="20"/>
          <w:szCs w:val="20"/>
        </w:rPr>
        <w:lastRenderedPageBreak/>
        <w:t>je povinen přijmout oznámení a projevy vůle pojistníka (pojištěného), které mu byly doručeny, a bez zbytečného odkladu je zaslat vedoucímu pojistiteli,</w:t>
      </w:r>
    </w:p>
    <w:p w:rsidR="00291971" w:rsidRPr="00291971" w:rsidRDefault="00291971" w:rsidP="00291971">
      <w:pPr>
        <w:numPr>
          <w:ilvl w:val="0"/>
          <w:numId w:val="26"/>
        </w:numPr>
        <w:ind w:hanging="295"/>
        <w:jc w:val="both"/>
        <w:rPr>
          <w:rFonts w:cs="Arial"/>
          <w:sz w:val="20"/>
          <w:szCs w:val="20"/>
        </w:rPr>
      </w:pPr>
      <w:r w:rsidRPr="00291971">
        <w:rPr>
          <w:rFonts w:cs="Arial"/>
          <w:sz w:val="20"/>
          <w:szCs w:val="20"/>
        </w:rPr>
        <w:t>zaplatí vedoucímu pojistiteli 3,5 % ze svého podílu na pojistném jako úhradu nákladů vedoucího pojistitele vzniklých v souvislosti se správou pojištění (dále jen: „odměna za správu pojištění“).</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Vedoucí pojistitel uhradí (</w:t>
      </w:r>
      <w:proofErr w:type="spellStart"/>
      <w:r w:rsidRPr="00291971">
        <w:rPr>
          <w:rFonts w:cs="Arial"/>
          <w:sz w:val="20"/>
          <w:szCs w:val="20"/>
        </w:rPr>
        <w:t>sou</w:t>
      </w:r>
      <w:proofErr w:type="spellEnd"/>
      <w:r w:rsidRPr="00291971">
        <w:rPr>
          <w:rFonts w:cs="Arial"/>
          <w:sz w:val="20"/>
          <w:szCs w:val="20"/>
        </w:rPr>
        <w:t>)pojistiteli příslušný podíl na pojistném snížený o odměnu za správu pojištění, a to do 30 dnů od zaplacení pojistného na účet vedoucího pojistitele. Převod pojistného bude uskutečněn na účet (</w:t>
      </w:r>
      <w:proofErr w:type="spellStart"/>
      <w:r w:rsidRPr="00291971">
        <w:rPr>
          <w:rFonts w:cs="Arial"/>
          <w:sz w:val="20"/>
          <w:szCs w:val="20"/>
        </w:rPr>
        <w:t>sou</w:t>
      </w:r>
      <w:proofErr w:type="spellEnd"/>
      <w:r w:rsidRPr="00291971">
        <w:rPr>
          <w:rFonts w:cs="Arial"/>
          <w:sz w:val="20"/>
          <w:szCs w:val="20"/>
        </w:rPr>
        <w:t>)pojistitele u peněžního ústavu a pod variabilním symbolem uvedeným v této pojistné smlouvě.</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Jestliže je pojistné inkasováno pojišťovacím makléřem, poukazuje makléř příslušný podíl na pojistném ve lhůtách a způsobem uvedeným ve smlouvě (mandátní apod.) uzavřené s příslušným pojistitelem na účty jednotlivých pojistitelů. Vedoucímu pojistiteli poukazuje makléř příslušný podíl na pojistném spolu s odměnou za správu pojištění. Pojistiteli poukazuje makléř příslušný podíl na pojistném snížený o odměnu za správu pojištění.</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Ujednání předchozích bodů tohoto článku se přiměřeně použijí pro převod pojistného, které bylo vedoucím pojistitelem vymoženo v rámci vymáhání dlužného pojistného (pojistného po splatnosti), pro převod plateb vymožených vedoucím pojistitelem při uplatňování postižního práva, a s výjimkou uvedenou níže i pro veškeré další platby uskutečňované jednotlivými (</w:t>
      </w:r>
      <w:proofErr w:type="spellStart"/>
      <w:r w:rsidRPr="00291971">
        <w:rPr>
          <w:rFonts w:cs="Arial"/>
          <w:sz w:val="20"/>
          <w:szCs w:val="20"/>
        </w:rPr>
        <w:t>sou</w:t>
      </w:r>
      <w:proofErr w:type="spellEnd"/>
      <w:r w:rsidRPr="00291971">
        <w:rPr>
          <w:rFonts w:cs="Arial"/>
          <w:sz w:val="20"/>
          <w:szCs w:val="20"/>
        </w:rPr>
        <w:t>)pojistiteli (např. vrácení tzv. nespotřebovaného pojistného). (</w:t>
      </w:r>
      <w:proofErr w:type="spellStart"/>
      <w:r w:rsidRPr="00291971">
        <w:rPr>
          <w:rFonts w:cs="Arial"/>
          <w:sz w:val="20"/>
          <w:szCs w:val="20"/>
        </w:rPr>
        <w:t>Sou</w:t>
      </w:r>
      <w:proofErr w:type="spellEnd"/>
      <w:r w:rsidRPr="00291971">
        <w:rPr>
          <w:rFonts w:cs="Arial"/>
          <w:sz w:val="20"/>
          <w:szCs w:val="20"/>
        </w:rPr>
        <w:t>)pojistitel je povinen uhradit vedoucímu pojistiteli tyto platby do 30 dnů od výzvy vedoucího pojistitele k jejich zaplacení.</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Pokud  příslušný podíl (</w:t>
      </w:r>
      <w:proofErr w:type="spellStart"/>
      <w:r w:rsidRPr="00291971">
        <w:rPr>
          <w:rFonts w:cs="Arial"/>
          <w:sz w:val="20"/>
          <w:szCs w:val="20"/>
        </w:rPr>
        <w:t>sou</w:t>
      </w:r>
      <w:proofErr w:type="spellEnd"/>
      <w:r w:rsidRPr="00291971">
        <w:rPr>
          <w:rFonts w:cs="Arial"/>
          <w:sz w:val="20"/>
          <w:szCs w:val="20"/>
        </w:rPr>
        <w:t>)pojistitele na pojistném plnění z pojistné události nepřesáhne 1 mil. Kč, vyplatí vedoucí pojistitel pojistné plnění oprávněné osobě v celé výši a vyúčtuje jej (</w:t>
      </w:r>
      <w:proofErr w:type="spellStart"/>
      <w:r w:rsidRPr="00291971">
        <w:rPr>
          <w:rFonts w:cs="Arial"/>
          <w:sz w:val="20"/>
          <w:szCs w:val="20"/>
        </w:rPr>
        <w:t>sou</w:t>
      </w:r>
      <w:proofErr w:type="spellEnd"/>
      <w:r w:rsidRPr="00291971">
        <w:rPr>
          <w:rFonts w:cs="Arial"/>
          <w:sz w:val="20"/>
          <w:szCs w:val="20"/>
        </w:rPr>
        <w:t>)pojistiteli. (</w:t>
      </w:r>
      <w:proofErr w:type="spellStart"/>
      <w:r w:rsidRPr="00291971">
        <w:rPr>
          <w:rFonts w:cs="Arial"/>
          <w:sz w:val="20"/>
          <w:szCs w:val="20"/>
        </w:rPr>
        <w:t>Sou</w:t>
      </w:r>
      <w:proofErr w:type="spellEnd"/>
      <w:r w:rsidRPr="00291971">
        <w:rPr>
          <w:rFonts w:cs="Arial"/>
          <w:sz w:val="20"/>
          <w:szCs w:val="20"/>
        </w:rPr>
        <w:t>)pojistitel je v tomto případě vázán rozhodnutím vedoucího pojistitele (včetně uzavření soudního i mimosoudního smíru) o vyplacení pojistného plnění a jeho výši.</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V případě pojistné události, u níž je z výsledků zahájeného šetření zřejmé, že příslušný podíl (</w:t>
      </w:r>
      <w:proofErr w:type="spellStart"/>
      <w:r w:rsidRPr="00291971">
        <w:rPr>
          <w:rFonts w:cs="Arial"/>
          <w:sz w:val="20"/>
          <w:szCs w:val="20"/>
        </w:rPr>
        <w:t>sou</w:t>
      </w:r>
      <w:proofErr w:type="spellEnd"/>
      <w:r w:rsidRPr="00291971">
        <w:rPr>
          <w:rFonts w:cs="Arial"/>
          <w:sz w:val="20"/>
          <w:szCs w:val="20"/>
        </w:rPr>
        <w:t>)pojistitele na pojistném plnění přesáhne 1 mil. Kč, přizve vedoucí pojistitel tohoto (</w:t>
      </w:r>
      <w:proofErr w:type="spellStart"/>
      <w:r w:rsidRPr="00291971">
        <w:rPr>
          <w:rFonts w:cs="Arial"/>
          <w:sz w:val="20"/>
          <w:szCs w:val="20"/>
        </w:rPr>
        <w:t>sou</w:t>
      </w:r>
      <w:proofErr w:type="spellEnd"/>
      <w:r w:rsidRPr="00291971">
        <w:rPr>
          <w:rFonts w:cs="Arial"/>
          <w:sz w:val="20"/>
          <w:szCs w:val="20"/>
        </w:rPr>
        <w:t>)pojistitele k šetření pojistné události. Vedoucí pojistitel vyplatí pojistné plnění oprávněné osobě v celé výši po skončení šetření, jemuž předchází písemný souhlas všech takových (</w:t>
      </w:r>
      <w:proofErr w:type="spellStart"/>
      <w:r w:rsidRPr="00291971">
        <w:rPr>
          <w:rFonts w:cs="Arial"/>
          <w:sz w:val="20"/>
          <w:szCs w:val="20"/>
        </w:rPr>
        <w:t>sou</w:t>
      </w:r>
      <w:proofErr w:type="spellEnd"/>
      <w:r w:rsidRPr="00291971">
        <w:rPr>
          <w:rFonts w:cs="Arial"/>
          <w:sz w:val="20"/>
          <w:szCs w:val="20"/>
        </w:rPr>
        <w:t>)pojistitelů s rozsahem jejich povinnosti plnit; pokud se však takový (</w:t>
      </w:r>
      <w:proofErr w:type="spellStart"/>
      <w:r w:rsidRPr="00291971">
        <w:rPr>
          <w:rFonts w:cs="Arial"/>
          <w:sz w:val="20"/>
          <w:szCs w:val="20"/>
        </w:rPr>
        <w:t>sou</w:t>
      </w:r>
      <w:proofErr w:type="spellEnd"/>
      <w:r w:rsidRPr="00291971">
        <w:rPr>
          <w:rFonts w:cs="Arial"/>
          <w:sz w:val="20"/>
          <w:szCs w:val="20"/>
        </w:rPr>
        <w:t>)pojistitel šetření pojistné události ne(z)účastní, přestože k němu byl přizván, není jeho souhlasu třeba a tento (</w:t>
      </w:r>
      <w:proofErr w:type="spellStart"/>
      <w:r w:rsidRPr="00291971">
        <w:rPr>
          <w:rFonts w:cs="Arial"/>
          <w:sz w:val="20"/>
          <w:szCs w:val="20"/>
        </w:rPr>
        <w:t>sou</w:t>
      </w:r>
      <w:proofErr w:type="spellEnd"/>
      <w:r w:rsidRPr="00291971">
        <w:rPr>
          <w:rFonts w:cs="Arial"/>
          <w:sz w:val="20"/>
          <w:szCs w:val="20"/>
        </w:rPr>
        <w:t>)pojistitel je vázán rozhodnutím vedoucího pojistitele v této věci (včetně uzavření soudního i mimosoudního smíru).</w:t>
      </w:r>
    </w:p>
    <w:p w:rsidR="00291971" w:rsidRPr="00291971" w:rsidRDefault="00291971" w:rsidP="00291971">
      <w:pPr>
        <w:spacing w:before="60"/>
        <w:ind w:left="426"/>
        <w:jc w:val="both"/>
        <w:rPr>
          <w:rFonts w:cs="Arial"/>
          <w:sz w:val="20"/>
          <w:szCs w:val="20"/>
        </w:rPr>
      </w:pPr>
      <w:r w:rsidRPr="00291971">
        <w:rPr>
          <w:rFonts w:cs="Arial"/>
          <w:sz w:val="20"/>
          <w:szCs w:val="20"/>
        </w:rPr>
        <w:t>(</w:t>
      </w:r>
      <w:proofErr w:type="spellStart"/>
      <w:r w:rsidRPr="00291971">
        <w:rPr>
          <w:rFonts w:cs="Arial"/>
          <w:sz w:val="20"/>
          <w:szCs w:val="20"/>
        </w:rPr>
        <w:t>Sou</w:t>
      </w:r>
      <w:proofErr w:type="spellEnd"/>
      <w:r w:rsidRPr="00291971">
        <w:rPr>
          <w:rFonts w:cs="Arial"/>
          <w:sz w:val="20"/>
          <w:szCs w:val="20"/>
        </w:rPr>
        <w:t>)pojistitel je povinen:</w:t>
      </w:r>
    </w:p>
    <w:p w:rsidR="00291971" w:rsidRPr="00291971" w:rsidRDefault="00291971" w:rsidP="00291971">
      <w:pPr>
        <w:numPr>
          <w:ilvl w:val="0"/>
          <w:numId w:val="28"/>
        </w:numPr>
        <w:spacing w:before="60"/>
        <w:ind w:hanging="295"/>
        <w:jc w:val="both"/>
        <w:rPr>
          <w:rFonts w:cs="Arial"/>
          <w:b/>
          <w:sz w:val="20"/>
          <w:szCs w:val="20"/>
        </w:rPr>
      </w:pPr>
      <w:r w:rsidRPr="00291971">
        <w:rPr>
          <w:rFonts w:cs="Arial"/>
          <w:sz w:val="20"/>
          <w:szCs w:val="20"/>
        </w:rPr>
        <w:t>vyjádřit se ke své povinnosti uhradit pojistné plnění do 10 dnů od výzvy vedoucího pojistitele, v opačném případě se má zato, že s rozsahem povinnosti plnit souhlasí,</w:t>
      </w:r>
    </w:p>
    <w:p w:rsidR="00291971" w:rsidRPr="00291971" w:rsidRDefault="00291971" w:rsidP="00291971">
      <w:pPr>
        <w:numPr>
          <w:ilvl w:val="0"/>
          <w:numId w:val="28"/>
        </w:numPr>
        <w:ind w:hanging="295"/>
        <w:jc w:val="both"/>
        <w:rPr>
          <w:rFonts w:cs="Arial"/>
          <w:b/>
          <w:sz w:val="20"/>
          <w:szCs w:val="20"/>
        </w:rPr>
      </w:pPr>
      <w:r w:rsidRPr="00291971">
        <w:rPr>
          <w:rFonts w:cs="Arial"/>
          <w:sz w:val="20"/>
          <w:szCs w:val="20"/>
        </w:rPr>
        <w:t>uhradit vedoucímu pojistiteli svůj podíl na pojistném plnění do 10 dnů od výzvy vedoucího pojistitele k jeho zaplacení, kterou lze učinit až po skončení šetření,</w:t>
      </w:r>
    </w:p>
    <w:p w:rsidR="00291971" w:rsidRPr="00291971" w:rsidRDefault="00291971" w:rsidP="00291971">
      <w:pPr>
        <w:numPr>
          <w:ilvl w:val="0"/>
          <w:numId w:val="28"/>
        </w:numPr>
        <w:ind w:hanging="295"/>
        <w:jc w:val="both"/>
        <w:rPr>
          <w:rFonts w:cs="Arial"/>
          <w:b/>
          <w:sz w:val="20"/>
          <w:szCs w:val="20"/>
        </w:rPr>
      </w:pPr>
      <w:r w:rsidRPr="00291971">
        <w:rPr>
          <w:rFonts w:cs="Arial"/>
          <w:sz w:val="20"/>
          <w:szCs w:val="20"/>
        </w:rPr>
        <w:t>v případě, že je poskytována záloha na pojistné plnění, uhradit vedoucímu pojistiteli svůj podíl na této záloze do 10 dnů od výzvy vedoucího pojistitele k jeho zaplacení.</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Vedoucí pojistitel je oprávněn v souladu s platnými právními předpisy, příslušnými pojistnými podmínkami a smluvními ujednáními této pojistné smlouvy vypovědět pojištění sjednané touto pojistnou smlouvou. O tomto svém záměru předem písemně informuje ostatní (</w:t>
      </w:r>
      <w:proofErr w:type="spellStart"/>
      <w:r w:rsidRPr="00291971">
        <w:rPr>
          <w:rFonts w:cs="Arial"/>
          <w:sz w:val="20"/>
          <w:szCs w:val="20"/>
        </w:rPr>
        <w:t>sou</w:t>
      </w:r>
      <w:proofErr w:type="spellEnd"/>
      <w:r w:rsidRPr="00291971">
        <w:rPr>
          <w:rFonts w:cs="Arial"/>
          <w:sz w:val="20"/>
          <w:szCs w:val="20"/>
        </w:rPr>
        <w:t>)pojistitele, kteří jsou v takovém případě vázáni rozhodnutím vedoucího pojistitele a k výpovědi pojištění se připojí.</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w:t>
      </w:r>
      <w:proofErr w:type="spellStart"/>
      <w:r w:rsidRPr="00291971">
        <w:rPr>
          <w:rFonts w:cs="Arial"/>
          <w:sz w:val="20"/>
          <w:szCs w:val="20"/>
        </w:rPr>
        <w:t>Sou</w:t>
      </w:r>
      <w:proofErr w:type="spellEnd"/>
      <w:r w:rsidRPr="00291971">
        <w:rPr>
          <w:rFonts w:cs="Arial"/>
          <w:sz w:val="20"/>
          <w:szCs w:val="20"/>
        </w:rPr>
        <w:t>)pojistitel je oprávněn v souladu s platnými právními předpisy, příslušnými pojistnými podmínkami a smluvními ujednáními této pojistné smlouvy vypovědět svůj podíl na právech a závazcích plynoucích z pojištění dle této pojistné smlouvy. O tomto svém záměru předem písemně informuje vedoucího pojistitele, který povede příslušná jednání k nalezení řešení (např. vstup nového pojistitele do práv a závazků plynoucích ze </w:t>
      </w:r>
      <w:proofErr w:type="gramStart"/>
      <w:r w:rsidRPr="00291971">
        <w:rPr>
          <w:rFonts w:cs="Arial"/>
          <w:sz w:val="20"/>
          <w:szCs w:val="20"/>
        </w:rPr>
        <w:t>pojištění,</w:t>
      </w:r>
      <w:proofErr w:type="gramEnd"/>
      <w:r w:rsidRPr="00291971">
        <w:rPr>
          <w:rFonts w:cs="Arial"/>
          <w:sz w:val="20"/>
          <w:szCs w:val="20"/>
        </w:rPr>
        <w:t xml:space="preserve"> apod.).</w:t>
      </w:r>
    </w:p>
    <w:p w:rsidR="00291971" w:rsidRPr="00291971" w:rsidRDefault="00291971" w:rsidP="00291971">
      <w:pPr>
        <w:numPr>
          <w:ilvl w:val="1"/>
          <w:numId w:val="24"/>
        </w:numPr>
        <w:tabs>
          <w:tab w:val="num" w:pos="426"/>
        </w:tabs>
        <w:spacing w:before="120"/>
        <w:ind w:left="426" w:hanging="426"/>
        <w:jc w:val="both"/>
        <w:rPr>
          <w:rFonts w:cs="Arial"/>
          <w:sz w:val="20"/>
          <w:szCs w:val="20"/>
        </w:rPr>
      </w:pPr>
      <w:r w:rsidRPr="00291971">
        <w:rPr>
          <w:rFonts w:cs="Arial"/>
          <w:sz w:val="20"/>
          <w:szCs w:val="20"/>
        </w:rPr>
        <w:t>Závazky vzniklé z pojištění dle této pojistné smlouvy se vypořádají:</w:t>
      </w:r>
    </w:p>
    <w:p w:rsidR="00291971" w:rsidRPr="00291971" w:rsidRDefault="00291971" w:rsidP="00291971">
      <w:pPr>
        <w:numPr>
          <w:ilvl w:val="0"/>
          <w:numId w:val="27"/>
        </w:numPr>
        <w:spacing w:before="60"/>
        <w:ind w:hanging="295"/>
        <w:jc w:val="both"/>
        <w:rPr>
          <w:rFonts w:cs="Arial"/>
          <w:bCs/>
          <w:sz w:val="20"/>
          <w:szCs w:val="20"/>
        </w:rPr>
      </w:pPr>
      <w:r w:rsidRPr="00291971">
        <w:rPr>
          <w:rFonts w:cs="Arial"/>
          <w:bCs/>
          <w:sz w:val="20"/>
          <w:szCs w:val="20"/>
        </w:rPr>
        <w:t>ke dni zániku účinnosti pojištění dle této pojistné smlouvy,</w:t>
      </w:r>
    </w:p>
    <w:p w:rsidR="00291971" w:rsidRPr="00291971" w:rsidRDefault="00291971" w:rsidP="00291971">
      <w:pPr>
        <w:numPr>
          <w:ilvl w:val="0"/>
          <w:numId w:val="27"/>
        </w:numPr>
        <w:spacing w:before="60"/>
        <w:ind w:hanging="295"/>
        <w:jc w:val="both"/>
        <w:rPr>
          <w:rFonts w:cs="Arial"/>
          <w:bCs/>
          <w:sz w:val="20"/>
          <w:szCs w:val="20"/>
        </w:rPr>
      </w:pPr>
      <w:r w:rsidRPr="00291971">
        <w:rPr>
          <w:rFonts w:cs="Arial"/>
          <w:bCs/>
          <w:sz w:val="20"/>
          <w:szCs w:val="20"/>
        </w:rPr>
        <w:t>ke dni zániku účasti pojistitele na pojištění dle této pojistné smlouvy.</w:t>
      </w:r>
    </w:p>
    <w:p w:rsidR="00291971" w:rsidRPr="00291971" w:rsidRDefault="00291971" w:rsidP="00291971">
      <w:pPr>
        <w:spacing w:before="60"/>
        <w:ind w:left="426"/>
        <w:jc w:val="both"/>
        <w:rPr>
          <w:rFonts w:cs="Arial"/>
          <w:bCs/>
          <w:sz w:val="20"/>
          <w:szCs w:val="20"/>
        </w:rPr>
      </w:pPr>
      <w:r w:rsidRPr="00291971">
        <w:rPr>
          <w:rFonts w:cs="Arial"/>
          <w:bCs/>
          <w:sz w:val="20"/>
          <w:szCs w:val="20"/>
        </w:rPr>
        <w:t>Vždy však platí, že při vypořádání těchto závazků se zohledňují i rezervy na již nahlášené, ale dosud neuhrazené škody. V případě uplatnění oprávněného nároku na plnění z pojištění dle této pojistné smlouvy po zániku jeho účinnosti, jsou ostatní pojistitelé povinni se na pojistném plnění podílet ve výši odpovídající jejich účasti na tomto pojištění.</w:t>
      </w:r>
    </w:p>
    <w:p w:rsidR="00B653FD" w:rsidRPr="00595C92" w:rsidRDefault="000A7B53" w:rsidP="00595C92">
      <w:pPr>
        <w:keepNext/>
        <w:jc w:val="center"/>
        <w:rPr>
          <w:rFonts w:cs="Arial"/>
          <w:b/>
          <w:bCs/>
          <w:sz w:val="24"/>
        </w:rPr>
      </w:pPr>
      <w:r w:rsidRPr="00595C92">
        <w:rPr>
          <w:rFonts w:cs="Arial"/>
          <w:b/>
          <w:bCs/>
          <w:sz w:val="24"/>
        </w:rPr>
        <w:lastRenderedPageBreak/>
        <w:t>Článek V</w:t>
      </w:r>
      <w:r w:rsidR="00EC7140" w:rsidRPr="00595C92">
        <w:rPr>
          <w:rFonts w:cs="Arial"/>
          <w:b/>
          <w:bCs/>
          <w:sz w:val="24"/>
        </w:rPr>
        <w:t>I</w:t>
      </w:r>
      <w:r w:rsidRPr="00595C92">
        <w:rPr>
          <w:rFonts w:cs="Arial"/>
          <w:b/>
          <w:bCs/>
          <w:sz w:val="24"/>
        </w:rPr>
        <w:t>I.</w:t>
      </w:r>
    </w:p>
    <w:p w:rsidR="000A7B53" w:rsidRPr="00BA1EB0" w:rsidRDefault="00BA1EB0" w:rsidP="00BA1EB0">
      <w:pPr>
        <w:keepNext/>
        <w:jc w:val="center"/>
        <w:rPr>
          <w:b/>
          <w:bCs/>
          <w:sz w:val="24"/>
        </w:rPr>
      </w:pPr>
      <w:r w:rsidRPr="00BA1EB0">
        <w:rPr>
          <w:b/>
          <w:bCs/>
          <w:sz w:val="24"/>
        </w:rPr>
        <w:t>Prohlášení pojistníka, registr smluv, zpracování osobních údajů</w:t>
      </w:r>
    </w:p>
    <w:p w:rsidR="00062571" w:rsidRPr="00062571" w:rsidRDefault="00062571" w:rsidP="00062571">
      <w:pPr>
        <w:keepNext/>
        <w:numPr>
          <w:ilvl w:val="0"/>
          <w:numId w:val="34"/>
        </w:numPr>
        <w:spacing w:before="120" w:after="120"/>
        <w:jc w:val="both"/>
        <w:rPr>
          <w:sz w:val="20"/>
        </w:rPr>
      </w:pPr>
      <w:r w:rsidRPr="00062571">
        <w:rPr>
          <w:b/>
          <w:sz w:val="20"/>
        </w:rPr>
        <w:t>Prohlášení pojistníka</w:t>
      </w:r>
    </w:p>
    <w:p w:rsidR="00062571" w:rsidRPr="00062571" w:rsidRDefault="00062571" w:rsidP="00062571">
      <w:pPr>
        <w:numPr>
          <w:ilvl w:val="1"/>
          <w:numId w:val="34"/>
        </w:numPr>
        <w:spacing w:before="120" w:after="120"/>
        <w:jc w:val="both"/>
        <w:rPr>
          <w:sz w:val="20"/>
        </w:rPr>
      </w:pPr>
      <w:r w:rsidRPr="00062571">
        <w:rPr>
          <w:sz w:val="20"/>
        </w:rPr>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062571" w:rsidRPr="00062571" w:rsidRDefault="00062571" w:rsidP="00062571">
      <w:pPr>
        <w:numPr>
          <w:ilvl w:val="1"/>
          <w:numId w:val="34"/>
        </w:numPr>
        <w:spacing w:before="120" w:after="120"/>
        <w:jc w:val="both"/>
        <w:rPr>
          <w:sz w:val="20"/>
        </w:rPr>
      </w:pPr>
      <w:r w:rsidRPr="00062571">
        <w:rPr>
          <w:sz w:val="20"/>
        </w:rPr>
        <w:t>Pojistník potvrzuje, že před uzavřením tohoto dodatku mu byly oznámeny informace v souladu s ustanovením § 2760 občanského zákoníku.</w:t>
      </w:r>
    </w:p>
    <w:p w:rsidR="00062571" w:rsidRPr="00062571" w:rsidRDefault="00062571" w:rsidP="00062571">
      <w:pPr>
        <w:numPr>
          <w:ilvl w:val="1"/>
          <w:numId w:val="34"/>
        </w:numPr>
        <w:spacing w:before="120" w:after="120"/>
        <w:jc w:val="both"/>
        <w:rPr>
          <w:sz w:val="20"/>
        </w:rPr>
      </w:pPr>
      <w:r w:rsidRPr="00062571">
        <w:rPr>
          <w:sz w:val="20"/>
        </w:rPr>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062571" w:rsidRPr="00062571" w:rsidRDefault="00062571" w:rsidP="00062571">
      <w:pPr>
        <w:numPr>
          <w:ilvl w:val="1"/>
          <w:numId w:val="34"/>
        </w:numPr>
        <w:spacing w:before="120" w:after="120"/>
        <w:jc w:val="both"/>
        <w:rPr>
          <w:sz w:val="20"/>
        </w:rPr>
      </w:pPr>
      <w:r w:rsidRPr="00062571">
        <w:rPr>
          <w:sz w:val="20"/>
        </w:rPr>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062571" w:rsidRPr="00062571" w:rsidRDefault="00062571" w:rsidP="00062571">
      <w:pPr>
        <w:numPr>
          <w:ilvl w:val="1"/>
          <w:numId w:val="34"/>
        </w:numPr>
        <w:spacing w:before="120" w:after="120"/>
        <w:ind w:left="426"/>
        <w:jc w:val="both"/>
        <w:rPr>
          <w:sz w:val="20"/>
        </w:rPr>
      </w:pPr>
      <w:r w:rsidRPr="00062571">
        <w:rPr>
          <w:sz w:val="20"/>
        </w:rPr>
        <w:t>Pojistník prohlašuje, že má oprávněnou potřebu ochrany před následky pojistné události (pojistný zájem). Pojistník, je-li osobou odlišnou od pojištěného, dále prohlašuje, že mu pojištění dali souhlas k pojištění.</w:t>
      </w:r>
    </w:p>
    <w:p w:rsidR="00062571" w:rsidRPr="00062571" w:rsidRDefault="00062571" w:rsidP="00062571">
      <w:pPr>
        <w:numPr>
          <w:ilvl w:val="1"/>
          <w:numId w:val="34"/>
        </w:numPr>
        <w:spacing w:before="120" w:after="120"/>
        <w:jc w:val="both"/>
        <w:rPr>
          <w:sz w:val="20"/>
        </w:rPr>
      </w:pPr>
      <w:r w:rsidRPr="00062571">
        <w:rPr>
          <w:sz w:val="20"/>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062571" w:rsidRPr="00062571" w:rsidRDefault="00062571" w:rsidP="00062571">
      <w:pPr>
        <w:keepNext/>
        <w:numPr>
          <w:ilvl w:val="0"/>
          <w:numId w:val="34"/>
        </w:numPr>
        <w:spacing w:before="120" w:after="120"/>
        <w:jc w:val="both"/>
        <w:rPr>
          <w:sz w:val="20"/>
        </w:rPr>
      </w:pPr>
      <w:r w:rsidRPr="00062571">
        <w:rPr>
          <w:b/>
          <w:sz w:val="20"/>
        </w:rPr>
        <w:t>Registr smluv</w:t>
      </w:r>
    </w:p>
    <w:p w:rsidR="00062571" w:rsidRPr="00062571" w:rsidRDefault="00062571" w:rsidP="00062571">
      <w:pPr>
        <w:numPr>
          <w:ilvl w:val="1"/>
          <w:numId w:val="34"/>
        </w:numPr>
        <w:spacing w:before="120" w:after="120"/>
        <w:jc w:val="both"/>
        <w:rPr>
          <w:sz w:val="20"/>
        </w:rPr>
      </w:pPr>
      <w:r w:rsidRPr="00062571">
        <w:rPr>
          <w:sz w:val="20"/>
        </w:rPr>
        <w:t>Pokud výše uvedená pojistná smlouva, resp. dodatek k pojistné smlouvě (dále jen „</w:t>
      </w:r>
      <w:r w:rsidRPr="00062571">
        <w:rPr>
          <w:b/>
          <w:sz w:val="20"/>
        </w:rPr>
        <w:t>smlouva</w:t>
      </w:r>
      <w:r w:rsidRPr="00062571">
        <w:rPr>
          <w:sz w:val="20"/>
        </w:rPr>
        <w:t>“) podléhá povinnosti uveřejnění v registru smluv (dále jen „</w:t>
      </w:r>
      <w:r w:rsidRPr="00062571">
        <w:rPr>
          <w:b/>
          <w:sz w:val="20"/>
        </w:rPr>
        <w:t>registr</w:t>
      </w:r>
      <w:r w:rsidRPr="00062571">
        <w:rPr>
          <w:sz w:val="20"/>
        </w:rPr>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062571" w:rsidRPr="00062571" w:rsidRDefault="00DC1C13" w:rsidP="00062571">
      <w:pPr>
        <w:spacing w:before="120" w:after="120"/>
        <w:ind w:left="425"/>
        <w:jc w:val="both"/>
        <w:rPr>
          <w:sz w:val="20"/>
        </w:rPr>
      </w:pPr>
      <w:r>
        <w:rPr>
          <w:sz w:val="20"/>
        </w:rPr>
        <w:t>Pojistník je povinen bez</w:t>
      </w:r>
      <w:r w:rsidR="008C699D">
        <w:rPr>
          <w:sz w:val="20"/>
        </w:rPr>
        <w:t>odkladně informovat pojistitele o zaslání tohoto dodatku správci registru smluv zprávou do datové schránky ID:</w:t>
      </w:r>
      <w:r w:rsidR="00062571" w:rsidRPr="00062571">
        <w:rPr>
          <w:sz w:val="20"/>
        </w:rPr>
        <w:t xml:space="preserve"> </w:t>
      </w:r>
      <w:r w:rsidR="00062571" w:rsidRPr="00062571">
        <w:rPr>
          <w:b/>
          <w:sz w:val="20"/>
        </w:rPr>
        <w:t>n6tetn3</w:t>
      </w:r>
      <w:r w:rsidR="00062571" w:rsidRPr="00062571">
        <w:rPr>
          <w:color w:val="000000"/>
          <w:sz w:val="20"/>
        </w:rPr>
        <w:t>.</w:t>
      </w:r>
    </w:p>
    <w:p w:rsidR="00062571" w:rsidRPr="00062571" w:rsidRDefault="00062571" w:rsidP="00062571">
      <w:pPr>
        <w:spacing w:before="120" w:after="120"/>
        <w:ind w:left="425"/>
        <w:jc w:val="both"/>
        <w:rPr>
          <w:sz w:val="20"/>
        </w:rPr>
      </w:pPr>
      <w:r w:rsidRPr="00062571">
        <w:rPr>
          <w:sz w:val="20"/>
        </w:rPr>
        <w:t>Pojistník se dále zavazuje, že před zasláním smlouvy k uveřejnění zajistí znečitelnění neuveřejnitelných informací (např. osobních údajů o fyzických osobách).</w:t>
      </w:r>
    </w:p>
    <w:p w:rsidR="00062571" w:rsidRPr="00062571" w:rsidRDefault="00062571" w:rsidP="00062571">
      <w:pPr>
        <w:spacing w:before="120" w:after="120"/>
        <w:ind w:left="425"/>
        <w:jc w:val="both"/>
        <w:rPr>
          <w:sz w:val="20"/>
        </w:rPr>
      </w:pPr>
      <w:r w:rsidRPr="00062571">
        <w:rPr>
          <w:sz w:val="20"/>
        </w:rPr>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062571" w:rsidRPr="00062571" w:rsidRDefault="00062571" w:rsidP="00062571">
      <w:pPr>
        <w:keepNext/>
        <w:numPr>
          <w:ilvl w:val="0"/>
          <w:numId w:val="34"/>
        </w:numPr>
        <w:spacing w:before="120" w:after="120"/>
        <w:jc w:val="both"/>
        <w:rPr>
          <w:b/>
          <w:caps/>
          <w:sz w:val="20"/>
        </w:rPr>
      </w:pPr>
      <w:r w:rsidRPr="00062571">
        <w:rPr>
          <w:b/>
          <w:caps/>
          <w:sz w:val="20"/>
        </w:rPr>
        <w:t xml:space="preserve">Zpracování </w:t>
      </w:r>
      <w:r w:rsidRPr="00062571">
        <w:rPr>
          <w:b/>
          <w:caps/>
          <w:color w:val="000000"/>
          <w:sz w:val="20"/>
        </w:rPr>
        <w:t>osobních</w:t>
      </w:r>
      <w:r w:rsidRPr="00062571">
        <w:rPr>
          <w:b/>
          <w:caps/>
          <w:sz w:val="20"/>
        </w:rPr>
        <w:t xml:space="preserve"> údajů</w:t>
      </w:r>
    </w:p>
    <w:p w:rsidR="00062571" w:rsidRPr="00062571" w:rsidRDefault="00062571" w:rsidP="00062571">
      <w:pPr>
        <w:spacing w:before="120" w:after="120"/>
        <w:ind w:left="425"/>
        <w:jc w:val="both"/>
        <w:rPr>
          <w:rFonts w:cs="Calibri"/>
          <w:sz w:val="20"/>
          <w:szCs w:val="20"/>
        </w:rPr>
      </w:pPr>
      <w:r w:rsidRPr="00062571">
        <w:rPr>
          <w:color w:val="000000"/>
          <w:sz w:val="20"/>
          <w:szCs w:val="20"/>
        </w:rPr>
        <w:t>V následující části jsou uvedeny základní informace o zpracování Vašich osobních údajů. Tyto informace se na Vás uplatní, pokud jste fyzickou osobou</w:t>
      </w:r>
      <w:r w:rsidRPr="00062571">
        <w:rPr>
          <w:rFonts w:cs="Calibri"/>
          <w:sz w:val="20"/>
        </w:rPr>
        <w:t xml:space="preserve">, a </w:t>
      </w:r>
      <w:r w:rsidRPr="00062571">
        <w:rPr>
          <w:sz w:val="20"/>
        </w:rPr>
        <w:t>to s výjimkou bodu 3.2., který se na Vás uplatní i pokud jste právnickou osobou</w:t>
      </w:r>
      <w:r w:rsidRPr="00062571">
        <w:rPr>
          <w:color w:val="000000"/>
          <w:sz w:val="2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9" w:history="1">
        <w:hyperlink r:id="rId10" w:history="1">
          <w:r w:rsidRPr="00062571">
            <w:rPr>
              <w:rFonts w:cs="Calibri"/>
              <w:color w:val="0000FF" w:themeColor="hyperlink"/>
              <w:sz w:val="20"/>
              <w:u w:val="single"/>
            </w:rPr>
            <w:t>www.koop.cz</w:t>
          </w:r>
        </w:hyperlink>
      </w:hyperlink>
      <w:r w:rsidRPr="00062571">
        <w:rPr>
          <w:color w:val="000000"/>
          <w:sz w:val="20"/>
          <w:szCs w:val="20"/>
        </w:rPr>
        <w:t xml:space="preserve"> v sekci „O pojišťovně Kooperativa“.</w:t>
      </w:r>
    </w:p>
    <w:p w:rsidR="00062571" w:rsidRPr="00062571" w:rsidRDefault="00062571" w:rsidP="00062571">
      <w:pPr>
        <w:keepNext/>
        <w:numPr>
          <w:ilvl w:val="1"/>
          <w:numId w:val="34"/>
        </w:numPr>
        <w:spacing w:before="120" w:after="120"/>
        <w:jc w:val="both"/>
        <w:rPr>
          <w:b/>
          <w:sz w:val="20"/>
          <w:szCs w:val="20"/>
        </w:rPr>
      </w:pPr>
      <w:r w:rsidRPr="00062571">
        <w:rPr>
          <w:b/>
          <w:sz w:val="20"/>
          <w:szCs w:val="20"/>
        </w:rPr>
        <w:lastRenderedPageBreak/>
        <w:t xml:space="preserve">INFORMACE O ZPRACOVÁNÍ OSOBNÍCH ÚDAJŮ </w:t>
      </w:r>
      <w:r w:rsidRPr="00062571">
        <w:rPr>
          <w:b/>
          <w:sz w:val="20"/>
          <w:szCs w:val="20"/>
          <w:u w:val="single"/>
        </w:rPr>
        <w:t>BEZ VAŠEHO SOUHLASU</w:t>
      </w:r>
    </w:p>
    <w:p w:rsidR="00062571" w:rsidRPr="00062571" w:rsidRDefault="00062571" w:rsidP="00062571">
      <w:pPr>
        <w:keepNext/>
        <w:ind w:firstLine="425"/>
        <w:jc w:val="both"/>
        <w:rPr>
          <w:sz w:val="20"/>
          <w:szCs w:val="20"/>
        </w:rPr>
      </w:pPr>
      <w:r w:rsidRPr="00062571">
        <w:rPr>
          <w:b/>
          <w:sz w:val="20"/>
          <w:szCs w:val="20"/>
        </w:rPr>
        <w:t>Zpracování na základě plnění smlouvy a oprávněných zájmů pojistitele</w:t>
      </w:r>
    </w:p>
    <w:p w:rsidR="00062571" w:rsidRPr="00062571" w:rsidRDefault="00062571" w:rsidP="00062571">
      <w:pPr>
        <w:autoSpaceDE w:val="0"/>
        <w:autoSpaceDN w:val="0"/>
        <w:adjustRightInd w:val="0"/>
        <w:spacing w:before="120"/>
        <w:ind w:left="425"/>
        <w:jc w:val="both"/>
        <w:rPr>
          <w:rFonts w:cs="KoopCondPro"/>
          <w:sz w:val="20"/>
          <w:szCs w:val="20"/>
          <w:lang w:eastAsia="en-US"/>
        </w:rPr>
      </w:pPr>
      <w:r w:rsidRPr="00062571">
        <w:rPr>
          <w:rFonts w:cs="KoopCondPro"/>
          <w:sz w:val="20"/>
          <w:szCs w:val="20"/>
          <w:lang w:eastAsia="en-US"/>
        </w:rPr>
        <w:t>Pojistník bere na vědomí, že jeho identifikační a kontaktní údaje, údaje pro ocenění rizika při vstupu do pojištění a údaje o využívání služeb</w:t>
      </w:r>
      <w:r w:rsidRPr="00062571" w:rsidDel="00141904">
        <w:rPr>
          <w:rFonts w:cs="KoopCondPro"/>
          <w:sz w:val="20"/>
          <w:szCs w:val="20"/>
          <w:lang w:eastAsia="en-US"/>
        </w:rPr>
        <w:t xml:space="preserve"> </w:t>
      </w:r>
      <w:r w:rsidRPr="00062571">
        <w:rPr>
          <w:rFonts w:cs="KoopCondPro"/>
          <w:sz w:val="20"/>
          <w:szCs w:val="20"/>
          <w:lang w:eastAsia="en-US"/>
        </w:rPr>
        <w:t>zpracovává pojistitel:</w:t>
      </w:r>
    </w:p>
    <w:p w:rsidR="00062571" w:rsidRPr="00062571" w:rsidRDefault="00062571" w:rsidP="00062571">
      <w:pPr>
        <w:numPr>
          <w:ilvl w:val="0"/>
          <w:numId w:val="35"/>
        </w:numPr>
        <w:spacing w:before="120"/>
        <w:ind w:left="709" w:hanging="283"/>
        <w:jc w:val="both"/>
        <w:rPr>
          <w:rFonts w:eastAsiaTheme="minorHAnsi" w:cstheme="minorBidi"/>
          <w:sz w:val="20"/>
          <w:szCs w:val="20"/>
          <w:lang w:eastAsia="en-US"/>
        </w:rPr>
      </w:pPr>
      <w:r w:rsidRPr="00062571">
        <w:rPr>
          <w:rFonts w:eastAsiaTheme="minorHAnsi" w:cstheme="minorBidi"/>
          <w:sz w:val="20"/>
          <w:szCs w:val="20"/>
          <w:lang w:eastAsia="en-US"/>
        </w:rPr>
        <w:t xml:space="preserve">pro účely </w:t>
      </w:r>
      <w:r w:rsidRPr="00062571">
        <w:rPr>
          <w:rFonts w:eastAsiaTheme="minorHAnsi" w:cstheme="minorBidi"/>
          <w:i/>
          <w:sz w:val="20"/>
          <w:szCs w:val="20"/>
          <w:lang w:eastAsia="en-US"/>
        </w:rPr>
        <w:t>kalkulace, návrhu a uzavření pojistné smlouvy, posouzení přijatelnosti do pojištění, správy a ukončení pojistné smlouvy a likvidace pojistných událostí</w:t>
      </w:r>
      <w:r w:rsidRPr="00062571">
        <w:rPr>
          <w:rFonts w:eastAsiaTheme="minorHAnsi" w:cstheme="minorBidi"/>
          <w:sz w:val="20"/>
          <w:szCs w:val="20"/>
          <w:lang w:eastAsia="en-US"/>
        </w:rPr>
        <w:t xml:space="preserve">, když v těchto případech jde o zpracování nezbytné pro </w:t>
      </w:r>
      <w:r w:rsidRPr="00062571">
        <w:rPr>
          <w:rFonts w:eastAsiaTheme="minorHAnsi" w:cstheme="minorBidi"/>
          <w:b/>
          <w:sz w:val="20"/>
          <w:szCs w:val="20"/>
          <w:lang w:eastAsia="en-US"/>
        </w:rPr>
        <w:t>plnění smlouvy</w:t>
      </w:r>
      <w:r w:rsidRPr="00062571">
        <w:rPr>
          <w:rFonts w:eastAsiaTheme="minorHAnsi" w:cstheme="minorBidi"/>
          <w:sz w:val="20"/>
          <w:szCs w:val="20"/>
          <w:lang w:eastAsia="en-US"/>
        </w:rPr>
        <w:t>, a</w:t>
      </w:r>
    </w:p>
    <w:p w:rsidR="00062571" w:rsidRPr="00062571" w:rsidRDefault="00062571" w:rsidP="00062571">
      <w:pPr>
        <w:numPr>
          <w:ilvl w:val="0"/>
          <w:numId w:val="35"/>
        </w:numPr>
        <w:spacing w:before="120"/>
        <w:ind w:left="709" w:hanging="283"/>
        <w:jc w:val="both"/>
        <w:rPr>
          <w:rFonts w:eastAsiaTheme="minorHAnsi" w:cstheme="minorBidi"/>
          <w:sz w:val="20"/>
          <w:szCs w:val="20"/>
          <w:lang w:eastAsia="en-US"/>
        </w:rPr>
      </w:pPr>
      <w:r w:rsidRPr="00062571">
        <w:rPr>
          <w:rFonts w:eastAsiaTheme="minorHAnsi" w:cstheme="minorBidi"/>
          <w:sz w:val="20"/>
          <w:szCs w:val="20"/>
          <w:lang w:eastAsia="en-US"/>
        </w:rPr>
        <w:t xml:space="preserve">pro účely </w:t>
      </w:r>
      <w:r w:rsidRPr="00062571">
        <w:rPr>
          <w:rFonts w:eastAsiaTheme="minorHAnsi" w:cstheme="minorBidi"/>
          <w:i/>
          <w:sz w:val="20"/>
          <w:szCs w:val="20"/>
          <w:lang w:eastAsia="en-U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062571">
        <w:rPr>
          <w:rFonts w:eastAsiaTheme="minorHAnsi" w:cstheme="minorBidi"/>
          <w:sz w:val="20"/>
          <w:szCs w:val="20"/>
          <w:lang w:eastAsia="en-US"/>
        </w:rPr>
        <w:t xml:space="preserve">, když v těchto případech jde o zpracování založené na základě </w:t>
      </w:r>
      <w:r w:rsidRPr="00062571">
        <w:rPr>
          <w:rFonts w:eastAsiaTheme="minorHAnsi" w:cstheme="minorBidi"/>
          <w:b/>
          <w:sz w:val="20"/>
          <w:szCs w:val="20"/>
          <w:lang w:eastAsia="en-US"/>
        </w:rPr>
        <w:t>oprávněných zájmů</w:t>
      </w:r>
      <w:r w:rsidRPr="00062571">
        <w:rPr>
          <w:rFonts w:eastAsiaTheme="minorHAnsi" w:cstheme="minorBidi"/>
          <w:sz w:val="20"/>
          <w:szCs w:val="20"/>
          <w:lang w:eastAsia="en-US"/>
        </w:rPr>
        <w:t xml:space="preserve"> pojistitele. </w:t>
      </w:r>
      <w:r w:rsidRPr="00062571">
        <w:rPr>
          <w:rFonts w:eastAsiaTheme="minorHAnsi" w:cs="Calibri"/>
          <w:sz w:val="20"/>
          <w:szCs w:val="20"/>
          <w:lang w:eastAsia="en-US"/>
        </w:rPr>
        <w:t xml:space="preserve">Proti takovému zpracování máte právo kdykoli podat námitku, která může být uplatněna způsobem uvedeným v </w:t>
      </w:r>
      <w:r w:rsidRPr="00062571">
        <w:rPr>
          <w:rFonts w:eastAsiaTheme="minorHAnsi" w:cstheme="minorBidi"/>
          <w:sz w:val="20"/>
          <w:szCs w:val="20"/>
          <w:lang w:eastAsia="en-US"/>
        </w:rPr>
        <w:t>Informacích o zpracování osobních údajů v neživotním pojištění</w:t>
      </w:r>
      <w:r w:rsidRPr="00062571">
        <w:rPr>
          <w:rFonts w:eastAsiaTheme="minorHAnsi" w:cs="Calibri"/>
          <w:sz w:val="20"/>
          <w:szCs w:val="20"/>
          <w:lang w:eastAsia="en-US"/>
        </w:rPr>
        <w:t>.</w:t>
      </w:r>
    </w:p>
    <w:p w:rsidR="00062571" w:rsidRPr="00062571" w:rsidRDefault="00062571" w:rsidP="00062571">
      <w:pPr>
        <w:keepNext/>
        <w:spacing w:before="120"/>
        <w:ind w:left="357"/>
        <w:jc w:val="both"/>
        <w:rPr>
          <w:rFonts w:eastAsiaTheme="minorHAnsi" w:cstheme="minorBidi"/>
          <w:b/>
          <w:sz w:val="20"/>
          <w:szCs w:val="20"/>
          <w:lang w:eastAsia="en-US"/>
        </w:rPr>
      </w:pPr>
      <w:r w:rsidRPr="00062571">
        <w:rPr>
          <w:rFonts w:eastAsiaTheme="minorHAnsi" w:cstheme="minorBidi"/>
          <w:b/>
          <w:sz w:val="20"/>
          <w:szCs w:val="20"/>
          <w:lang w:eastAsia="en-US"/>
        </w:rPr>
        <w:t>Zpracování pro účely plnění zákonné povinnosti</w:t>
      </w:r>
    </w:p>
    <w:p w:rsidR="00062571" w:rsidRPr="00062571" w:rsidRDefault="00062571" w:rsidP="00062571">
      <w:pPr>
        <w:autoSpaceDE w:val="0"/>
        <w:autoSpaceDN w:val="0"/>
        <w:adjustRightInd w:val="0"/>
        <w:spacing w:before="120"/>
        <w:ind w:left="357"/>
        <w:jc w:val="both"/>
        <w:rPr>
          <w:rFonts w:cs="KoopCondPro"/>
          <w:sz w:val="20"/>
          <w:szCs w:val="20"/>
          <w:lang w:eastAsia="en-US"/>
        </w:rPr>
      </w:pPr>
      <w:r w:rsidRPr="00062571">
        <w:rPr>
          <w:rFonts w:cs="KoopCondPro"/>
          <w:sz w:val="20"/>
          <w:szCs w:val="20"/>
          <w:lang w:eastAsia="en-US"/>
        </w:rPr>
        <w:t xml:space="preserve">Pojistník bere na vědomí, že jeho identifikační a kontaktní údaje a údaje pro ocenění rizika při vstupu do pojištění pojistitel dále zpracovává ke </w:t>
      </w:r>
      <w:r w:rsidRPr="00062571">
        <w:rPr>
          <w:rFonts w:cs="KoopCondPro"/>
          <w:b/>
          <w:sz w:val="20"/>
          <w:szCs w:val="20"/>
          <w:lang w:eastAsia="en-US"/>
        </w:rPr>
        <w:t>splnění své zákonné povinnosti</w:t>
      </w:r>
      <w:r w:rsidRPr="00062571">
        <w:rPr>
          <w:rFonts w:cs="KoopCondPro"/>
          <w:sz w:val="20"/>
          <w:szCs w:val="20"/>
          <w:lang w:eastAsia="en-US"/>
        </w:rPr>
        <w:t xml:space="preserve"> vyplývající zejména ze zákona upravujícího distribuci pojištění a zákona č. 69/2006 Sb., o provádění mezinárodních sankcí.</w:t>
      </w:r>
    </w:p>
    <w:p w:rsidR="00062571" w:rsidRPr="00062571" w:rsidRDefault="00062571" w:rsidP="00062571">
      <w:pPr>
        <w:keepNext/>
        <w:numPr>
          <w:ilvl w:val="1"/>
          <w:numId w:val="34"/>
        </w:numPr>
        <w:spacing w:before="120" w:after="120"/>
        <w:jc w:val="both"/>
        <w:rPr>
          <w:b/>
          <w:sz w:val="20"/>
          <w:szCs w:val="20"/>
        </w:rPr>
      </w:pPr>
      <w:r w:rsidRPr="00062571">
        <w:rPr>
          <w:b/>
          <w:sz w:val="20"/>
          <w:szCs w:val="20"/>
        </w:rPr>
        <w:t>POVINNOST POJISTNÍKA INFORMOVAT TŘETÍ OSOBY</w:t>
      </w:r>
    </w:p>
    <w:p w:rsidR="00062571" w:rsidRPr="00062571" w:rsidRDefault="00062571" w:rsidP="00062571">
      <w:pPr>
        <w:autoSpaceDE w:val="0"/>
        <w:autoSpaceDN w:val="0"/>
        <w:adjustRightInd w:val="0"/>
        <w:spacing w:before="120"/>
        <w:ind w:left="425"/>
        <w:jc w:val="both"/>
        <w:rPr>
          <w:rFonts w:cs="KoopCondPro"/>
          <w:sz w:val="20"/>
          <w:szCs w:val="20"/>
          <w:lang w:eastAsia="en-US"/>
        </w:rPr>
      </w:pPr>
      <w:r w:rsidRPr="00062571">
        <w:rPr>
          <w:rFonts w:cs="KoopCondPro"/>
          <w:sz w:val="20"/>
          <w:szCs w:val="20"/>
          <w:lang w:eastAsia="en-US"/>
        </w:rPr>
        <w:t>Pojistník se zavazuje informovat každého pojištěného, jenž je osobou odlišnou od pojistníka, a případné další osoby, které uvedl v pojistné smlouvě ve znění tohoto dodatku, o zpracování jejich osobních údajů.</w:t>
      </w:r>
    </w:p>
    <w:p w:rsidR="00062571" w:rsidRPr="00062571" w:rsidRDefault="00062571" w:rsidP="00062571">
      <w:pPr>
        <w:keepNext/>
        <w:numPr>
          <w:ilvl w:val="1"/>
          <w:numId w:val="34"/>
        </w:numPr>
        <w:spacing w:before="120" w:after="120"/>
        <w:jc w:val="both"/>
        <w:rPr>
          <w:b/>
          <w:sz w:val="20"/>
          <w:szCs w:val="20"/>
        </w:rPr>
      </w:pPr>
      <w:r w:rsidRPr="00062571">
        <w:rPr>
          <w:b/>
          <w:sz w:val="20"/>
          <w:szCs w:val="20"/>
        </w:rPr>
        <w:t xml:space="preserve">INFORMACE O ZPRACOVÁNÍ OSOBNÍCH ÚDAJŮ ZÁSTUPCE POJISTNÍKA </w:t>
      </w:r>
    </w:p>
    <w:p w:rsidR="00062571" w:rsidRPr="00062571" w:rsidRDefault="00062571" w:rsidP="00062571">
      <w:pPr>
        <w:autoSpaceDE w:val="0"/>
        <w:autoSpaceDN w:val="0"/>
        <w:adjustRightInd w:val="0"/>
        <w:spacing w:before="120"/>
        <w:ind w:left="425"/>
        <w:jc w:val="both"/>
        <w:rPr>
          <w:rFonts w:cs="Calibri"/>
          <w:sz w:val="20"/>
          <w:szCs w:val="20"/>
          <w:lang w:eastAsia="en-US"/>
        </w:rPr>
      </w:pPr>
      <w:r w:rsidRPr="00062571">
        <w:rPr>
          <w:rFonts w:cs="KoopCondPro"/>
          <w:sz w:val="20"/>
          <w:szCs w:val="20"/>
          <w:lang w:eastAsia="en-US"/>
        </w:rPr>
        <w:t xml:space="preserve">Zástupce právnické osoby, zákonný zástupce nebo jiná osoba oprávněná zastupovat pojistníka bere na vědomí, že její identifikační a kontaktní údaje pojistitel zpracovává na základě </w:t>
      </w:r>
      <w:r w:rsidRPr="00062571">
        <w:rPr>
          <w:rFonts w:cs="KoopCondPro"/>
          <w:b/>
          <w:bCs/>
          <w:sz w:val="20"/>
          <w:szCs w:val="20"/>
          <w:lang w:eastAsia="en-US"/>
        </w:rPr>
        <w:t>oprávněného zájmu</w:t>
      </w:r>
      <w:r w:rsidRPr="00062571">
        <w:rPr>
          <w:rFonts w:cs="KoopCondPro"/>
          <w:sz w:val="20"/>
          <w:szCs w:val="20"/>
          <w:lang w:eastAsia="en-US"/>
        </w:rPr>
        <w:t xml:space="preserve"> pro účely</w:t>
      </w:r>
      <w:r w:rsidRPr="00062571">
        <w:rPr>
          <w:rFonts w:cs="KoopCondPro"/>
          <w:i/>
          <w:sz w:val="20"/>
          <w:szCs w:val="20"/>
          <w:lang w:eastAsia="en-US"/>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062571">
        <w:rPr>
          <w:rFonts w:cs="KoopCondPro"/>
          <w:sz w:val="20"/>
          <w:szCs w:val="20"/>
          <w:lang w:eastAsia="en-US"/>
        </w:rPr>
        <w:t xml:space="preserve">. </w:t>
      </w:r>
      <w:r w:rsidRPr="00062571">
        <w:rPr>
          <w:rFonts w:cs="Calibri"/>
          <w:sz w:val="20"/>
          <w:szCs w:val="20"/>
          <w:lang w:eastAsia="en-US"/>
        </w:rPr>
        <w:t>Proti takovému zpracování má taková osoba právo kdykoli podat námitku, která může být uplatněna způsobem uvedeným v</w:t>
      </w:r>
      <w:r w:rsidRPr="00062571">
        <w:rPr>
          <w:rFonts w:cs="KoopCondPro"/>
          <w:sz w:val="20"/>
          <w:szCs w:val="20"/>
          <w:lang w:eastAsia="en-US"/>
        </w:rPr>
        <w:t xml:space="preserve"> Informacích o zpracování osobních údajů v neživotním pojištění</w:t>
      </w:r>
      <w:r w:rsidRPr="00062571">
        <w:rPr>
          <w:rFonts w:cs="Calibri"/>
          <w:sz w:val="20"/>
          <w:szCs w:val="20"/>
          <w:lang w:eastAsia="en-US"/>
        </w:rPr>
        <w:t>.</w:t>
      </w:r>
    </w:p>
    <w:p w:rsidR="00062571" w:rsidRPr="00062571" w:rsidRDefault="00062571" w:rsidP="00062571">
      <w:pPr>
        <w:keepNext/>
        <w:autoSpaceDE w:val="0"/>
        <w:autoSpaceDN w:val="0"/>
        <w:adjustRightInd w:val="0"/>
        <w:spacing w:before="120"/>
        <w:ind w:firstLine="425"/>
        <w:jc w:val="both"/>
        <w:rPr>
          <w:rFonts w:cs="KoopCondPro"/>
          <w:sz w:val="20"/>
          <w:szCs w:val="20"/>
          <w:lang w:eastAsia="en-US"/>
        </w:rPr>
      </w:pPr>
      <w:r w:rsidRPr="00062571">
        <w:rPr>
          <w:rFonts w:cs="KoopCondPro"/>
          <w:b/>
          <w:sz w:val="20"/>
          <w:szCs w:val="20"/>
          <w:lang w:eastAsia="en-US"/>
        </w:rPr>
        <w:t>Zpracování pro účely plnění zákonné povinnosti</w:t>
      </w:r>
    </w:p>
    <w:p w:rsidR="00062571" w:rsidRPr="00062571" w:rsidRDefault="00062571" w:rsidP="00062571">
      <w:pPr>
        <w:autoSpaceDE w:val="0"/>
        <w:autoSpaceDN w:val="0"/>
        <w:adjustRightInd w:val="0"/>
        <w:spacing w:before="120"/>
        <w:ind w:left="425"/>
        <w:jc w:val="both"/>
        <w:rPr>
          <w:rFonts w:cs="KoopCondPro"/>
          <w:sz w:val="20"/>
          <w:szCs w:val="20"/>
          <w:lang w:eastAsia="en-US"/>
        </w:rPr>
      </w:pPr>
      <w:r w:rsidRPr="00062571">
        <w:rPr>
          <w:rFonts w:cs="KoopCondPro"/>
          <w:sz w:val="20"/>
          <w:szCs w:val="20"/>
          <w:lang w:eastAsia="en-US"/>
        </w:rPr>
        <w:t xml:space="preserve">Zástupce právnické osoby, zákonný zástupce nebo jiná osoba oprávněná zastupovat pojistníka bere na vědomí, že identifikační a kontaktní údaje pojistitel dále zpracovává ke </w:t>
      </w:r>
      <w:r w:rsidRPr="00062571">
        <w:rPr>
          <w:rFonts w:cs="KoopCondPro"/>
          <w:b/>
          <w:sz w:val="20"/>
          <w:szCs w:val="20"/>
          <w:lang w:eastAsia="en-US"/>
        </w:rPr>
        <w:t>splnění své zákonné povinnosti</w:t>
      </w:r>
      <w:r w:rsidRPr="00062571">
        <w:rPr>
          <w:rFonts w:cs="KoopCondPro"/>
          <w:sz w:val="20"/>
          <w:szCs w:val="20"/>
          <w:lang w:eastAsia="en-US"/>
        </w:rPr>
        <w:t xml:space="preserve"> vyplývající zejména ze zákona upravujícího distribuci pojištění a zákona č. 69/2006 Sb., o provádění mezinárodních sankcí.</w:t>
      </w:r>
    </w:p>
    <w:p w:rsidR="00062571" w:rsidRPr="00062571" w:rsidRDefault="00062571" w:rsidP="00062571">
      <w:pPr>
        <w:spacing w:before="240" w:after="120" w:line="240" w:lineRule="exact"/>
        <w:ind w:left="425"/>
        <w:jc w:val="both"/>
        <w:rPr>
          <w:sz w:val="20"/>
        </w:rPr>
      </w:pPr>
      <w:r w:rsidRPr="00062571">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E45F2F" w:rsidRDefault="00E45F2F" w:rsidP="00F64182">
      <w:pPr>
        <w:keepNext/>
        <w:jc w:val="center"/>
        <w:rPr>
          <w:rFonts w:cs="Arial"/>
          <w:b/>
          <w:bCs/>
          <w:sz w:val="24"/>
        </w:rPr>
      </w:pPr>
    </w:p>
    <w:p w:rsidR="00B653FD" w:rsidRPr="00F64182" w:rsidRDefault="000A7B53" w:rsidP="00F64182">
      <w:pPr>
        <w:keepNext/>
        <w:jc w:val="center"/>
        <w:rPr>
          <w:rFonts w:cs="Arial"/>
          <w:b/>
          <w:bCs/>
          <w:sz w:val="24"/>
        </w:rPr>
      </w:pPr>
      <w:r w:rsidRPr="00F64182">
        <w:rPr>
          <w:rFonts w:cs="Arial"/>
          <w:b/>
          <w:bCs/>
          <w:sz w:val="24"/>
        </w:rPr>
        <w:t>Článek VI</w:t>
      </w:r>
      <w:r w:rsidR="0052481A" w:rsidRPr="00F64182">
        <w:rPr>
          <w:rFonts w:cs="Arial"/>
          <w:b/>
          <w:bCs/>
          <w:sz w:val="24"/>
        </w:rPr>
        <w:t>I</w:t>
      </w:r>
      <w:r w:rsidRPr="00F64182">
        <w:rPr>
          <w:rFonts w:cs="Arial"/>
          <w:b/>
          <w:bCs/>
          <w:sz w:val="24"/>
        </w:rPr>
        <w:t>I.</w:t>
      </w:r>
    </w:p>
    <w:p w:rsidR="00B84CFC" w:rsidRDefault="00B84CFC" w:rsidP="004C0D9C">
      <w:pPr>
        <w:keepNext/>
        <w:tabs>
          <w:tab w:val="left" w:pos="-720"/>
        </w:tabs>
        <w:jc w:val="center"/>
        <w:rPr>
          <w:rFonts w:cs="Arial"/>
          <w:b/>
          <w:sz w:val="24"/>
        </w:rPr>
      </w:pPr>
      <w:r>
        <w:rPr>
          <w:rFonts w:cs="Arial"/>
          <w:b/>
          <w:sz w:val="24"/>
        </w:rPr>
        <w:t xml:space="preserve">Závěrečná ustanovení </w:t>
      </w:r>
    </w:p>
    <w:p w:rsidR="004C0D9C" w:rsidRPr="0052481A" w:rsidRDefault="00B02415" w:rsidP="00291971">
      <w:pPr>
        <w:numPr>
          <w:ilvl w:val="0"/>
          <w:numId w:val="14"/>
        </w:numPr>
        <w:spacing w:before="120"/>
        <w:jc w:val="both"/>
        <w:rPr>
          <w:sz w:val="20"/>
          <w:szCs w:val="20"/>
        </w:rPr>
      </w:pPr>
      <w:r w:rsidRPr="0052481A">
        <w:rPr>
          <w:sz w:val="20"/>
          <w:szCs w:val="20"/>
        </w:rPr>
        <w:t xml:space="preserve">Není-li ujednáno jinak, je pojistnou dobou doba od </w:t>
      </w:r>
      <w:r w:rsidR="0052481A" w:rsidRPr="0052481A">
        <w:rPr>
          <w:b/>
          <w:sz w:val="20"/>
          <w:szCs w:val="20"/>
        </w:rPr>
        <w:t>01. 01. 2015</w:t>
      </w:r>
      <w:r w:rsidR="002E3523" w:rsidRPr="0052481A">
        <w:rPr>
          <w:i/>
          <w:iCs/>
          <w:sz w:val="20"/>
          <w:szCs w:val="20"/>
        </w:rPr>
        <w:t xml:space="preserve"> </w:t>
      </w:r>
      <w:r w:rsidRPr="0052481A">
        <w:rPr>
          <w:sz w:val="20"/>
          <w:szCs w:val="20"/>
        </w:rPr>
        <w:t xml:space="preserve">(počátek pojištění) </w:t>
      </w:r>
      <w:r w:rsidR="0052481A" w:rsidRPr="0052481A">
        <w:rPr>
          <w:sz w:val="20"/>
          <w:szCs w:val="20"/>
        </w:rPr>
        <w:t>na dobu neurčitou.</w:t>
      </w:r>
    </w:p>
    <w:p w:rsidR="006C3095" w:rsidRDefault="00B02415" w:rsidP="004C0D9C">
      <w:pPr>
        <w:ind w:left="425"/>
        <w:jc w:val="both"/>
        <w:rPr>
          <w:sz w:val="20"/>
          <w:szCs w:val="20"/>
        </w:rPr>
      </w:pPr>
      <w:r w:rsidRPr="0052481A">
        <w:rPr>
          <w:sz w:val="20"/>
          <w:szCs w:val="20"/>
        </w:rPr>
        <w:t>Tímto dodatkem provedená(é) změna(y) nabývá(</w:t>
      </w:r>
      <w:proofErr w:type="spellStart"/>
      <w:r w:rsidRPr="0052481A">
        <w:rPr>
          <w:sz w:val="20"/>
          <w:szCs w:val="20"/>
        </w:rPr>
        <w:t>ají</w:t>
      </w:r>
      <w:proofErr w:type="spellEnd"/>
      <w:r w:rsidRPr="0052481A">
        <w:rPr>
          <w:sz w:val="20"/>
          <w:szCs w:val="20"/>
        </w:rPr>
        <w:t xml:space="preserve">) účinnosti dnem </w:t>
      </w:r>
      <w:r w:rsidR="00065239" w:rsidRPr="00061A8D">
        <w:rPr>
          <w:b/>
          <w:sz w:val="20"/>
          <w:szCs w:val="20"/>
        </w:rPr>
        <w:t>01</w:t>
      </w:r>
      <w:r w:rsidR="0052481A" w:rsidRPr="00061A8D">
        <w:rPr>
          <w:b/>
          <w:sz w:val="20"/>
          <w:szCs w:val="20"/>
        </w:rPr>
        <w:t>. 0</w:t>
      </w:r>
      <w:r w:rsidR="00065239" w:rsidRPr="00061A8D">
        <w:rPr>
          <w:b/>
          <w:sz w:val="20"/>
          <w:szCs w:val="20"/>
        </w:rPr>
        <w:t>1</w:t>
      </w:r>
      <w:r w:rsidR="0052481A" w:rsidRPr="00061A8D">
        <w:rPr>
          <w:b/>
          <w:sz w:val="20"/>
          <w:szCs w:val="20"/>
        </w:rPr>
        <w:t>. 201</w:t>
      </w:r>
      <w:r w:rsidR="00062571">
        <w:rPr>
          <w:b/>
          <w:sz w:val="20"/>
          <w:szCs w:val="20"/>
        </w:rPr>
        <w:t>9</w:t>
      </w:r>
      <w:r w:rsidR="0052481A" w:rsidRPr="0052481A">
        <w:rPr>
          <w:sz w:val="20"/>
          <w:szCs w:val="20"/>
        </w:rPr>
        <w:t>.</w:t>
      </w:r>
    </w:p>
    <w:p w:rsidR="00065239" w:rsidRDefault="00065239" w:rsidP="00065239">
      <w:pPr>
        <w:ind w:left="425"/>
        <w:jc w:val="both"/>
        <w:rPr>
          <w:sz w:val="20"/>
          <w:szCs w:val="20"/>
        </w:rPr>
      </w:pPr>
      <w:r w:rsidRPr="0018453A">
        <w:rPr>
          <w:sz w:val="20"/>
          <w:szCs w:val="20"/>
        </w:rPr>
        <w:t>Tímto dodatkem provedená(é) změna(y) a případné(á) tímto dodatkem sjednané(á) nové(á) pojištění se nevztahují na dobu (nevznikají) před účinností tohoto dodatku.</w:t>
      </w:r>
    </w:p>
    <w:p w:rsidR="008C70C4" w:rsidRDefault="008C70C4" w:rsidP="00291971">
      <w:pPr>
        <w:numPr>
          <w:ilvl w:val="0"/>
          <w:numId w:val="14"/>
        </w:numPr>
        <w:spacing w:before="120"/>
        <w:jc w:val="both"/>
        <w:rPr>
          <w:sz w:val="20"/>
          <w:szCs w:val="20"/>
        </w:rPr>
      </w:pPr>
      <w:r>
        <w:rPr>
          <w:sz w:val="20"/>
          <w:szCs w:val="20"/>
        </w:rPr>
        <w:t xml:space="preserve">Odpověď pojistníka na návrh pojistitele na uzavření </w:t>
      </w:r>
      <w:r w:rsidR="00964BBE">
        <w:rPr>
          <w:sz w:val="20"/>
          <w:szCs w:val="20"/>
        </w:rPr>
        <w:t>tohoto dodatku</w:t>
      </w:r>
      <w:r>
        <w:rPr>
          <w:sz w:val="20"/>
          <w:szCs w:val="20"/>
        </w:rPr>
        <w:t xml:space="preserve"> (dále jen „nabídka“) s dodatkem nebo odchylkou od nabídky se nepovažuje za její přijetí, a to ani v případě, že se takovou odchylkou podstatně nemění podmínky nabídky.</w:t>
      </w:r>
    </w:p>
    <w:p w:rsidR="00065239" w:rsidRPr="00061A8D" w:rsidRDefault="00065239" w:rsidP="00065239">
      <w:pPr>
        <w:numPr>
          <w:ilvl w:val="0"/>
          <w:numId w:val="14"/>
        </w:numPr>
        <w:tabs>
          <w:tab w:val="left" w:pos="-1418"/>
        </w:tabs>
        <w:spacing w:before="120"/>
        <w:jc w:val="both"/>
        <w:rPr>
          <w:rFonts w:cs="Arial"/>
          <w:sz w:val="20"/>
        </w:rPr>
      </w:pPr>
      <w:r w:rsidRPr="00061A8D">
        <w:rPr>
          <w:rFonts w:cs="Arial"/>
          <w:sz w:val="20"/>
        </w:rPr>
        <w:lastRenderedPageBreak/>
        <w:t>Ujednává se, že tento dodatek musí být uzavřen pouze v písemné formě, a to i v případě, že je pojištění tímto dodatkem ujednáno na pojistnou dobu kratší než jeden rok. Tento dodatek může být měněn pouze písemnou formou.</w:t>
      </w:r>
    </w:p>
    <w:p w:rsidR="00065239" w:rsidRPr="00061A8D" w:rsidRDefault="00065239" w:rsidP="00065239">
      <w:pPr>
        <w:numPr>
          <w:ilvl w:val="0"/>
          <w:numId w:val="14"/>
        </w:numPr>
        <w:tabs>
          <w:tab w:val="left" w:pos="-1418"/>
        </w:tabs>
        <w:spacing w:before="120"/>
        <w:jc w:val="both"/>
        <w:rPr>
          <w:rFonts w:cs="Arial"/>
          <w:sz w:val="20"/>
        </w:rPr>
      </w:pPr>
      <w:r w:rsidRPr="00061A8D">
        <w:rPr>
          <w:rFonts w:cs="Arial"/>
          <w:sz w:val="20"/>
        </w:rPr>
        <w:t xml:space="preserve">Subjektem věcně příslušným k mimosoudnímu řešení spotřebitelských sporů z tohoto pojištění je Česká obchodní inspekce, Štěpánská 567/15, 120 00 Praha 2, </w:t>
      </w:r>
      <w:hyperlink r:id="rId11" w:history="1">
        <w:r w:rsidRPr="00061A8D">
          <w:rPr>
            <w:rFonts w:cs="Arial"/>
            <w:sz w:val="20"/>
          </w:rPr>
          <w:t>www.coi.cz</w:t>
        </w:r>
      </w:hyperlink>
      <w:r w:rsidRPr="00061A8D">
        <w:rPr>
          <w:rFonts w:cs="Arial"/>
          <w:sz w:val="20"/>
        </w:rPr>
        <w:t>.</w:t>
      </w:r>
    </w:p>
    <w:p w:rsidR="00881EC7" w:rsidRDefault="00062571" w:rsidP="00291971">
      <w:pPr>
        <w:numPr>
          <w:ilvl w:val="0"/>
          <w:numId w:val="14"/>
        </w:numPr>
        <w:tabs>
          <w:tab w:val="left" w:pos="-1418"/>
        </w:tabs>
        <w:spacing w:before="120"/>
        <w:jc w:val="both"/>
        <w:rPr>
          <w:rFonts w:cs="Arial"/>
          <w:sz w:val="20"/>
        </w:rPr>
      </w:pPr>
      <w:r w:rsidRPr="00062571">
        <w:rPr>
          <w:rFonts w:cs="Arial"/>
          <w:sz w:val="20"/>
        </w:rPr>
        <w:t>Pojistník prohlašuje, že uzavřel s pojišťovacím makléřem smlouvu, na jejímž základě pojišťovací makléř vykonává zprostředkovatelskou činnost v pojišťovnictví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ve znění tohoto dodatku doručované pojišťovacím makléřem za pojistníka nebo pojištěného pojistiteli se považují za doručené pojistiteli od pojistníka nebo pojištěného, a to doručením pojistiteli</w:t>
      </w:r>
    </w:p>
    <w:p w:rsidR="00551187" w:rsidRDefault="00551187" w:rsidP="00291971">
      <w:pPr>
        <w:pStyle w:val="Zkladntext2"/>
        <w:numPr>
          <w:ilvl w:val="0"/>
          <w:numId w:val="14"/>
        </w:numPr>
        <w:suppressAutoHyphens/>
        <w:spacing w:before="120" w:after="0" w:line="240" w:lineRule="auto"/>
        <w:jc w:val="both"/>
        <w:rPr>
          <w:rFonts w:ascii="Koop Office" w:hAnsi="Koop Office" w:cs="Arial"/>
          <w:bCs/>
          <w:sz w:val="20"/>
        </w:rPr>
      </w:pPr>
      <w:r w:rsidRPr="00551187">
        <w:rPr>
          <w:rFonts w:ascii="Koop Office" w:hAnsi="Koop Office" w:cs="Arial"/>
          <w:sz w:val="20"/>
        </w:rPr>
        <w:t>Tento dodatek</w:t>
      </w:r>
      <w:r w:rsidRPr="008C70C4">
        <w:rPr>
          <w:rFonts w:cs="Arial"/>
          <w:sz w:val="20"/>
        </w:rPr>
        <w:t xml:space="preserve"> </w:t>
      </w:r>
      <w:r>
        <w:rPr>
          <w:rFonts w:ascii="Koop Office" w:hAnsi="Koop Office" w:cs="Arial"/>
          <w:bCs/>
          <w:sz w:val="20"/>
        </w:rPr>
        <w:t>byl vypracován v šesti stejnopisech, pojistník, pojišťovací makléř a (</w:t>
      </w:r>
      <w:proofErr w:type="spellStart"/>
      <w:r>
        <w:rPr>
          <w:rFonts w:ascii="Koop Office" w:hAnsi="Koop Office" w:cs="Arial"/>
          <w:bCs/>
          <w:sz w:val="20"/>
        </w:rPr>
        <w:t>sou</w:t>
      </w:r>
      <w:proofErr w:type="spellEnd"/>
      <w:r>
        <w:rPr>
          <w:rFonts w:ascii="Koop Office" w:hAnsi="Koop Office" w:cs="Arial"/>
          <w:bCs/>
          <w:sz w:val="20"/>
        </w:rPr>
        <w:t xml:space="preserve">)pojistitelé obdrží </w:t>
      </w:r>
      <w:r w:rsidR="0042255A">
        <w:rPr>
          <w:rFonts w:ascii="Koop Office" w:hAnsi="Koop Office" w:cs="Arial"/>
          <w:bCs/>
          <w:sz w:val="20"/>
        </w:rPr>
        <w:t>jeden</w:t>
      </w:r>
      <w:r>
        <w:rPr>
          <w:rFonts w:ascii="Koop Office" w:hAnsi="Koop Office" w:cs="Arial"/>
          <w:bCs/>
          <w:sz w:val="20"/>
        </w:rPr>
        <w:t xml:space="preserve"> stejnopis </w:t>
      </w:r>
      <w:r w:rsidRPr="005E7BA7">
        <w:rPr>
          <w:rFonts w:ascii="Koop Office" w:hAnsi="Koop Office" w:cs="Arial"/>
          <w:bCs/>
          <w:sz w:val="20"/>
        </w:rPr>
        <w:t xml:space="preserve">a </w:t>
      </w:r>
      <w:r>
        <w:rPr>
          <w:rFonts w:ascii="Koop Office" w:hAnsi="Koop Office" w:cs="Arial"/>
          <w:bCs/>
          <w:sz w:val="20"/>
        </w:rPr>
        <w:t xml:space="preserve">vedoucí </w:t>
      </w:r>
      <w:r w:rsidRPr="005E7BA7">
        <w:rPr>
          <w:rFonts w:ascii="Koop Office" w:hAnsi="Koop Office" w:cs="Arial"/>
          <w:bCs/>
          <w:sz w:val="20"/>
        </w:rPr>
        <w:t>pojistitel si ponechá dva stejnopisy.</w:t>
      </w:r>
    </w:p>
    <w:p w:rsidR="006368D9" w:rsidRPr="008C70C4" w:rsidRDefault="00964BBE" w:rsidP="00291971">
      <w:pPr>
        <w:numPr>
          <w:ilvl w:val="0"/>
          <w:numId w:val="14"/>
        </w:numPr>
        <w:spacing w:before="120"/>
        <w:jc w:val="both"/>
        <w:rPr>
          <w:rFonts w:cs="Arial"/>
          <w:sz w:val="20"/>
        </w:rPr>
      </w:pPr>
      <w:bookmarkStart w:id="2" w:name="_Ref489759092"/>
      <w:r>
        <w:rPr>
          <w:rFonts w:cs="Arial"/>
          <w:sz w:val="20"/>
        </w:rPr>
        <w:t>Tento dodatek</w:t>
      </w:r>
      <w:r w:rsidR="00D7357B" w:rsidRPr="008C70C4">
        <w:rPr>
          <w:rFonts w:cs="Arial"/>
          <w:sz w:val="20"/>
        </w:rPr>
        <w:t xml:space="preserve"> obsahuje </w:t>
      </w:r>
      <w:r w:rsidR="00065239">
        <w:rPr>
          <w:rFonts w:cs="Arial"/>
          <w:sz w:val="20"/>
        </w:rPr>
        <w:t>1</w:t>
      </w:r>
      <w:r w:rsidR="00E45F2F">
        <w:rPr>
          <w:rFonts w:cs="Arial"/>
          <w:sz w:val="20"/>
        </w:rPr>
        <w:t>6</w:t>
      </w:r>
      <w:r w:rsidR="003679A4" w:rsidRPr="008C70C4">
        <w:rPr>
          <w:rFonts w:cs="Arial"/>
          <w:sz w:val="20"/>
        </w:rPr>
        <w:t xml:space="preserve"> stran</w:t>
      </w:r>
      <w:bookmarkEnd w:id="2"/>
      <w:r w:rsidR="005760FC">
        <w:rPr>
          <w:rFonts w:cs="Arial"/>
          <w:sz w:val="20"/>
        </w:rPr>
        <w:t>.</w:t>
      </w:r>
      <w:r w:rsidR="00B750EE">
        <w:rPr>
          <w:rFonts w:cs="Arial"/>
          <w:sz w:val="20"/>
        </w:rPr>
        <w:t xml:space="preserve"> Součástí pojistné smlouvy </w:t>
      </w:r>
      <w:r w:rsidR="004C0D9C">
        <w:rPr>
          <w:rFonts w:cs="Arial"/>
          <w:sz w:val="20"/>
        </w:rPr>
        <w:t xml:space="preserve">ve znění tohoto dodatku </w:t>
      </w:r>
      <w:r w:rsidR="00B750EE">
        <w:rPr>
          <w:rFonts w:cs="Arial"/>
          <w:sz w:val="20"/>
        </w:rPr>
        <w:t xml:space="preserve">jsou pojistné podmínky pojistitele uvedené v čl. I. této pojistné smlouvy </w:t>
      </w:r>
      <w:r w:rsidR="003A2E6A">
        <w:rPr>
          <w:rFonts w:cs="Arial"/>
          <w:sz w:val="20"/>
        </w:rPr>
        <w:t xml:space="preserve">ve znění tohoto dodatku </w:t>
      </w:r>
      <w:r w:rsidR="00B750EE">
        <w:rPr>
          <w:rFonts w:cs="Arial"/>
          <w:sz w:val="20"/>
        </w:rPr>
        <w:t>a dokument Informace pro zájemce o pojištění. V případě, že je jakékoli ustanovení uvedené v Informacích pro zájemce o pojištění v rozporu s ustanovením pojistné smlouvy, má přednost příslušné ustanovení pojistné smlouvy.</w:t>
      </w:r>
      <w:r w:rsidR="00D7357B" w:rsidRPr="008C70C4">
        <w:rPr>
          <w:rFonts w:cs="Arial"/>
          <w:sz w:val="20"/>
        </w:rPr>
        <w:t xml:space="preserve"> </w:t>
      </w:r>
    </w:p>
    <w:p w:rsidR="00DB24B0" w:rsidRDefault="00DB24B0" w:rsidP="004A73A8">
      <w:pPr>
        <w:rPr>
          <w:rFonts w:cs="Arial"/>
          <w:sz w:val="20"/>
        </w:rPr>
      </w:pPr>
    </w:p>
    <w:p w:rsidR="00B87F0D" w:rsidRDefault="00B87F0D" w:rsidP="004A73A8">
      <w:pPr>
        <w:rPr>
          <w:rFonts w:cs="Arial"/>
          <w:sz w:val="20"/>
        </w:rPr>
      </w:pPr>
    </w:p>
    <w:p w:rsidR="00705350" w:rsidRPr="006368D9" w:rsidRDefault="00705350" w:rsidP="004A73A8">
      <w:pPr>
        <w:rPr>
          <w:rFonts w:cs="Arial"/>
          <w:sz w:val="20"/>
        </w:rPr>
      </w:pPr>
    </w:p>
    <w:p w:rsidR="005760FC" w:rsidRPr="00B229D0" w:rsidRDefault="005760FC" w:rsidP="005760FC">
      <w:pPr>
        <w:tabs>
          <w:tab w:val="center" w:pos="3686"/>
          <w:tab w:val="center" w:pos="7797"/>
        </w:tabs>
        <w:jc w:val="both"/>
        <w:rPr>
          <w:rFonts w:cs="Arial"/>
          <w:spacing w:val="-4"/>
          <w:sz w:val="20"/>
          <w:szCs w:val="20"/>
        </w:rPr>
      </w:pPr>
      <w:r w:rsidRPr="00B229D0">
        <w:rPr>
          <w:rFonts w:cs="Arial"/>
          <w:sz w:val="20"/>
          <w:szCs w:val="20"/>
        </w:rPr>
        <w:t xml:space="preserve">V Praze dne </w:t>
      </w:r>
      <w:r w:rsidR="00065239">
        <w:rPr>
          <w:rFonts w:cs="Arial"/>
          <w:sz w:val="20"/>
          <w:szCs w:val="20"/>
        </w:rPr>
        <w:t>……………….</w:t>
      </w:r>
      <w:r w:rsidRPr="00B229D0">
        <w:rPr>
          <w:rFonts w:cs="Arial"/>
          <w:sz w:val="20"/>
          <w:szCs w:val="20"/>
        </w:rPr>
        <w:tab/>
      </w:r>
      <w:r w:rsidRPr="00B229D0">
        <w:rPr>
          <w:rFonts w:cs="Arial"/>
          <w:spacing w:val="-4"/>
          <w:sz w:val="20"/>
          <w:szCs w:val="20"/>
        </w:rPr>
        <w:t>...................................................................</w:t>
      </w:r>
      <w:r w:rsidRPr="00B229D0">
        <w:rPr>
          <w:rFonts w:cs="Arial"/>
          <w:spacing w:val="-4"/>
          <w:sz w:val="20"/>
          <w:szCs w:val="20"/>
        </w:rPr>
        <w:tab/>
        <w:t>............................................................</w:t>
      </w:r>
    </w:p>
    <w:p w:rsidR="00316DC8" w:rsidRDefault="00316DC8" w:rsidP="005760FC">
      <w:pPr>
        <w:tabs>
          <w:tab w:val="center" w:pos="3686"/>
          <w:tab w:val="center" w:pos="7797"/>
        </w:tabs>
        <w:contextualSpacing/>
        <w:jc w:val="both"/>
        <w:rPr>
          <w:rFonts w:cs="Arial"/>
          <w:spacing w:val="-4"/>
          <w:sz w:val="20"/>
          <w:szCs w:val="20"/>
        </w:rPr>
      </w:pPr>
    </w:p>
    <w:p w:rsidR="008C699D" w:rsidRDefault="005760FC" w:rsidP="005760FC">
      <w:pPr>
        <w:tabs>
          <w:tab w:val="center" w:pos="3686"/>
          <w:tab w:val="center" w:pos="7797"/>
        </w:tabs>
        <w:contextualSpacing/>
        <w:jc w:val="both"/>
        <w:rPr>
          <w:rFonts w:cs="Arial"/>
          <w:spacing w:val="-4"/>
          <w:sz w:val="20"/>
          <w:szCs w:val="20"/>
        </w:rPr>
      </w:pPr>
      <w:r w:rsidRPr="00B229D0">
        <w:rPr>
          <w:rFonts w:cs="Arial"/>
          <w:spacing w:val="-4"/>
          <w:sz w:val="20"/>
          <w:szCs w:val="20"/>
        </w:rPr>
        <w:tab/>
      </w:r>
      <w:r w:rsidR="008446DC">
        <w:rPr>
          <w:rFonts w:cs="Arial"/>
          <w:spacing w:val="-4"/>
          <w:sz w:val="20"/>
          <w:szCs w:val="20"/>
        </w:rPr>
        <w:t>obchodní ředitel</w:t>
      </w:r>
      <w:r w:rsidRPr="00B229D0">
        <w:rPr>
          <w:rFonts w:cs="Arial"/>
          <w:spacing w:val="-4"/>
          <w:sz w:val="20"/>
          <w:szCs w:val="20"/>
        </w:rPr>
        <w:tab/>
      </w:r>
      <w:r w:rsidR="008446DC" w:rsidRPr="00B229D0">
        <w:rPr>
          <w:rFonts w:cs="Arial"/>
          <w:spacing w:val="-4"/>
          <w:sz w:val="20"/>
          <w:szCs w:val="20"/>
        </w:rPr>
        <w:t xml:space="preserve">vedoucí oddělení </w:t>
      </w:r>
      <w:r w:rsidR="008C699D">
        <w:rPr>
          <w:rFonts w:cs="Arial"/>
          <w:spacing w:val="-4"/>
          <w:sz w:val="20"/>
          <w:szCs w:val="20"/>
        </w:rPr>
        <w:t xml:space="preserve">pojištění </w:t>
      </w:r>
      <w:r w:rsidR="00D3097E">
        <w:rPr>
          <w:rFonts w:cs="Arial"/>
          <w:spacing w:val="-4"/>
          <w:sz w:val="20"/>
          <w:szCs w:val="20"/>
        </w:rPr>
        <w:t xml:space="preserve">majetku </w:t>
      </w:r>
    </w:p>
    <w:p w:rsidR="005760FC" w:rsidRPr="00B229D0" w:rsidRDefault="008C699D" w:rsidP="005760FC">
      <w:pPr>
        <w:tabs>
          <w:tab w:val="center" w:pos="3686"/>
          <w:tab w:val="center" w:pos="7797"/>
        </w:tabs>
        <w:contextualSpacing/>
        <w:jc w:val="both"/>
        <w:rPr>
          <w:rFonts w:cs="Arial"/>
          <w:spacing w:val="-4"/>
          <w:sz w:val="20"/>
          <w:szCs w:val="20"/>
        </w:rPr>
      </w:pPr>
      <w:r>
        <w:rPr>
          <w:rFonts w:cs="Arial"/>
          <w:spacing w:val="-4"/>
          <w:sz w:val="20"/>
          <w:szCs w:val="20"/>
        </w:rPr>
        <w:tab/>
      </w:r>
      <w:r w:rsidRPr="00B229D0">
        <w:rPr>
          <w:rFonts w:cs="Arial"/>
          <w:spacing w:val="-4"/>
          <w:sz w:val="20"/>
          <w:szCs w:val="20"/>
        </w:rPr>
        <w:t>Úsek pojištění hospodářských rizik</w:t>
      </w:r>
      <w:r>
        <w:rPr>
          <w:rFonts w:cs="Arial"/>
          <w:spacing w:val="-4"/>
          <w:sz w:val="20"/>
          <w:szCs w:val="20"/>
        </w:rPr>
        <w:tab/>
      </w:r>
      <w:r w:rsidR="00D3097E">
        <w:rPr>
          <w:rFonts w:cs="Arial"/>
          <w:spacing w:val="-4"/>
          <w:sz w:val="20"/>
          <w:szCs w:val="20"/>
        </w:rPr>
        <w:t>a technických</w:t>
      </w:r>
      <w:r w:rsidR="008446DC">
        <w:rPr>
          <w:rFonts w:cs="Arial"/>
          <w:spacing w:val="-4"/>
          <w:sz w:val="20"/>
          <w:szCs w:val="20"/>
        </w:rPr>
        <w:t xml:space="preserve"> rizik</w:t>
      </w:r>
    </w:p>
    <w:p w:rsidR="005760FC" w:rsidRPr="00B229D0" w:rsidRDefault="005760FC" w:rsidP="005760FC">
      <w:pPr>
        <w:tabs>
          <w:tab w:val="center" w:pos="3686"/>
          <w:tab w:val="center" w:pos="7797"/>
        </w:tabs>
        <w:contextualSpacing/>
        <w:jc w:val="both"/>
        <w:rPr>
          <w:rFonts w:cs="Arial"/>
          <w:spacing w:val="-4"/>
          <w:sz w:val="20"/>
          <w:szCs w:val="20"/>
        </w:rPr>
      </w:pPr>
      <w:r w:rsidRPr="00B229D0">
        <w:rPr>
          <w:rFonts w:cs="Arial"/>
          <w:spacing w:val="-4"/>
          <w:sz w:val="20"/>
          <w:szCs w:val="20"/>
        </w:rPr>
        <w:tab/>
      </w:r>
      <w:r w:rsidRPr="00B229D0">
        <w:rPr>
          <w:rFonts w:cs="Arial"/>
          <w:spacing w:val="-4"/>
          <w:sz w:val="20"/>
          <w:szCs w:val="20"/>
        </w:rPr>
        <w:tab/>
        <w:t>Úsek pojištění hospodářských rizik</w:t>
      </w:r>
    </w:p>
    <w:p w:rsidR="005760FC" w:rsidRPr="00B229D0" w:rsidRDefault="00FB3695" w:rsidP="00FB3695">
      <w:pPr>
        <w:tabs>
          <w:tab w:val="center" w:pos="5245"/>
        </w:tabs>
        <w:spacing w:before="60"/>
        <w:jc w:val="center"/>
        <w:rPr>
          <w:rFonts w:cs="Arial"/>
          <w:i/>
          <w:sz w:val="20"/>
          <w:szCs w:val="20"/>
        </w:rPr>
      </w:pPr>
      <w:r>
        <w:rPr>
          <w:rFonts w:cs="Arial"/>
          <w:i/>
          <w:sz w:val="20"/>
          <w:szCs w:val="20"/>
        </w:rPr>
        <w:tab/>
      </w:r>
      <w:r w:rsidR="005760FC" w:rsidRPr="00B229D0">
        <w:rPr>
          <w:rFonts w:cs="Arial"/>
          <w:i/>
          <w:sz w:val="20"/>
          <w:szCs w:val="20"/>
        </w:rPr>
        <w:t xml:space="preserve">za vedoucího pojistitele Kooperativa pojišťovna, a.s., </w:t>
      </w:r>
      <w:proofErr w:type="spellStart"/>
      <w:r w:rsidR="005760FC" w:rsidRPr="00B229D0">
        <w:rPr>
          <w:rFonts w:cs="Arial"/>
          <w:i/>
          <w:sz w:val="20"/>
          <w:szCs w:val="20"/>
        </w:rPr>
        <w:t>Vienna</w:t>
      </w:r>
      <w:proofErr w:type="spellEnd"/>
      <w:r w:rsidR="005760FC" w:rsidRPr="00B229D0">
        <w:rPr>
          <w:rFonts w:cs="Arial"/>
          <w:i/>
          <w:sz w:val="20"/>
          <w:szCs w:val="20"/>
        </w:rPr>
        <w:t xml:space="preserve"> </w:t>
      </w:r>
      <w:proofErr w:type="spellStart"/>
      <w:r w:rsidR="005760FC" w:rsidRPr="00B229D0">
        <w:rPr>
          <w:rFonts w:cs="Arial"/>
          <w:i/>
          <w:sz w:val="20"/>
          <w:szCs w:val="20"/>
        </w:rPr>
        <w:t>Insurance</w:t>
      </w:r>
      <w:proofErr w:type="spellEnd"/>
      <w:r w:rsidR="005760FC" w:rsidRPr="00B229D0">
        <w:rPr>
          <w:rFonts w:cs="Arial"/>
          <w:i/>
          <w:sz w:val="20"/>
          <w:szCs w:val="20"/>
        </w:rPr>
        <w:t xml:space="preserve"> Group</w:t>
      </w:r>
    </w:p>
    <w:p w:rsidR="005760FC" w:rsidRDefault="005760FC" w:rsidP="005760FC">
      <w:pPr>
        <w:keepNext/>
        <w:tabs>
          <w:tab w:val="left" w:pos="3261"/>
          <w:tab w:val="left" w:pos="6521"/>
        </w:tabs>
        <w:ind w:left="426"/>
        <w:contextualSpacing/>
        <w:rPr>
          <w:rFonts w:cs="Arial"/>
          <w:sz w:val="20"/>
          <w:szCs w:val="20"/>
        </w:rPr>
      </w:pPr>
    </w:p>
    <w:p w:rsidR="00DB24B0" w:rsidRDefault="00DB24B0" w:rsidP="005760FC">
      <w:pPr>
        <w:keepNext/>
        <w:tabs>
          <w:tab w:val="left" w:pos="3261"/>
          <w:tab w:val="left" w:pos="6521"/>
        </w:tabs>
        <w:ind w:left="426"/>
        <w:contextualSpacing/>
        <w:rPr>
          <w:rFonts w:cs="Arial"/>
          <w:sz w:val="20"/>
          <w:szCs w:val="20"/>
        </w:rPr>
      </w:pPr>
    </w:p>
    <w:p w:rsidR="005760FC" w:rsidRPr="00B229D0" w:rsidRDefault="005760FC" w:rsidP="005760FC">
      <w:pPr>
        <w:keepNext/>
        <w:tabs>
          <w:tab w:val="left" w:pos="3261"/>
          <w:tab w:val="left" w:pos="6521"/>
        </w:tabs>
        <w:ind w:left="426"/>
        <w:contextualSpacing/>
        <w:rPr>
          <w:rFonts w:cs="Arial"/>
          <w:sz w:val="20"/>
          <w:szCs w:val="20"/>
        </w:rPr>
      </w:pPr>
    </w:p>
    <w:p w:rsidR="005760FC" w:rsidRPr="00B229D0" w:rsidRDefault="005760FC" w:rsidP="005760FC">
      <w:pPr>
        <w:tabs>
          <w:tab w:val="center" w:pos="3686"/>
          <w:tab w:val="center" w:pos="7797"/>
        </w:tabs>
        <w:jc w:val="both"/>
        <w:rPr>
          <w:rFonts w:cs="Arial"/>
          <w:sz w:val="20"/>
          <w:szCs w:val="20"/>
        </w:rPr>
      </w:pPr>
      <w:r w:rsidRPr="00B229D0">
        <w:rPr>
          <w:rFonts w:cs="Arial"/>
          <w:sz w:val="20"/>
          <w:szCs w:val="20"/>
        </w:rPr>
        <w:t xml:space="preserve">V Praze dne </w:t>
      </w:r>
      <w:r>
        <w:rPr>
          <w:rFonts w:cs="Arial"/>
          <w:sz w:val="20"/>
          <w:szCs w:val="20"/>
        </w:rPr>
        <w:t>………………</w:t>
      </w:r>
      <w:r w:rsidRPr="00B229D0">
        <w:rPr>
          <w:rFonts w:cs="Arial"/>
          <w:sz w:val="20"/>
          <w:szCs w:val="20"/>
        </w:rPr>
        <w:tab/>
        <w:t>...................................................................</w:t>
      </w:r>
      <w:r w:rsidRPr="00B229D0">
        <w:rPr>
          <w:rFonts w:cs="Arial"/>
          <w:sz w:val="20"/>
          <w:szCs w:val="20"/>
        </w:rPr>
        <w:tab/>
        <w:t>............................................................</w:t>
      </w:r>
    </w:p>
    <w:p w:rsidR="00316DC8" w:rsidRDefault="00316DC8" w:rsidP="00FB3695">
      <w:pPr>
        <w:tabs>
          <w:tab w:val="center" w:pos="3686"/>
          <w:tab w:val="center" w:pos="7797"/>
        </w:tabs>
        <w:jc w:val="both"/>
        <w:rPr>
          <w:rFonts w:cs="Arial"/>
          <w:spacing w:val="-4"/>
          <w:sz w:val="20"/>
          <w:szCs w:val="20"/>
        </w:rPr>
      </w:pPr>
    </w:p>
    <w:p w:rsidR="00FB3695" w:rsidRDefault="00FB3695" w:rsidP="00FB3695">
      <w:pPr>
        <w:tabs>
          <w:tab w:val="center" w:pos="3686"/>
          <w:tab w:val="center" w:pos="7797"/>
        </w:tabs>
        <w:jc w:val="both"/>
        <w:rPr>
          <w:rFonts w:cs="Arial"/>
          <w:spacing w:val="-4"/>
          <w:sz w:val="20"/>
          <w:szCs w:val="20"/>
        </w:rPr>
      </w:pPr>
      <w:r>
        <w:rPr>
          <w:rFonts w:cs="Arial"/>
          <w:spacing w:val="-4"/>
          <w:sz w:val="20"/>
          <w:szCs w:val="20"/>
        </w:rPr>
        <w:tab/>
      </w:r>
      <w:r w:rsidR="00DA03DF">
        <w:rPr>
          <w:rFonts w:cs="Arial"/>
          <w:spacing w:val="-4"/>
          <w:sz w:val="20"/>
          <w:szCs w:val="20"/>
        </w:rPr>
        <w:t>hlavní upisovatel</w:t>
      </w:r>
      <w:r>
        <w:rPr>
          <w:rFonts w:cs="Arial"/>
          <w:spacing w:val="-4"/>
          <w:sz w:val="20"/>
          <w:szCs w:val="20"/>
        </w:rPr>
        <w:tab/>
      </w:r>
      <w:proofErr w:type="spellStart"/>
      <w:r>
        <w:rPr>
          <w:rFonts w:cs="Arial"/>
          <w:spacing w:val="-4"/>
          <w:sz w:val="20"/>
          <w:szCs w:val="20"/>
        </w:rPr>
        <w:t>upisovatel</w:t>
      </w:r>
      <w:proofErr w:type="spellEnd"/>
    </w:p>
    <w:p w:rsidR="00FB3695" w:rsidRDefault="00FB3695" w:rsidP="00FB3695">
      <w:pPr>
        <w:tabs>
          <w:tab w:val="center" w:pos="3686"/>
          <w:tab w:val="center" w:pos="7797"/>
        </w:tabs>
        <w:jc w:val="both"/>
        <w:rPr>
          <w:rFonts w:cs="Arial"/>
          <w:spacing w:val="-4"/>
          <w:sz w:val="20"/>
          <w:szCs w:val="20"/>
        </w:rPr>
      </w:pPr>
      <w:r>
        <w:rPr>
          <w:rFonts w:cs="Arial"/>
          <w:spacing w:val="-4"/>
          <w:sz w:val="20"/>
          <w:szCs w:val="20"/>
        </w:rPr>
        <w:tab/>
      </w:r>
      <w:r>
        <w:rPr>
          <w:rFonts w:cs="Arial"/>
          <w:sz w:val="20"/>
        </w:rPr>
        <w:t>Úpis korporátních a průmyslových obchodů</w:t>
      </w:r>
      <w:r>
        <w:rPr>
          <w:rFonts w:cs="Arial"/>
          <w:spacing w:val="-4"/>
          <w:sz w:val="20"/>
          <w:szCs w:val="20"/>
        </w:rPr>
        <w:tab/>
        <w:t>Úpis korporátních a průmyslových obchodů</w:t>
      </w:r>
    </w:p>
    <w:p w:rsidR="005760FC" w:rsidRPr="00B229D0" w:rsidRDefault="00FB3695" w:rsidP="00FB3695">
      <w:pPr>
        <w:tabs>
          <w:tab w:val="left" w:pos="3119"/>
          <w:tab w:val="center" w:pos="3969"/>
          <w:tab w:val="center" w:pos="5387"/>
        </w:tabs>
        <w:spacing w:before="60"/>
        <w:jc w:val="center"/>
        <w:rPr>
          <w:rFonts w:cs="Arial"/>
          <w:i/>
          <w:sz w:val="20"/>
          <w:szCs w:val="20"/>
        </w:rPr>
      </w:pPr>
      <w:r>
        <w:rPr>
          <w:rFonts w:cs="Arial"/>
          <w:i/>
          <w:sz w:val="20"/>
          <w:szCs w:val="20"/>
        </w:rPr>
        <w:t xml:space="preserve">                            </w:t>
      </w:r>
      <w:r w:rsidR="005760FC" w:rsidRPr="00B229D0">
        <w:rPr>
          <w:rFonts w:cs="Arial"/>
          <w:i/>
          <w:sz w:val="20"/>
          <w:szCs w:val="20"/>
        </w:rPr>
        <w:t>za (</w:t>
      </w:r>
      <w:proofErr w:type="spellStart"/>
      <w:r w:rsidR="005760FC" w:rsidRPr="00B229D0">
        <w:rPr>
          <w:rFonts w:cs="Arial"/>
          <w:i/>
          <w:sz w:val="20"/>
          <w:szCs w:val="20"/>
        </w:rPr>
        <w:t>sou</w:t>
      </w:r>
      <w:proofErr w:type="spellEnd"/>
      <w:r w:rsidR="005760FC" w:rsidRPr="00B229D0">
        <w:rPr>
          <w:rFonts w:cs="Arial"/>
          <w:i/>
          <w:sz w:val="20"/>
          <w:szCs w:val="20"/>
        </w:rPr>
        <w:t xml:space="preserve">)pojistitele </w:t>
      </w:r>
      <w:proofErr w:type="spellStart"/>
      <w:r w:rsidR="005760FC" w:rsidRPr="00B229D0">
        <w:rPr>
          <w:rFonts w:cs="Arial"/>
          <w:i/>
          <w:sz w:val="20"/>
          <w:szCs w:val="20"/>
        </w:rPr>
        <w:t>Generali</w:t>
      </w:r>
      <w:proofErr w:type="spellEnd"/>
      <w:r w:rsidR="005760FC" w:rsidRPr="00B229D0">
        <w:rPr>
          <w:rFonts w:cs="Arial"/>
          <w:i/>
          <w:sz w:val="20"/>
          <w:szCs w:val="20"/>
        </w:rPr>
        <w:t xml:space="preserve"> Pojišťovna a.s. </w:t>
      </w:r>
    </w:p>
    <w:p w:rsidR="001A1D03" w:rsidRDefault="001A1D03" w:rsidP="005760FC">
      <w:pPr>
        <w:keepNext/>
        <w:tabs>
          <w:tab w:val="left" w:pos="3261"/>
          <w:tab w:val="left" w:pos="6521"/>
        </w:tabs>
        <w:ind w:left="426"/>
        <w:contextualSpacing/>
        <w:rPr>
          <w:rFonts w:cs="Arial"/>
          <w:sz w:val="20"/>
          <w:szCs w:val="20"/>
        </w:rPr>
      </w:pPr>
    </w:p>
    <w:p w:rsidR="001A1D03" w:rsidRDefault="001A1D03" w:rsidP="005760FC">
      <w:pPr>
        <w:keepNext/>
        <w:tabs>
          <w:tab w:val="left" w:pos="3261"/>
          <w:tab w:val="left" w:pos="6521"/>
        </w:tabs>
        <w:ind w:left="426"/>
        <w:contextualSpacing/>
        <w:rPr>
          <w:rFonts w:cs="Arial"/>
          <w:sz w:val="20"/>
          <w:szCs w:val="20"/>
        </w:rPr>
      </w:pPr>
    </w:p>
    <w:p w:rsidR="005760FC" w:rsidRPr="00B229D0" w:rsidRDefault="005760FC" w:rsidP="005760FC">
      <w:pPr>
        <w:keepNext/>
        <w:tabs>
          <w:tab w:val="left" w:pos="3261"/>
          <w:tab w:val="left" w:pos="6521"/>
        </w:tabs>
        <w:ind w:left="426"/>
        <w:contextualSpacing/>
        <w:rPr>
          <w:rFonts w:cs="Arial"/>
          <w:sz w:val="20"/>
          <w:szCs w:val="20"/>
        </w:rPr>
      </w:pPr>
    </w:p>
    <w:p w:rsidR="005760FC" w:rsidRPr="00B229D0" w:rsidRDefault="005760FC" w:rsidP="005760FC">
      <w:pPr>
        <w:tabs>
          <w:tab w:val="center" w:pos="3686"/>
          <w:tab w:val="center" w:pos="7797"/>
        </w:tabs>
        <w:jc w:val="both"/>
        <w:rPr>
          <w:rFonts w:cs="Arial"/>
          <w:sz w:val="20"/>
          <w:szCs w:val="20"/>
        </w:rPr>
      </w:pPr>
      <w:r>
        <w:rPr>
          <w:rFonts w:cs="Arial"/>
          <w:sz w:val="20"/>
          <w:szCs w:val="20"/>
        </w:rPr>
        <w:t>V Praze dne ……………...</w:t>
      </w:r>
      <w:r w:rsidRPr="00B229D0">
        <w:rPr>
          <w:rFonts w:cs="Arial"/>
          <w:sz w:val="20"/>
          <w:szCs w:val="20"/>
        </w:rPr>
        <w:tab/>
        <w:t>...................................................................</w:t>
      </w:r>
      <w:r w:rsidRPr="00B229D0">
        <w:rPr>
          <w:rFonts w:cs="Arial"/>
          <w:sz w:val="20"/>
          <w:szCs w:val="20"/>
        </w:rPr>
        <w:tab/>
        <w:t>............................................................</w:t>
      </w:r>
    </w:p>
    <w:p w:rsidR="00316DC8" w:rsidRDefault="00316DC8" w:rsidP="00DA03DF">
      <w:pPr>
        <w:tabs>
          <w:tab w:val="center" w:pos="3686"/>
          <w:tab w:val="center" w:pos="7797"/>
        </w:tabs>
        <w:jc w:val="both"/>
        <w:rPr>
          <w:rFonts w:cs="Arial"/>
          <w:spacing w:val="-4"/>
          <w:sz w:val="20"/>
          <w:szCs w:val="20"/>
        </w:rPr>
      </w:pPr>
    </w:p>
    <w:p w:rsidR="00DA03DF" w:rsidRPr="00DA03DF" w:rsidRDefault="00DA03DF" w:rsidP="00DA03DF">
      <w:pPr>
        <w:tabs>
          <w:tab w:val="center" w:pos="3686"/>
          <w:tab w:val="center" w:pos="7797"/>
        </w:tabs>
        <w:jc w:val="both"/>
        <w:rPr>
          <w:rFonts w:cs="Arial"/>
          <w:spacing w:val="-4"/>
          <w:sz w:val="20"/>
          <w:szCs w:val="20"/>
        </w:rPr>
      </w:pPr>
      <w:r w:rsidRPr="00DA03DF">
        <w:rPr>
          <w:rFonts w:cs="Arial"/>
          <w:spacing w:val="-4"/>
          <w:sz w:val="20"/>
          <w:szCs w:val="20"/>
        </w:rPr>
        <w:tab/>
        <w:t>předseda představenstva</w:t>
      </w:r>
      <w:r w:rsidRPr="00DA03DF">
        <w:rPr>
          <w:rFonts w:cs="Arial"/>
          <w:spacing w:val="-4"/>
          <w:sz w:val="20"/>
          <w:szCs w:val="20"/>
        </w:rPr>
        <w:tab/>
        <w:t>místopředsedkyně představenstva</w:t>
      </w:r>
    </w:p>
    <w:p w:rsidR="005760FC" w:rsidRPr="00B229D0" w:rsidRDefault="00A03257" w:rsidP="005760FC">
      <w:pPr>
        <w:tabs>
          <w:tab w:val="left" w:pos="4536"/>
        </w:tabs>
        <w:spacing w:before="60"/>
        <w:jc w:val="center"/>
        <w:rPr>
          <w:rFonts w:cs="Arial"/>
          <w:i/>
          <w:sz w:val="20"/>
          <w:szCs w:val="20"/>
        </w:rPr>
      </w:pPr>
      <w:r>
        <w:rPr>
          <w:rFonts w:cs="Arial"/>
          <w:i/>
          <w:sz w:val="20"/>
          <w:szCs w:val="20"/>
        </w:rPr>
        <w:t xml:space="preserve">                                  </w:t>
      </w:r>
      <w:r w:rsidR="005760FC" w:rsidRPr="00B229D0">
        <w:rPr>
          <w:rFonts w:cs="Arial"/>
          <w:i/>
          <w:sz w:val="20"/>
          <w:szCs w:val="20"/>
        </w:rPr>
        <w:t>za (</w:t>
      </w:r>
      <w:proofErr w:type="spellStart"/>
      <w:r w:rsidR="005760FC" w:rsidRPr="00B229D0">
        <w:rPr>
          <w:rFonts w:cs="Arial"/>
          <w:i/>
          <w:sz w:val="20"/>
          <w:szCs w:val="20"/>
        </w:rPr>
        <w:t>sou</w:t>
      </w:r>
      <w:proofErr w:type="spellEnd"/>
      <w:r w:rsidR="005760FC" w:rsidRPr="00B229D0">
        <w:rPr>
          <w:rFonts w:cs="Arial"/>
          <w:i/>
          <w:sz w:val="20"/>
          <w:szCs w:val="20"/>
        </w:rPr>
        <w:t xml:space="preserve">)pojistitele Pojišťovna VZP, a.s. </w:t>
      </w:r>
    </w:p>
    <w:p w:rsidR="00F64182" w:rsidRDefault="00F64182" w:rsidP="005760FC">
      <w:pPr>
        <w:keepNext/>
        <w:tabs>
          <w:tab w:val="left" w:pos="3261"/>
          <w:tab w:val="left" w:pos="6521"/>
        </w:tabs>
        <w:ind w:left="426"/>
        <w:contextualSpacing/>
        <w:rPr>
          <w:rFonts w:cs="Arial"/>
          <w:sz w:val="20"/>
          <w:szCs w:val="20"/>
        </w:rPr>
      </w:pPr>
    </w:p>
    <w:p w:rsidR="00F64182" w:rsidRDefault="00F64182" w:rsidP="005760FC">
      <w:pPr>
        <w:keepNext/>
        <w:tabs>
          <w:tab w:val="left" w:pos="3261"/>
          <w:tab w:val="left" w:pos="6521"/>
        </w:tabs>
        <w:ind w:left="426"/>
        <w:contextualSpacing/>
        <w:rPr>
          <w:rFonts w:cs="Arial"/>
          <w:sz w:val="20"/>
          <w:szCs w:val="20"/>
        </w:rPr>
      </w:pPr>
    </w:p>
    <w:p w:rsidR="001A1D03" w:rsidRDefault="001A1D03" w:rsidP="005760FC">
      <w:pPr>
        <w:keepNext/>
        <w:tabs>
          <w:tab w:val="left" w:pos="3261"/>
          <w:tab w:val="left" w:pos="6521"/>
        </w:tabs>
        <w:ind w:left="426"/>
        <w:contextualSpacing/>
        <w:rPr>
          <w:rFonts w:cs="Arial"/>
          <w:sz w:val="20"/>
          <w:szCs w:val="20"/>
        </w:rPr>
      </w:pPr>
    </w:p>
    <w:p w:rsidR="005760FC" w:rsidRPr="00B229D0" w:rsidRDefault="005760FC" w:rsidP="005760FC">
      <w:pPr>
        <w:tabs>
          <w:tab w:val="center" w:pos="3686"/>
          <w:tab w:val="center" w:pos="7797"/>
        </w:tabs>
        <w:jc w:val="both"/>
        <w:rPr>
          <w:rFonts w:cs="Arial"/>
          <w:sz w:val="20"/>
          <w:szCs w:val="20"/>
        </w:rPr>
      </w:pPr>
      <w:r w:rsidRPr="00B229D0">
        <w:rPr>
          <w:rFonts w:cs="Arial"/>
          <w:sz w:val="20"/>
          <w:szCs w:val="20"/>
        </w:rPr>
        <w:t>V Praze dne ………</w:t>
      </w:r>
      <w:r w:rsidR="00015562">
        <w:rPr>
          <w:rFonts w:cs="Arial"/>
          <w:sz w:val="20"/>
          <w:szCs w:val="20"/>
        </w:rPr>
        <w:t>..</w:t>
      </w:r>
      <w:r w:rsidRPr="00B229D0">
        <w:rPr>
          <w:rFonts w:cs="Arial"/>
          <w:sz w:val="20"/>
          <w:szCs w:val="20"/>
        </w:rPr>
        <w:t>…</w:t>
      </w:r>
      <w:r w:rsidRPr="00B229D0">
        <w:rPr>
          <w:rFonts w:cs="Arial"/>
          <w:sz w:val="20"/>
          <w:szCs w:val="20"/>
        </w:rPr>
        <w:tab/>
        <w:t>…………………………………….</w:t>
      </w:r>
    </w:p>
    <w:p w:rsidR="005760FC" w:rsidRPr="00B229D0" w:rsidRDefault="005760FC" w:rsidP="005760FC">
      <w:pPr>
        <w:tabs>
          <w:tab w:val="center" w:pos="3686"/>
        </w:tabs>
        <w:rPr>
          <w:rFonts w:cs="Arial"/>
          <w:sz w:val="20"/>
          <w:szCs w:val="20"/>
        </w:rPr>
      </w:pPr>
      <w:r w:rsidRPr="00B229D0">
        <w:rPr>
          <w:rFonts w:cs="Arial"/>
          <w:sz w:val="20"/>
          <w:szCs w:val="20"/>
        </w:rPr>
        <w:tab/>
        <w:t>za pojistníka</w:t>
      </w:r>
    </w:p>
    <w:p w:rsidR="00D7357B" w:rsidRDefault="00D7357B" w:rsidP="004A73A8">
      <w:pPr>
        <w:rPr>
          <w:rFonts w:cs="Arial"/>
          <w:sz w:val="20"/>
        </w:rPr>
      </w:pPr>
    </w:p>
    <w:p w:rsidR="00A9448A" w:rsidRDefault="00A9448A" w:rsidP="004A73A8">
      <w:pPr>
        <w:rPr>
          <w:rFonts w:cs="Arial"/>
          <w:sz w:val="20"/>
        </w:rPr>
      </w:pPr>
    </w:p>
    <w:p w:rsidR="003D52E4" w:rsidRDefault="003D52E4" w:rsidP="004A73A8">
      <w:pPr>
        <w:rPr>
          <w:rFonts w:cs="Arial"/>
          <w:sz w:val="20"/>
        </w:rPr>
      </w:pPr>
    </w:p>
    <w:p w:rsidR="003D52E4" w:rsidRDefault="003D52E4" w:rsidP="004A73A8">
      <w:pPr>
        <w:rPr>
          <w:rFonts w:cs="Arial"/>
          <w:sz w:val="20"/>
        </w:rPr>
      </w:pPr>
    </w:p>
    <w:p w:rsidR="005760FC" w:rsidRPr="00FE4CA2" w:rsidRDefault="005760FC" w:rsidP="00E45F2F">
      <w:pPr>
        <w:pStyle w:val="Zkladntextodsazen3"/>
        <w:tabs>
          <w:tab w:val="left" w:pos="1418"/>
        </w:tabs>
        <w:ind w:left="0"/>
        <w:rPr>
          <w:rFonts w:ascii="Koop Office" w:hAnsi="Koop Office"/>
          <w:sz w:val="20"/>
          <w:szCs w:val="20"/>
        </w:rPr>
      </w:pPr>
      <w:r w:rsidRPr="00FE4CA2">
        <w:rPr>
          <w:rFonts w:ascii="Koop Office" w:hAnsi="Koop Office"/>
          <w:sz w:val="20"/>
          <w:szCs w:val="20"/>
        </w:rPr>
        <w:t xml:space="preserve">Dodatek vypracoval: </w:t>
      </w:r>
      <w:r w:rsidR="00316DC8">
        <w:rPr>
          <w:rFonts w:ascii="Koop Office" w:hAnsi="Koop Office"/>
          <w:sz w:val="20"/>
          <w:szCs w:val="20"/>
        </w:rPr>
        <w:t>xxxxx</w:t>
      </w:r>
      <w:bookmarkStart w:id="3" w:name="_GoBack"/>
      <w:bookmarkEnd w:id="3"/>
    </w:p>
    <w:sectPr w:rsidR="005760FC" w:rsidRPr="00FE4CA2" w:rsidSect="0015769E">
      <w:headerReference w:type="default" r:id="rId12"/>
      <w:footerReference w:type="default" r:id="rId13"/>
      <w:headerReference w:type="first" r:id="rId14"/>
      <w:footerReference w:type="first" r:id="rId15"/>
      <w:pgSz w:w="11906" w:h="16838" w:code="9"/>
      <w:pgMar w:top="1134" w:right="1134" w:bottom="1134"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000" w:rsidRDefault="00F34000">
      <w:r>
        <w:separator/>
      </w:r>
    </w:p>
  </w:endnote>
  <w:endnote w:type="continuationSeparator" w:id="0">
    <w:p w:rsidR="00F34000" w:rsidRDefault="00F3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290548"/>
      <w:docPartObj>
        <w:docPartGallery w:val="Page Numbers (Bottom of Page)"/>
        <w:docPartUnique/>
      </w:docPartObj>
    </w:sdtPr>
    <w:sdtEndPr>
      <w:rPr>
        <w:sz w:val="18"/>
        <w:szCs w:val="18"/>
      </w:rPr>
    </w:sdtEndPr>
    <w:sdtContent>
      <w:p w:rsidR="00D3403C" w:rsidRPr="00877EFF" w:rsidRDefault="00D3403C">
        <w:pPr>
          <w:pStyle w:val="Zpat"/>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A7462B">
          <w:rPr>
            <w:noProof/>
            <w:sz w:val="18"/>
            <w:szCs w:val="18"/>
          </w:rPr>
          <w:t>2</w:t>
        </w:r>
        <w:r w:rsidRPr="00877EFF">
          <w:rPr>
            <w:sz w:val="18"/>
            <w:szCs w:val="18"/>
          </w:rPr>
          <w:fldChar w:fldCharType="end"/>
        </w:r>
      </w:p>
    </w:sdtContent>
  </w:sdt>
  <w:p w:rsidR="00D3403C" w:rsidRDefault="00D340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03C" w:rsidRDefault="00D3403C">
    <w:pPr>
      <w:pStyle w:val="Zpat"/>
      <w:jc w:val="center"/>
    </w:pPr>
  </w:p>
  <w:p w:rsidR="00D3403C" w:rsidRDefault="00D340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000" w:rsidRDefault="00F34000">
      <w:r>
        <w:separator/>
      </w:r>
    </w:p>
  </w:footnote>
  <w:footnote w:type="continuationSeparator" w:id="0">
    <w:p w:rsidR="00F34000" w:rsidRDefault="00F3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03C" w:rsidRPr="00652055" w:rsidRDefault="00D3403C" w:rsidP="00652055">
    <w:pPr>
      <w:pStyle w:val="Zhlav"/>
    </w:pP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03C" w:rsidRPr="00A61619" w:rsidRDefault="00D3403C" w:rsidP="00652055">
    <w:pPr>
      <w:pStyle w:val="Zhlav"/>
    </w:pPr>
    <w:r>
      <w:rPr>
        <w:sz w:val="23"/>
        <w:szCs w:val="23"/>
      </w:rPr>
      <w:tab/>
    </w:r>
    <w:r>
      <w:rPr>
        <w:sz w:val="23"/>
        <w:szCs w:val="23"/>
      </w:rPr>
      <w:tab/>
    </w:r>
  </w:p>
  <w:p w:rsidR="00D3403C" w:rsidRDefault="00D340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1D506BD"/>
    <w:multiLevelType w:val="multilevel"/>
    <w:tmpl w:val="3AE4921E"/>
    <w:lvl w:ilvl="0">
      <w:start w:val="1"/>
      <w:numFmt w:val="decimal"/>
      <w:lvlText w:val="2.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6"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4B4D"/>
    <w:multiLevelType w:val="hybridMultilevel"/>
    <w:tmpl w:val="11B4637A"/>
    <w:lvl w:ilvl="0" w:tplc="A3CE8B3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8B10DD"/>
    <w:multiLevelType w:val="hybridMultilevel"/>
    <w:tmpl w:val="9A8A2BF6"/>
    <w:lvl w:ilvl="0" w:tplc="2496D12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3305187"/>
    <w:multiLevelType w:val="multilevel"/>
    <w:tmpl w:val="C568E1EA"/>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EB3F22"/>
    <w:multiLevelType w:val="hybridMultilevel"/>
    <w:tmpl w:val="91D664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7C44435"/>
    <w:multiLevelType w:val="hybridMultilevel"/>
    <w:tmpl w:val="DF16F460"/>
    <w:lvl w:ilvl="0" w:tplc="04050001">
      <w:start w:val="1"/>
      <w:numFmt w:val="bullet"/>
      <w:lvlText w:val=""/>
      <w:lvlJc w:val="left"/>
      <w:pPr>
        <w:tabs>
          <w:tab w:val="num" w:pos="644"/>
        </w:tabs>
        <w:ind w:left="644" w:hanging="360"/>
      </w:pPr>
      <w:rPr>
        <w:rFonts w:ascii="Symbol" w:hAnsi="Symbol" w:hint="default"/>
      </w:rPr>
    </w:lvl>
    <w:lvl w:ilvl="1" w:tplc="8A06A91E">
      <w:start w:val="1"/>
      <w:numFmt w:val="decimal"/>
      <w:lvlText w:val="%2."/>
      <w:lvlJc w:val="left"/>
      <w:pPr>
        <w:tabs>
          <w:tab w:val="num" w:pos="1364"/>
        </w:tabs>
        <w:ind w:left="1364" w:hanging="360"/>
      </w:pPr>
      <w:rPr>
        <w:rFonts w:hint="default"/>
        <w:b w:val="0"/>
        <w:i w:val="0"/>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4"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F17F5"/>
    <w:multiLevelType w:val="hybridMultilevel"/>
    <w:tmpl w:val="0CFA4CF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3CCF1E05"/>
    <w:multiLevelType w:val="multilevel"/>
    <w:tmpl w:val="1AE66A82"/>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20"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3343881"/>
    <w:multiLevelType w:val="hybridMultilevel"/>
    <w:tmpl w:val="3BAEF3A0"/>
    <w:lvl w:ilvl="0" w:tplc="DADEF5A6">
      <w:start w:val="1"/>
      <w:numFmt w:val="lowerLetter"/>
      <w:lvlText w:val="%1)"/>
      <w:lvlJc w:val="left"/>
      <w:pPr>
        <w:tabs>
          <w:tab w:val="num" w:pos="644"/>
        </w:tabs>
        <w:ind w:left="644" w:hanging="360"/>
      </w:pPr>
      <w:rPr>
        <w:rFonts w:hint="default"/>
      </w:rPr>
    </w:lvl>
    <w:lvl w:ilvl="1" w:tplc="8A06A91E">
      <w:start w:val="1"/>
      <w:numFmt w:val="decimal"/>
      <w:lvlText w:val="%2."/>
      <w:lvlJc w:val="left"/>
      <w:pPr>
        <w:tabs>
          <w:tab w:val="num" w:pos="1364"/>
        </w:tabs>
        <w:ind w:left="1364" w:hanging="360"/>
      </w:pPr>
      <w:rPr>
        <w:rFonts w:hint="default"/>
        <w:b w:val="0"/>
        <w:i w:val="0"/>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4"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668255E"/>
    <w:multiLevelType w:val="hybridMultilevel"/>
    <w:tmpl w:val="EDB4A452"/>
    <w:lvl w:ilvl="0" w:tplc="05144E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8" w15:restartNumberingAfterBreak="0">
    <w:nsid w:val="65A00191"/>
    <w:multiLevelType w:val="multilevel"/>
    <w:tmpl w:val="6DC21F14"/>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0" w15:restartNumberingAfterBreak="0">
    <w:nsid w:val="6AC02755"/>
    <w:multiLevelType w:val="hybridMultilevel"/>
    <w:tmpl w:val="3F2C0310"/>
    <w:lvl w:ilvl="0" w:tplc="6ED0A96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DD0174"/>
    <w:multiLevelType w:val="hybridMultilevel"/>
    <w:tmpl w:val="0D908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992151"/>
    <w:multiLevelType w:val="hybridMultilevel"/>
    <w:tmpl w:val="446C64A0"/>
    <w:lvl w:ilvl="0" w:tplc="A552D6A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32"/>
  </w:num>
  <w:num w:numId="3">
    <w:abstractNumId w:val="14"/>
  </w:num>
  <w:num w:numId="4">
    <w:abstractNumId w:val="27"/>
  </w:num>
  <w:num w:numId="5">
    <w:abstractNumId w:val="19"/>
  </w:num>
  <w:num w:numId="6">
    <w:abstractNumId w:val="20"/>
  </w:num>
  <w:num w:numId="7">
    <w:abstractNumId w:val="18"/>
  </w:num>
  <w:num w:numId="8">
    <w:abstractNumId w:val="16"/>
  </w:num>
  <w:num w:numId="9">
    <w:abstractNumId w:val="33"/>
  </w:num>
  <w:num w:numId="10">
    <w:abstractNumId w:val="3"/>
  </w:num>
  <w:num w:numId="11">
    <w:abstractNumId w:val="24"/>
  </w:num>
  <w:num w:numId="12">
    <w:abstractNumId w:val="21"/>
  </w:num>
  <w:num w:numId="13">
    <w:abstractNumId w:val="36"/>
  </w:num>
  <w:num w:numId="14">
    <w:abstractNumId w:val="25"/>
  </w:num>
  <w:num w:numId="15">
    <w:abstractNumId w:val="22"/>
  </w:num>
  <w:num w:numId="16">
    <w:abstractNumId w:val="3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2"/>
  </w:num>
  <w:num w:numId="22">
    <w:abstractNumId w:val="26"/>
  </w:num>
  <w:num w:numId="23">
    <w:abstractNumId w:val="28"/>
  </w:num>
  <w:num w:numId="24">
    <w:abstractNumId w:val="23"/>
  </w:num>
  <w:num w:numId="25">
    <w:abstractNumId w:val="7"/>
  </w:num>
  <w:num w:numId="26">
    <w:abstractNumId w:val="30"/>
  </w:num>
  <w:num w:numId="27">
    <w:abstractNumId w:val="8"/>
  </w:num>
  <w:num w:numId="28">
    <w:abstractNumId w:val="35"/>
  </w:num>
  <w:num w:numId="29">
    <w:abstractNumId w:val="11"/>
  </w:num>
  <w:num w:numId="30">
    <w:abstractNumId w:val="13"/>
  </w:num>
  <w:num w:numId="31">
    <w:abstractNumId w:val="6"/>
  </w:num>
  <w:num w:numId="32">
    <w:abstractNumId w:val="31"/>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00D"/>
    <w:rsid w:val="000031E3"/>
    <w:rsid w:val="00004162"/>
    <w:rsid w:val="00005584"/>
    <w:rsid w:val="000056C9"/>
    <w:rsid w:val="0000622D"/>
    <w:rsid w:val="000067B5"/>
    <w:rsid w:val="0001024B"/>
    <w:rsid w:val="0001084B"/>
    <w:rsid w:val="00012595"/>
    <w:rsid w:val="000140B5"/>
    <w:rsid w:val="00014FBC"/>
    <w:rsid w:val="00015562"/>
    <w:rsid w:val="00016200"/>
    <w:rsid w:val="00020DF0"/>
    <w:rsid w:val="0002179A"/>
    <w:rsid w:val="00023E0F"/>
    <w:rsid w:val="000269DE"/>
    <w:rsid w:val="00027092"/>
    <w:rsid w:val="000273D3"/>
    <w:rsid w:val="000277E9"/>
    <w:rsid w:val="00032351"/>
    <w:rsid w:val="000333B4"/>
    <w:rsid w:val="00033F43"/>
    <w:rsid w:val="0003415C"/>
    <w:rsid w:val="000341AF"/>
    <w:rsid w:val="000343B2"/>
    <w:rsid w:val="00034C66"/>
    <w:rsid w:val="000359D6"/>
    <w:rsid w:val="0004260F"/>
    <w:rsid w:val="00045DC6"/>
    <w:rsid w:val="000540F2"/>
    <w:rsid w:val="00055603"/>
    <w:rsid w:val="000601C7"/>
    <w:rsid w:val="00060851"/>
    <w:rsid w:val="00061A8D"/>
    <w:rsid w:val="00062571"/>
    <w:rsid w:val="00065239"/>
    <w:rsid w:val="000664A2"/>
    <w:rsid w:val="00077008"/>
    <w:rsid w:val="00077718"/>
    <w:rsid w:val="00077F31"/>
    <w:rsid w:val="00080B9C"/>
    <w:rsid w:val="00081E97"/>
    <w:rsid w:val="00084DA2"/>
    <w:rsid w:val="00084F31"/>
    <w:rsid w:val="00085618"/>
    <w:rsid w:val="00090ECC"/>
    <w:rsid w:val="00091D62"/>
    <w:rsid w:val="00094EE2"/>
    <w:rsid w:val="00097110"/>
    <w:rsid w:val="0009786D"/>
    <w:rsid w:val="00097CD0"/>
    <w:rsid w:val="000A025A"/>
    <w:rsid w:val="000A10CA"/>
    <w:rsid w:val="000A224B"/>
    <w:rsid w:val="000A2D57"/>
    <w:rsid w:val="000A3B0B"/>
    <w:rsid w:val="000A6CC5"/>
    <w:rsid w:val="000A7B53"/>
    <w:rsid w:val="000B0C00"/>
    <w:rsid w:val="000B0F48"/>
    <w:rsid w:val="000B1956"/>
    <w:rsid w:val="000B3611"/>
    <w:rsid w:val="000B3E8B"/>
    <w:rsid w:val="000C117C"/>
    <w:rsid w:val="000C19A5"/>
    <w:rsid w:val="000C6477"/>
    <w:rsid w:val="000C676E"/>
    <w:rsid w:val="000D0067"/>
    <w:rsid w:val="000D04DB"/>
    <w:rsid w:val="000D0FEA"/>
    <w:rsid w:val="000D2257"/>
    <w:rsid w:val="000E40BB"/>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820"/>
    <w:rsid w:val="00113DF5"/>
    <w:rsid w:val="00117FC6"/>
    <w:rsid w:val="00121F8B"/>
    <w:rsid w:val="00130538"/>
    <w:rsid w:val="0013207F"/>
    <w:rsid w:val="001330AA"/>
    <w:rsid w:val="00133185"/>
    <w:rsid w:val="001339EB"/>
    <w:rsid w:val="00134D8E"/>
    <w:rsid w:val="00135937"/>
    <w:rsid w:val="0013749C"/>
    <w:rsid w:val="0014043E"/>
    <w:rsid w:val="00143FF3"/>
    <w:rsid w:val="001442F1"/>
    <w:rsid w:val="001532C9"/>
    <w:rsid w:val="00154E1F"/>
    <w:rsid w:val="00154F5A"/>
    <w:rsid w:val="00155459"/>
    <w:rsid w:val="0015769E"/>
    <w:rsid w:val="001637A1"/>
    <w:rsid w:val="001715DD"/>
    <w:rsid w:val="00172697"/>
    <w:rsid w:val="00174270"/>
    <w:rsid w:val="00175BEA"/>
    <w:rsid w:val="00175F45"/>
    <w:rsid w:val="001768B3"/>
    <w:rsid w:val="00176FAD"/>
    <w:rsid w:val="001773E3"/>
    <w:rsid w:val="00181409"/>
    <w:rsid w:val="001823D9"/>
    <w:rsid w:val="00182F57"/>
    <w:rsid w:val="00185130"/>
    <w:rsid w:val="00186D56"/>
    <w:rsid w:val="00192160"/>
    <w:rsid w:val="00195791"/>
    <w:rsid w:val="001A01D6"/>
    <w:rsid w:val="001A0FCB"/>
    <w:rsid w:val="001A1D03"/>
    <w:rsid w:val="001A2CD7"/>
    <w:rsid w:val="001A3F5A"/>
    <w:rsid w:val="001A50C9"/>
    <w:rsid w:val="001A523E"/>
    <w:rsid w:val="001A58E9"/>
    <w:rsid w:val="001A7313"/>
    <w:rsid w:val="001A738F"/>
    <w:rsid w:val="001B1FBE"/>
    <w:rsid w:val="001B3EA8"/>
    <w:rsid w:val="001B75B2"/>
    <w:rsid w:val="001C1FD7"/>
    <w:rsid w:val="001C2A7F"/>
    <w:rsid w:val="001C3896"/>
    <w:rsid w:val="001C3BC4"/>
    <w:rsid w:val="001C46FA"/>
    <w:rsid w:val="001C493A"/>
    <w:rsid w:val="001C4C5E"/>
    <w:rsid w:val="001C7BF8"/>
    <w:rsid w:val="001D0842"/>
    <w:rsid w:val="001D3D4C"/>
    <w:rsid w:val="001D55AE"/>
    <w:rsid w:val="001D573C"/>
    <w:rsid w:val="001D7F15"/>
    <w:rsid w:val="001E18B7"/>
    <w:rsid w:val="001E311D"/>
    <w:rsid w:val="001F1336"/>
    <w:rsid w:val="001F1C6E"/>
    <w:rsid w:val="001F2658"/>
    <w:rsid w:val="001F77D4"/>
    <w:rsid w:val="00200FF3"/>
    <w:rsid w:val="002021DB"/>
    <w:rsid w:val="0020604A"/>
    <w:rsid w:val="0020689F"/>
    <w:rsid w:val="00207BD3"/>
    <w:rsid w:val="00213AAC"/>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1F56"/>
    <w:rsid w:val="002459D2"/>
    <w:rsid w:val="00247BFA"/>
    <w:rsid w:val="002504F1"/>
    <w:rsid w:val="0025079D"/>
    <w:rsid w:val="00250903"/>
    <w:rsid w:val="00251F9C"/>
    <w:rsid w:val="00252372"/>
    <w:rsid w:val="00253431"/>
    <w:rsid w:val="00254D75"/>
    <w:rsid w:val="00257C49"/>
    <w:rsid w:val="00260A6F"/>
    <w:rsid w:val="00262FC8"/>
    <w:rsid w:val="00263019"/>
    <w:rsid w:val="002634CC"/>
    <w:rsid w:val="00263CDF"/>
    <w:rsid w:val="00264FB0"/>
    <w:rsid w:val="0027116E"/>
    <w:rsid w:val="00272535"/>
    <w:rsid w:val="00272EFB"/>
    <w:rsid w:val="002738BA"/>
    <w:rsid w:val="00273FFA"/>
    <w:rsid w:val="002764DC"/>
    <w:rsid w:val="002764E4"/>
    <w:rsid w:val="0027755B"/>
    <w:rsid w:val="00280B20"/>
    <w:rsid w:val="0028468F"/>
    <w:rsid w:val="002855E5"/>
    <w:rsid w:val="002904DC"/>
    <w:rsid w:val="00291075"/>
    <w:rsid w:val="002910B4"/>
    <w:rsid w:val="0029187F"/>
    <w:rsid w:val="00291971"/>
    <w:rsid w:val="00295519"/>
    <w:rsid w:val="00296295"/>
    <w:rsid w:val="00297FCC"/>
    <w:rsid w:val="002A1588"/>
    <w:rsid w:val="002A1AA1"/>
    <w:rsid w:val="002A23E6"/>
    <w:rsid w:val="002A2FC0"/>
    <w:rsid w:val="002A341D"/>
    <w:rsid w:val="002A58DB"/>
    <w:rsid w:val="002A5CE1"/>
    <w:rsid w:val="002B08EB"/>
    <w:rsid w:val="002B091F"/>
    <w:rsid w:val="002B318C"/>
    <w:rsid w:val="002B4B57"/>
    <w:rsid w:val="002B57A6"/>
    <w:rsid w:val="002B6EAE"/>
    <w:rsid w:val="002C0ED1"/>
    <w:rsid w:val="002C18E9"/>
    <w:rsid w:val="002C1FD3"/>
    <w:rsid w:val="002C2B1D"/>
    <w:rsid w:val="002C4130"/>
    <w:rsid w:val="002C6A91"/>
    <w:rsid w:val="002D08E0"/>
    <w:rsid w:val="002D15A4"/>
    <w:rsid w:val="002D22B3"/>
    <w:rsid w:val="002E1368"/>
    <w:rsid w:val="002E138A"/>
    <w:rsid w:val="002E3523"/>
    <w:rsid w:val="002E6FFB"/>
    <w:rsid w:val="002F05B2"/>
    <w:rsid w:val="002F0718"/>
    <w:rsid w:val="002F0CD4"/>
    <w:rsid w:val="002F40FB"/>
    <w:rsid w:val="003068FE"/>
    <w:rsid w:val="00307C23"/>
    <w:rsid w:val="00311B0D"/>
    <w:rsid w:val="00312551"/>
    <w:rsid w:val="003154F3"/>
    <w:rsid w:val="00316DC8"/>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50CC"/>
    <w:rsid w:val="0034551F"/>
    <w:rsid w:val="003464F6"/>
    <w:rsid w:val="003465BD"/>
    <w:rsid w:val="0034794E"/>
    <w:rsid w:val="00350DB1"/>
    <w:rsid w:val="0035101F"/>
    <w:rsid w:val="00356A38"/>
    <w:rsid w:val="003572A6"/>
    <w:rsid w:val="003603C0"/>
    <w:rsid w:val="00360BB0"/>
    <w:rsid w:val="00360E3C"/>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5F40"/>
    <w:rsid w:val="003865AB"/>
    <w:rsid w:val="00386E2A"/>
    <w:rsid w:val="00391366"/>
    <w:rsid w:val="003914ED"/>
    <w:rsid w:val="0039186C"/>
    <w:rsid w:val="00392C58"/>
    <w:rsid w:val="003931F8"/>
    <w:rsid w:val="003971E3"/>
    <w:rsid w:val="0039741A"/>
    <w:rsid w:val="003A0453"/>
    <w:rsid w:val="003A118E"/>
    <w:rsid w:val="003A155F"/>
    <w:rsid w:val="003A2506"/>
    <w:rsid w:val="003A279D"/>
    <w:rsid w:val="003A2E6A"/>
    <w:rsid w:val="003A30C1"/>
    <w:rsid w:val="003A4222"/>
    <w:rsid w:val="003B2658"/>
    <w:rsid w:val="003B3C93"/>
    <w:rsid w:val="003B73D9"/>
    <w:rsid w:val="003B79BF"/>
    <w:rsid w:val="003C0DEB"/>
    <w:rsid w:val="003C191B"/>
    <w:rsid w:val="003C2CE5"/>
    <w:rsid w:val="003C2DB7"/>
    <w:rsid w:val="003C3394"/>
    <w:rsid w:val="003C39FD"/>
    <w:rsid w:val="003C4D8D"/>
    <w:rsid w:val="003C7019"/>
    <w:rsid w:val="003C7D48"/>
    <w:rsid w:val="003D1F93"/>
    <w:rsid w:val="003D204B"/>
    <w:rsid w:val="003D3637"/>
    <w:rsid w:val="003D52E4"/>
    <w:rsid w:val="003E0867"/>
    <w:rsid w:val="003E0C16"/>
    <w:rsid w:val="003E3750"/>
    <w:rsid w:val="003E3841"/>
    <w:rsid w:val="003E54CF"/>
    <w:rsid w:val="003E6167"/>
    <w:rsid w:val="003F03F5"/>
    <w:rsid w:val="003F1C32"/>
    <w:rsid w:val="003F4800"/>
    <w:rsid w:val="003F7218"/>
    <w:rsid w:val="00401ABE"/>
    <w:rsid w:val="004036F1"/>
    <w:rsid w:val="00404905"/>
    <w:rsid w:val="00406A5F"/>
    <w:rsid w:val="00407B8C"/>
    <w:rsid w:val="004149EA"/>
    <w:rsid w:val="0042166D"/>
    <w:rsid w:val="0042255A"/>
    <w:rsid w:val="004239DC"/>
    <w:rsid w:val="00425023"/>
    <w:rsid w:val="00426552"/>
    <w:rsid w:val="004337FE"/>
    <w:rsid w:val="00433D9F"/>
    <w:rsid w:val="00437591"/>
    <w:rsid w:val="004458BA"/>
    <w:rsid w:val="00445E75"/>
    <w:rsid w:val="0044603E"/>
    <w:rsid w:val="00447CEE"/>
    <w:rsid w:val="00452183"/>
    <w:rsid w:val="00453225"/>
    <w:rsid w:val="00453F72"/>
    <w:rsid w:val="00456426"/>
    <w:rsid w:val="0046026A"/>
    <w:rsid w:val="00464C42"/>
    <w:rsid w:val="00465726"/>
    <w:rsid w:val="004658EB"/>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683"/>
    <w:rsid w:val="004977B4"/>
    <w:rsid w:val="00497A73"/>
    <w:rsid w:val="004A04FD"/>
    <w:rsid w:val="004A2A87"/>
    <w:rsid w:val="004A345D"/>
    <w:rsid w:val="004A367D"/>
    <w:rsid w:val="004A42FD"/>
    <w:rsid w:val="004A6520"/>
    <w:rsid w:val="004A73A8"/>
    <w:rsid w:val="004A7AF3"/>
    <w:rsid w:val="004A7B67"/>
    <w:rsid w:val="004B2B44"/>
    <w:rsid w:val="004B5C30"/>
    <w:rsid w:val="004C0D9C"/>
    <w:rsid w:val="004C692C"/>
    <w:rsid w:val="004C72B1"/>
    <w:rsid w:val="004D05BE"/>
    <w:rsid w:val="004D25AB"/>
    <w:rsid w:val="004D3225"/>
    <w:rsid w:val="004D4F69"/>
    <w:rsid w:val="004E0C7F"/>
    <w:rsid w:val="004E11DA"/>
    <w:rsid w:val="004E3128"/>
    <w:rsid w:val="004E374F"/>
    <w:rsid w:val="004E63A5"/>
    <w:rsid w:val="004E7D98"/>
    <w:rsid w:val="004F681F"/>
    <w:rsid w:val="00500455"/>
    <w:rsid w:val="00501006"/>
    <w:rsid w:val="0050101E"/>
    <w:rsid w:val="005015FA"/>
    <w:rsid w:val="00502059"/>
    <w:rsid w:val="00502A56"/>
    <w:rsid w:val="00502BF0"/>
    <w:rsid w:val="005061DA"/>
    <w:rsid w:val="00506C8E"/>
    <w:rsid w:val="00507256"/>
    <w:rsid w:val="00511206"/>
    <w:rsid w:val="005128B6"/>
    <w:rsid w:val="00512999"/>
    <w:rsid w:val="00513C02"/>
    <w:rsid w:val="00516021"/>
    <w:rsid w:val="00517364"/>
    <w:rsid w:val="00521A2D"/>
    <w:rsid w:val="00522735"/>
    <w:rsid w:val="0052287A"/>
    <w:rsid w:val="0052481A"/>
    <w:rsid w:val="005249F1"/>
    <w:rsid w:val="00525AC3"/>
    <w:rsid w:val="00527B81"/>
    <w:rsid w:val="0053028B"/>
    <w:rsid w:val="005302DA"/>
    <w:rsid w:val="00530654"/>
    <w:rsid w:val="00530706"/>
    <w:rsid w:val="00531A4B"/>
    <w:rsid w:val="00532F0A"/>
    <w:rsid w:val="00533066"/>
    <w:rsid w:val="0053344E"/>
    <w:rsid w:val="00535590"/>
    <w:rsid w:val="00535BB9"/>
    <w:rsid w:val="005375AD"/>
    <w:rsid w:val="0054493C"/>
    <w:rsid w:val="0054567D"/>
    <w:rsid w:val="005471ED"/>
    <w:rsid w:val="00547E3D"/>
    <w:rsid w:val="00551187"/>
    <w:rsid w:val="00556CF6"/>
    <w:rsid w:val="00556F6C"/>
    <w:rsid w:val="005579C1"/>
    <w:rsid w:val="00557D09"/>
    <w:rsid w:val="00561901"/>
    <w:rsid w:val="00561CC4"/>
    <w:rsid w:val="00561DCF"/>
    <w:rsid w:val="00562ADE"/>
    <w:rsid w:val="00563C77"/>
    <w:rsid w:val="005679B6"/>
    <w:rsid w:val="005715B2"/>
    <w:rsid w:val="00572FC8"/>
    <w:rsid w:val="00573B62"/>
    <w:rsid w:val="00575E82"/>
    <w:rsid w:val="00575F21"/>
    <w:rsid w:val="005760FC"/>
    <w:rsid w:val="00580270"/>
    <w:rsid w:val="0058382A"/>
    <w:rsid w:val="00587741"/>
    <w:rsid w:val="00593137"/>
    <w:rsid w:val="00593FB6"/>
    <w:rsid w:val="00595C92"/>
    <w:rsid w:val="005965BC"/>
    <w:rsid w:val="00597601"/>
    <w:rsid w:val="005A24AA"/>
    <w:rsid w:val="005A375C"/>
    <w:rsid w:val="005A79D1"/>
    <w:rsid w:val="005B65E3"/>
    <w:rsid w:val="005C1B8E"/>
    <w:rsid w:val="005C305B"/>
    <w:rsid w:val="005C4D83"/>
    <w:rsid w:val="005C66A6"/>
    <w:rsid w:val="005D342B"/>
    <w:rsid w:val="005D443D"/>
    <w:rsid w:val="005D4456"/>
    <w:rsid w:val="005D4E95"/>
    <w:rsid w:val="005D5494"/>
    <w:rsid w:val="005D6BBE"/>
    <w:rsid w:val="005E246A"/>
    <w:rsid w:val="005E365B"/>
    <w:rsid w:val="005F060A"/>
    <w:rsid w:val="005F11F1"/>
    <w:rsid w:val="005F183C"/>
    <w:rsid w:val="005F35AD"/>
    <w:rsid w:val="005F5DA0"/>
    <w:rsid w:val="005F7341"/>
    <w:rsid w:val="005F77BE"/>
    <w:rsid w:val="00602127"/>
    <w:rsid w:val="006060A5"/>
    <w:rsid w:val="00606CE3"/>
    <w:rsid w:val="006070E6"/>
    <w:rsid w:val="006072E0"/>
    <w:rsid w:val="00607D81"/>
    <w:rsid w:val="006110C1"/>
    <w:rsid w:val="0061304A"/>
    <w:rsid w:val="006135C1"/>
    <w:rsid w:val="00615ED5"/>
    <w:rsid w:val="00616D1F"/>
    <w:rsid w:val="00617735"/>
    <w:rsid w:val="00620FED"/>
    <w:rsid w:val="00621D8C"/>
    <w:rsid w:val="00626C01"/>
    <w:rsid w:val="00627496"/>
    <w:rsid w:val="00627B14"/>
    <w:rsid w:val="0063021A"/>
    <w:rsid w:val="00631EC4"/>
    <w:rsid w:val="0063279B"/>
    <w:rsid w:val="006342C6"/>
    <w:rsid w:val="00634335"/>
    <w:rsid w:val="006368D9"/>
    <w:rsid w:val="0063722B"/>
    <w:rsid w:val="00637581"/>
    <w:rsid w:val="006404B6"/>
    <w:rsid w:val="006444A9"/>
    <w:rsid w:val="0064460A"/>
    <w:rsid w:val="0064470C"/>
    <w:rsid w:val="00645880"/>
    <w:rsid w:val="006473E4"/>
    <w:rsid w:val="00647425"/>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6DAE"/>
    <w:rsid w:val="006772F3"/>
    <w:rsid w:val="006821A1"/>
    <w:rsid w:val="00682D19"/>
    <w:rsid w:val="00685928"/>
    <w:rsid w:val="00686F62"/>
    <w:rsid w:val="0068794D"/>
    <w:rsid w:val="006879E1"/>
    <w:rsid w:val="00690862"/>
    <w:rsid w:val="00690A7B"/>
    <w:rsid w:val="0069250C"/>
    <w:rsid w:val="00695652"/>
    <w:rsid w:val="006A07D3"/>
    <w:rsid w:val="006A0AFF"/>
    <w:rsid w:val="006A0B1A"/>
    <w:rsid w:val="006A3365"/>
    <w:rsid w:val="006A5330"/>
    <w:rsid w:val="006A60CF"/>
    <w:rsid w:val="006A6442"/>
    <w:rsid w:val="006B6671"/>
    <w:rsid w:val="006B6F68"/>
    <w:rsid w:val="006C2792"/>
    <w:rsid w:val="006C3095"/>
    <w:rsid w:val="006C349E"/>
    <w:rsid w:val="006C3690"/>
    <w:rsid w:val="006C7AF6"/>
    <w:rsid w:val="006D0421"/>
    <w:rsid w:val="006D0E81"/>
    <w:rsid w:val="006D3277"/>
    <w:rsid w:val="006D3B94"/>
    <w:rsid w:val="006D52CD"/>
    <w:rsid w:val="006D5327"/>
    <w:rsid w:val="006D6998"/>
    <w:rsid w:val="006D7684"/>
    <w:rsid w:val="006E12A7"/>
    <w:rsid w:val="006E30A7"/>
    <w:rsid w:val="006E3282"/>
    <w:rsid w:val="006E40B4"/>
    <w:rsid w:val="006E4294"/>
    <w:rsid w:val="006F00C2"/>
    <w:rsid w:val="006F0FB3"/>
    <w:rsid w:val="006F1AC2"/>
    <w:rsid w:val="007024F2"/>
    <w:rsid w:val="007037B8"/>
    <w:rsid w:val="00703DCC"/>
    <w:rsid w:val="00704FA8"/>
    <w:rsid w:val="00705350"/>
    <w:rsid w:val="00707684"/>
    <w:rsid w:val="00707D1B"/>
    <w:rsid w:val="0071310E"/>
    <w:rsid w:val="00713175"/>
    <w:rsid w:val="00716E15"/>
    <w:rsid w:val="00724C83"/>
    <w:rsid w:val="00725F46"/>
    <w:rsid w:val="007268E3"/>
    <w:rsid w:val="007271CC"/>
    <w:rsid w:val="007309D4"/>
    <w:rsid w:val="00731C06"/>
    <w:rsid w:val="00734423"/>
    <w:rsid w:val="007378A8"/>
    <w:rsid w:val="00737B01"/>
    <w:rsid w:val="007440FF"/>
    <w:rsid w:val="007451FC"/>
    <w:rsid w:val="007459FA"/>
    <w:rsid w:val="00745B01"/>
    <w:rsid w:val="00747005"/>
    <w:rsid w:val="00747EE5"/>
    <w:rsid w:val="00752215"/>
    <w:rsid w:val="00752B1B"/>
    <w:rsid w:val="00755DA6"/>
    <w:rsid w:val="00762AB3"/>
    <w:rsid w:val="00763E54"/>
    <w:rsid w:val="007649C1"/>
    <w:rsid w:val="007671EB"/>
    <w:rsid w:val="0076734A"/>
    <w:rsid w:val="007718D5"/>
    <w:rsid w:val="00774034"/>
    <w:rsid w:val="00774CB1"/>
    <w:rsid w:val="00776BDB"/>
    <w:rsid w:val="007805AB"/>
    <w:rsid w:val="007828B7"/>
    <w:rsid w:val="00784BAF"/>
    <w:rsid w:val="00784D5D"/>
    <w:rsid w:val="007852FE"/>
    <w:rsid w:val="00790CF7"/>
    <w:rsid w:val="0079560F"/>
    <w:rsid w:val="007A0D3C"/>
    <w:rsid w:val="007A2187"/>
    <w:rsid w:val="007A24DE"/>
    <w:rsid w:val="007A3504"/>
    <w:rsid w:val="007A4E91"/>
    <w:rsid w:val="007A7820"/>
    <w:rsid w:val="007B07B3"/>
    <w:rsid w:val="007B0D43"/>
    <w:rsid w:val="007B5A3D"/>
    <w:rsid w:val="007B6743"/>
    <w:rsid w:val="007C2954"/>
    <w:rsid w:val="007C3392"/>
    <w:rsid w:val="007C5C59"/>
    <w:rsid w:val="007C6242"/>
    <w:rsid w:val="007D03A0"/>
    <w:rsid w:val="007D1F7E"/>
    <w:rsid w:val="007D6E4C"/>
    <w:rsid w:val="007D7C4F"/>
    <w:rsid w:val="007E27D0"/>
    <w:rsid w:val="007E5D56"/>
    <w:rsid w:val="007E6A29"/>
    <w:rsid w:val="007E77AF"/>
    <w:rsid w:val="007E77EC"/>
    <w:rsid w:val="007F03FE"/>
    <w:rsid w:val="007F09B1"/>
    <w:rsid w:val="007F5278"/>
    <w:rsid w:val="007F610A"/>
    <w:rsid w:val="00802B85"/>
    <w:rsid w:val="008105FB"/>
    <w:rsid w:val="00811766"/>
    <w:rsid w:val="00813396"/>
    <w:rsid w:val="00814614"/>
    <w:rsid w:val="00821DA0"/>
    <w:rsid w:val="00821F09"/>
    <w:rsid w:val="00822C3A"/>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46DC"/>
    <w:rsid w:val="008464DE"/>
    <w:rsid w:val="00847210"/>
    <w:rsid w:val="008525F7"/>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6FED"/>
    <w:rsid w:val="00887F62"/>
    <w:rsid w:val="008901D3"/>
    <w:rsid w:val="0089031E"/>
    <w:rsid w:val="00890759"/>
    <w:rsid w:val="00891130"/>
    <w:rsid w:val="00891343"/>
    <w:rsid w:val="00891EC4"/>
    <w:rsid w:val="008938E7"/>
    <w:rsid w:val="008949AD"/>
    <w:rsid w:val="00895948"/>
    <w:rsid w:val="00897058"/>
    <w:rsid w:val="008A03D8"/>
    <w:rsid w:val="008A0DA4"/>
    <w:rsid w:val="008A3B80"/>
    <w:rsid w:val="008A4344"/>
    <w:rsid w:val="008B0709"/>
    <w:rsid w:val="008B0801"/>
    <w:rsid w:val="008B13AB"/>
    <w:rsid w:val="008B15A9"/>
    <w:rsid w:val="008B2228"/>
    <w:rsid w:val="008B3B19"/>
    <w:rsid w:val="008B3DF9"/>
    <w:rsid w:val="008B593C"/>
    <w:rsid w:val="008B60DF"/>
    <w:rsid w:val="008B7913"/>
    <w:rsid w:val="008B7E1A"/>
    <w:rsid w:val="008C0B86"/>
    <w:rsid w:val="008C1B8D"/>
    <w:rsid w:val="008C2446"/>
    <w:rsid w:val="008C28C7"/>
    <w:rsid w:val="008C3BA4"/>
    <w:rsid w:val="008C41AF"/>
    <w:rsid w:val="008C4C1A"/>
    <w:rsid w:val="008C6488"/>
    <w:rsid w:val="008C699D"/>
    <w:rsid w:val="008C6DFE"/>
    <w:rsid w:val="008C70C4"/>
    <w:rsid w:val="008D11A9"/>
    <w:rsid w:val="008D36D2"/>
    <w:rsid w:val="008D3738"/>
    <w:rsid w:val="008D4CE6"/>
    <w:rsid w:val="008D79F6"/>
    <w:rsid w:val="008D7E60"/>
    <w:rsid w:val="008E10F6"/>
    <w:rsid w:val="008E1BCD"/>
    <w:rsid w:val="008E5B62"/>
    <w:rsid w:val="008F1C82"/>
    <w:rsid w:val="008F213B"/>
    <w:rsid w:val="008F3E07"/>
    <w:rsid w:val="008F5671"/>
    <w:rsid w:val="008F5954"/>
    <w:rsid w:val="009006E2"/>
    <w:rsid w:val="00900B3F"/>
    <w:rsid w:val="00907146"/>
    <w:rsid w:val="00907C84"/>
    <w:rsid w:val="00910169"/>
    <w:rsid w:val="00912E27"/>
    <w:rsid w:val="00915200"/>
    <w:rsid w:val="00915A77"/>
    <w:rsid w:val="00923432"/>
    <w:rsid w:val="0092495E"/>
    <w:rsid w:val="009259B5"/>
    <w:rsid w:val="0092682D"/>
    <w:rsid w:val="00930F4A"/>
    <w:rsid w:val="00934C3A"/>
    <w:rsid w:val="00941328"/>
    <w:rsid w:val="00944CEB"/>
    <w:rsid w:val="009504F0"/>
    <w:rsid w:val="00950BBB"/>
    <w:rsid w:val="0095153A"/>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5F90"/>
    <w:rsid w:val="00987DBC"/>
    <w:rsid w:val="00991A45"/>
    <w:rsid w:val="00992296"/>
    <w:rsid w:val="00992426"/>
    <w:rsid w:val="009928BB"/>
    <w:rsid w:val="00997131"/>
    <w:rsid w:val="009A0E3C"/>
    <w:rsid w:val="009A2F62"/>
    <w:rsid w:val="009A340F"/>
    <w:rsid w:val="009A3C2C"/>
    <w:rsid w:val="009A7349"/>
    <w:rsid w:val="009B14DA"/>
    <w:rsid w:val="009B1A8D"/>
    <w:rsid w:val="009B1C0B"/>
    <w:rsid w:val="009B2AEF"/>
    <w:rsid w:val="009B2E61"/>
    <w:rsid w:val="009B5B44"/>
    <w:rsid w:val="009B6165"/>
    <w:rsid w:val="009B6503"/>
    <w:rsid w:val="009C1FF3"/>
    <w:rsid w:val="009C25E9"/>
    <w:rsid w:val="009C3436"/>
    <w:rsid w:val="009C48C2"/>
    <w:rsid w:val="009C50E2"/>
    <w:rsid w:val="009C5A85"/>
    <w:rsid w:val="009C6A9B"/>
    <w:rsid w:val="009C6AEE"/>
    <w:rsid w:val="009C777A"/>
    <w:rsid w:val="009C7C63"/>
    <w:rsid w:val="009C7F78"/>
    <w:rsid w:val="009D26B7"/>
    <w:rsid w:val="009E187D"/>
    <w:rsid w:val="009E54FF"/>
    <w:rsid w:val="009E5872"/>
    <w:rsid w:val="009E5C33"/>
    <w:rsid w:val="009E73BC"/>
    <w:rsid w:val="009F08A1"/>
    <w:rsid w:val="009F3F8E"/>
    <w:rsid w:val="009F541E"/>
    <w:rsid w:val="009F6117"/>
    <w:rsid w:val="009F6C54"/>
    <w:rsid w:val="00A001B7"/>
    <w:rsid w:val="00A021ED"/>
    <w:rsid w:val="00A03257"/>
    <w:rsid w:val="00A0627B"/>
    <w:rsid w:val="00A068D2"/>
    <w:rsid w:val="00A07780"/>
    <w:rsid w:val="00A106E4"/>
    <w:rsid w:val="00A108CF"/>
    <w:rsid w:val="00A13F76"/>
    <w:rsid w:val="00A14795"/>
    <w:rsid w:val="00A14C7C"/>
    <w:rsid w:val="00A17AE6"/>
    <w:rsid w:val="00A20068"/>
    <w:rsid w:val="00A248C2"/>
    <w:rsid w:val="00A252A7"/>
    <w:rsid w:val="00A2769F"/>
    <w:rsid w:val="00A310BA"/>
    <w:rsid w:val="00A311DA"/>
    <w:rsid w:val="00A3164E"/>
    <w:rsid w:val="00A329C9"/>
    <w:rsid w:val="00A34A9E"/>
    <w:rsid w:val="00A34B30"/>
    <w:rsid w:val="00A40B91"/>
    <w:rsid w:val="00A46BF6"/>
    <w:rsid w:val="00A47E9D"/>
    <w:rsid w:val="00A501BF"/>
    <w:rsid w:val="00A50917"/>
    <w:rsid w:val="00A53A62"/>
    <w:rsid w:val="00A55671"/>
    <w:rsid w:val="00A563AE"/>
    <w:rsid w:val="00A60950"/>
    <w:rsid w:val="00A61BB5"/>
    <w:rsid w:val="00A6332F"/>
    <w:rsid w:val="00A642AC"/>
    <w:rsid w:val="00A65C48"/>
    <w:rsid w:val="00A70018"/>
    <w:rsid w:val="00A709EB"/>
    <w:rsid w:val="00A73041"/>
    <w:rsid w:val="00A73D64"/>
    <w:rsid w:val="00A7462B"/>
    <w:rsid w:val="00A74B73"/>
    <w:rsid w:val="00A75FDB"/>
    <w:rsid w:val="00A85207"/>
    <w:rsid w:val="00A8764C"/>
    <w:rsid w:val="00A87ED1"/>
    <w:rsid w:val="00A9093C"/>
    <w:rsid w:val="00A92E5F"/>
    <w:rsid w:val="00A94337"/>
    <w:rsid w:val="00A9448A"/>
    <w:rsid w:val="00AA0586"/>
    <w:rsid w:val="00AA34DB"/>
    <w:rsid w:val="00AA4846"/>
    <w:rsid w:val="00AA59FC"/>
    <w:rsid w:val="00AA5E00"/>
    <w:rsid w:val="00AA716D"/>
    <w:rsid w:val="00AB010E"/>
    <w:rsid w:val="00AB21E7"/>
    <w:rsid w:val="00AB2559"/>
    <w:rsid w:val="00AB2CAD"/>
    <w:rsid w:val="00AB51EE"/>
    <w:rsid w:val="00AB7146"/>
    <w:rsid w:val="00AB7C43"/>
    <w:rsid w:val="00AC052B"/>
    <w:rsid w:val="00AC26C2"/>
    <w:rsid w:val="00AC3C0E"/>
    <w:rsid w:val="00AC479B"/>
    <w:rsid w:val="00AC7968"/>
    <w:rsid w:val="00AC7B1C"/>
    <w:rsid w:val="00AD067F"/>
    <w:rsid w:val="00AD0830"/>
    <w:rsid w:val="00AD0AA7"/>
    <w:rsid w:val="00AD40EB"/>
    <w:rsid w:val="00AD4E9C"/>
    <w:rsid w:val="00AE3A79"/>
    <w:rsid w:val="00AE3AC9"/>
    <w:rsid w:val="00AE61F5"/>
    <w:rsid w:val="00AF43F9"/>
    <w:rsid w:val="00AF4C35"/>
    <w:rsid w:val="00AF521E"/>
    <w:rsid w:val="00AF59C8"/>
    <w:rsid w:val="00AF6C78"/>
    <w:rsid w:val="00B02415"/>
    <w:rsid w:val="00B03EC1"/>
    <w:rsid w:val="00B06AD7"/>
    <w:rsid w:val="00B1378E"/>
    <w:rsid w:val="00B13AD7"/>
    <w:rsid w:val="00B15405"/>
    <w:rsid w:val="00B16FA4"/>
    <w:rsid w:val="00B21C0A"/>
    <w:rsid w:val="00B225C5"/>
    <w:rsid w:val="00B25DD3"/>
    <w:rsid w:val="00B26BE9"/>
    <w:rsid w:val="00B26E58"/>
    <w:rsid w:val="00B323AA"/>
    <w:rsid w:val="00B35194"/>
    <w:rsid w:val="00B355A7"/>
    <w:rsid w:val="00B365E9"/>
    <w:rsid w:val="00B41646"/>
    <w:rsid w:val="00B41BA9"/>
    <w:rsid w:val="00B42B20"/>
    <w:rsid w:val="00B463BE"/>
    <w:rsid w:val="00B531D9"/>
    <w:rsid w:val="00B53DB4"/>
    <w:rsid w:val="00B53F0B"/>
    <w:rsid w:val="00B56561"/>
    <w:rsid w:val="00B60BF4"/>
    <w:rsid w:val="00B653FD"/>
    <w:rsid w:val="00B66BB0"/>
    <w:rsid w:val="00B71C4B"/>
    <w:rsid w:val="00B71D41"/>
    <w:rsid w:val="00B72440"/>
    <w:rsid w:val="00B72C89"/>
    <w:rsid w:val="00B72F91"/>
    <w:rsid w:val="00B73D27"/>
    <w:rsid w:val="00B750EE"/>
    <w:rsid w:val="00B76B84"/>
    <w:rsid w:val="00B802EC"/>
    <w:rsid w:val="00B803B6"/>
    <w:rsid w:val="00B828DD"/>
    <w:rsid w:val="00B82B8A"/>
    <w:rsid w:val="00B84CFC"/>
    <w:rsid w:val="00B85533"/>
    <w:rsid w:val="00B857B0"/>
    <w:rsid w:val="00B85824"/>
    <w:rsid w:val="00B86DA0"/>
    <w:rsid w:val="00B87CD8"/>
    <w:rsid w:val="00B87F0D"/>
    <w:rsid w:val="00B918A6"/>
    <w:rsid w:val="00B92938"/>
    <w:rsid w:val="00B937D1"/>
    <w:rsid w:val="00B947BC"/>
    <w:rsid w:val="00B94E75"/>
    <w:rsid w:val="00B952B6"/>
    <w:rsid w:val="00B9644D"/>
    <w:rsid w:val="00BA1725"/>
    <w:rsid w:val="00BA1EB0"/>
    <w:rsid w:val="00BA2374"/>
    <w:rsid w:val="00BA27E8"/>
    <w:rsid w:val="00BA38D7"/>
    <w:rsid w:val="00BA4DA0"/>
    <w:rsid w:val="00BB15CD"/>
    <w:rsid w:val="00BB1EC5"/>
    <w:rsid w:val="00BB2BC9"/>
    <w:rsid w:val="00BB34CF"/>
    <w:rsid w:val="00BB3728"/>
    <w:rsid w:val="00BB52BC"/>
    <w:rsid w:val="00BB7AC2"/>
    <w:rsid w:val="00BC2609"/>
    <w:rsid w:val="00BC4F0B"/>
    <w:rsid w:val="00BC665C"/>
    <w:rsid w:val="00BC6BE6"/>
    <w:rsid w:val="00BD3226"/>
    <w:rsid w:val="00BD32C9"/>
    <w:rsid w:val="00BD3F3B"/>
    <w:rsid w:val="00BD509E"/>
    <w:rsid w:val="00BD6B91"/>
    <w:rsid w:val="00BE076A"/>
    <w:rsid w:val="00BE2287"/>
    <w:rsid w:val="00BE3DC9"/>
    <w:rsid w:val="00BF022D"/>
    <w:rsid w:val="00BF0D5E"/>
    <w:rsid w:val="00BF22E8"/>
    <w:rsid w:val="00BF39D4"/>
    <w:rsid w:val="00BF4B52"/>
    <w:rsid w:val="00BF7D0C"/>
    <w:rsid w:val="00C009F1"/>
    <w:rsid w:val="00C01DF2"/>
    <w:rsid w:val="00C0211D"/>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187"/>
    <w:rsid w:val="00C327B0"/>
    <w:rsid w:val="00C3353B"/>
    <w:rsid w:val="00C3522F"/>
    <w:rsid w:val="00C41101"/>
    <w:rsid w:val="00C42AD0"/>
    <w:rsid w:val="00C4353B"/>
    <w:rsid w:val="00C43EAA"/>
    <w:rsid w:val="00C44C40"/>
    <w:rsid w:val="00C453FF"/>
    <w:rsid w:val="00C5005F"/>
    <w:rsid w:val="00C50884"/>
    <w:rsid w:val="00C52016"/>
    <w:rsid w:val="00C52F06"/>
    <w:rsid w:val="00C52F93"/>
    <w:rsid w:val="00C530E9"/>
    <w:rsid w:val="00C569E3"/>
    <w:rsid w:val="00C57B66"/>
    <w:rsid w:val="00C57FA3"/>
    <w:rsid w:val="00C63B67"/>
    <w:rsid w:val="00C64284"/>
    <w:rsid w:val="00C660DA"/>
    <w:rsid w:val="00C6767D"/>
    <w:rsid w:val="00C70EE5"/>
    <w:rsid w:val="00C73135"/>
    <w:rsid w:val="00C73C17"/>
    <w:rsid w:val="00C742CF"/>
    <w:rsid w:val="00C75E86"/>
    <w:rsid w:val="00C8046A"/>
    <w:rsid w:val="00C8206E"/>
    <w:rsid w:val="00C84E69"/>
    <w:rsid w:val="00C8521D"/>
    <w:rsid w:val="00C8657D"/>
    <w:rsid w:val="00C870A8"/>
    <w:rsid w:val="00C8769D"/>
    <w:rsid w:val="00C87D47"/>
    <w:rsid w:val="00C9016E"/>
    <w:rsid w:val="00C93090"/>
    <w:rsid w:val="00C93ACC"/>
    <w:rsid w:val="00C94A94"/>
    <w:rsid w:val="00C94FEC"/>
    <w:rsid w:val="00C97235"/>
    <w:rsid w:val="00CA03DC"/>
    <w:rsid w:val="00CA15FE"/>
    <w:rsid w:val="00CA248D"/>
    <w:rsid w:val="00CB1C1A"/>
    <w:rsid w:val="00CB2C87"/>
    <w:rsid w:val="00CB2E92"/>
    <w:rsid w:val="00CB4153"/>
    <w:rsid w:val="00CB7238"/>
    <w:rsid w:val="00CB73E7"/>
    <w:rsid w:val="00CB7467"/>
    <w:rsid w:val="00CC050A"/>
    <w:rsid w:val="00CC0935"/>
    <w:rsid w:val="00CC2C32"/>
    <w:rsid w:val="00CC6E4A"/>
    <w:rsid w:val="00CC77F0"/>
    <w:rsid w:val="00CD00B1"/>
    <w:rsid w:val="00CD174B"/>
    <w:rsid w:val="00CD2BC3"/>
    <w:rsid w:val="00CD46C4"/>
    <w:rsid w:val="00CD74D3"/>
    <w:rsid w:val="00CE32B0"/>
    <w:rsid w:val="00CE6936"/>
    <w:rsid w:val="00CF2A82"/>
    <w:rsid w:val="00CF41A8"/>
    <w:rsid w:val="00CF6EB1"/>
    <w:rsid w:val="00CF6F8C"/>
    <w:rsid w:val="00D016D6"/>
    <w:rsid w:val="00D01D5F"/>
    <w:rsid w:val="00D031C6"/>
    <w:rsid w:val="00D0342B"/>
    <w:rsid w:val="00D0363D"/>
    <w:rsid w:val="00D05F63"/>
    <w:rsid w:val="00D06513"/>
    <w:rsid w:val="00D06BCC"/>
    <w:rsid w:val="00D0788F"/>
    <w:rsid w:val="00D12155"/>
    <w:rsid w:val="00D1692E"/>
    <w:rsid w:val="00D16E48"/>
    <w:rsid w:val="00D177FC"/>
    <w:rsid w:val="00D2042B"/>
    <w:rsid w:val="00D207E0"/>
    <w:rsid w:val="00D21BCE"/>
    <w:rsid w:val="00D245BF"/>
    <w:rsid w:val="00D2497A"/>
    <w:rsid w:val="00D25059"/>
    <w:rsid w:val="00D278B6"/>
    <w:rsid w:val="00D301AA"/>
    <w:rsid w:val="00D3097E"/>
    <w:rsid w:val="00D3403C"/>
    <w:rsid w:val="00D34EB7"/>
    <w:rsid w:val="00D37D8F"/>
    <w:rsid w:val="00D45AA9"/>
    <w:rsid w:val="00D46702"/>
    <w:rsid w:val="00D47753"/>
    <w:rsid w:val="00D47CF8"/>
    <w:rsid w:val="00D51643"/>
    <w:rsid w:val="00D51DAA"/>
    <w:rsid w:val="00D5263D"/>
    <w:rsid w:val="00D52C75"/>
    <w:rsid w:val="00D533EB"/>
    <w:rsid w:val="00D543B8"/>
    <w:rsid w:val="00D55263"/>
    <w:rsid w:val="00D60F2A"/>
    <w:rsid w:val="00D61B54"/>
    <w:rsid w:val="00D65385"/>
    <w:rsid w:val="00D65D59"/>
    <w:rsid w:val="00D664FD"/>
    <w:rsid w:val="00D72F3E"/>
    <w:rsid w:val="00D7357B"/>
    <w:rsid w:val="00D737F3"/>
    <w:rsid w:val="00D741C4"/>
    <w:rsid w:val="00D74929"/>
    <w:rsid w:val="00D75496"/>
    <w:rsid w:val="00D81456"/>
    <w:rsid w:val="00D856DD"/>
    <w:rsid w:val="00D86F64"/>
    <w:rsid w:val="00D94318"/>
    <w:rsid w:val="00D97A66"/>
    <w:rsid w:val="00DA03DF"/>
    <w:rsid w:val="00DA0532"/>
    <w:rsid w:val="00DA3AF1"/>
    <w:rsid w:val="00DA5728"/>
    <w:rsid w:val="00DA6080"/>
    <w:rsid w:val="00DB0D88"/>
    <w:rsid w:val="00DB149D"/>
    <w:rsid w:val="00DB24B0"/>
    <w:rsid w:val="00DB488E"/>
    <w:rsid w:val="00DB52CC"/>
    <w:rsid w:val="00DC0324"/>
    <w:rsid w:val="00DC0C0E"/>
    <w:rsid w:val="00DC10E6"/>
    <w:rsid w:val="00DC1C13"/>
    <w:rsid w:val="00DC2701"/>
    <w:rsid w:val="00DC3430"/>
    <w:rsid w:val="00DC5B69"/>
    <w:rsid w:val="00DC7E96"/>
    <w:rsid w:val="00DD3311"/>
    <w:rsid w:val="00DD3DE5"/>
    <w:rsid w:val="00DD481D"/>
    <w:rsid w:val="00DD5DFC"/>
    <w:rsid w:val="00DD78E3"/>
    <w:rsid w:val="00DE2116"/>
    <w:rsid w:val="00DE32CB"/>
    <w:rsid w:val="00DE60B1"/>
    <w:rsid w:val="00DE74ED"/>
    <w:rsid w:val="00DE7BF7"/>
    <w:rsid w:val="00DF315D"/>
    <w:rsid w:val="00DF3A6E"/>
    <w:rsid w:val="00DF7D71"/>
    <w:rsid w:val="00E00062"/>
    <w:rsid w:val="00E02F31"/>
    <w:rsid w:val="00E03F89"/>
    <w:rsid w:val="00E04FED"/>
    <w:rsid w:val="00E10DAB"/>
    <w:rsid w:val="00E12E80"/>
    <w:rsid w:val="00E13679"/>
    <w:rsid w:val="00E25D29"/>
    <w:rsid w:val="00E261D5"/>
    <w:rsid w:val="00E265F8"/>
    <w:rsid w:val="00E27A97"/>
    <w:rsid w:val="00E32292"/>
    <w:rsid w:val="00E33CA8"/>
    <w:rsid w:val="00E34ED3"/>
    <w:rsid w:val="00E370DB"/>
    <w:rsid w:val="00E4533D"/>
    <w:rsid w:val="00E454E9"/>
    <w:rsid w:val="00E45F2F"/>
    <w:rsid w:val="00E47CF1"/>
    <w:rsid w:val="00E520AD"/>
    <w:rsid w:val="00E52825"/>
    <w:rsid w:val="00E53066"/>
    <w:rsid w:val="00E53131"/>
    <w:rsid w:val="00E5412F"/>
    <w:rsid w:val="00E554D2"/>
    <w:rsid w:val="00E619D5"/>
    <w:rsid w:val="00E61ECB"/>
    <w:rsid w:val="00E645B5"/>
    <w:rsid w:val="00E65AC5"/>
    <w:rsid w:val="00E66CF3"/>
    <w:rsid w:val="00E673B4"/>
    <w:rsid w:val="00E6752D"/>
    <w:rsid w:val="00E730FA"/>
    <w:rsid w:val="00E7354D"/>
    <w:rsid w:val="00E75096"/>
    <w:rsid w:val="00E750C8"/>
    <w:rsid w:val="00E7747C"/>
    <w:rsid w:val="00E813A6"/>
    <w:rsid w:val="00E82D44"/>
    <w:rsid w:val="00E835DC"/>
    <w:rsid w:val="00E83D3D"/>
    <w:rsid w:val="00E84CA8"/>
    <w:rsid w:val="00EA0BF3"/>
    <w:rsid w:val="00EA28E1"/>
    <w:rsid w:val="00EA44E0"/>
    <w:rsid w:val="00EB3DC1"/>
    <w:rsid w:val="00EB555E"/>
    <w:rsid w:val="00EB704F"/>
    <w:rsid w:val="00EC06BF"/>
    <w:rsid w:val="00EC13F3"/>
    <w:rsid w:val="00EC2CEC"/>
    <w:rsid w:val="00EC2FF2"/>
    <w:rsid w:val="00EC4461"/>
    <w:rsid w:val="00EC490F"/>
    <w:rsid w:val="00EC4929"/>
    <w:rsid w:val="00EC7140"/>
    <w:rsid w:val="00EC7610"/>
    <w:rsid w:val="00ED0EB3"/>
    <w:rsid w:val="00ED2B9A"/>
    <w:rsid w:val="00ED53F8"/>
    <w:rsid w:val="00ED6795"/>
    <w:rsid w:val="00ED79E9"/>
    <w:rsid w:val="00EE20B6"/>
    <w:rsid w:val="00EE2C1A"/>
    <w:rsid w:val="00EE3378"/>
    <w:rsid w:val="00EE4394"/>
    <w:rsid w:val="00EE5817"/>
    <w:rsid w:val="00EF0042"/>
    <w:rsid w:val="00EF04CC"/>
    <w:rsid w:val="00EF1FB6"/>
    <w:rsid w:val="00EF283B"/>
    <w:rsid w:val="00EF336A"/>
    <w:rsid w:val="00EF7822"/>
    <w:rsid w:val="00F02386"/>
    <w:rsid w:val="00F03FC0"/>
    <w:rsid w:val="00F04CE8"/>
    <w:rsid w:val="00F06E2A"/>
    <w:rsid w:val="00F12A1A"/>
    <w:rsid w:val="00F16D39"/>
    <w:rsid w:val="00F16FE9"/>
    <w:rsid w:val="00F23BE1"/>
    <w:rsid w:val="00F24FCF"/>
    <w:rsid w:val="00F27BD8"/>
    <w:rsid w:val="00F30A2D"/>
    <w:rsid w:val="00F3140B"/>
    <w:rsid w:val="00F31EB4"/>
    <w:rsid w:val="00F34000"/>
    <w:rsid w:val="00F340CA"/>
    <w:rsid w:val="00F35DA3"/>
    <w:rsid w:val="00F3623F"/>
    <w:rsid w:val="00F43B5C"/>
    <w:rsid w:val="00F44AEC"/>
    <w:rsid w:val="00F44B33"/>
    <w:rsid w:val="00F468FB"/>
    <w:rsid w:val="00F50E2A"/>
    <w:rsid w:val="00F511E9"/>
    <w:rsid w:val="00F53894"/>
    <w:rsid w:val="00F54089"/>
    <w:rsid w:val="00F5683F"/>
    <w:rsid w:val="00F60A72"/>
    <w:rsid w:val="00F61B56"/>
    <w:rsid w:val="00F64182"/>
    <w:rsid w:val="00F65945"/>
    <w:rsid w:val="00F71DF5"/>
    <w:rsid w:val="00F72E78"/>
    <w:rsid w:val="00F765D5"/>
    <w:rsid w:val="00F7745A"/>
    <w:rsid w:val="00F8132B"/>
    <w:rsid w:val="00F82261"/>
    <w:rsid w:val="00F823E3"/>
    <w:rsid w:val="00F83D45"/>
    <w:rsid w:val="00F85A45"/>
    <w:rsid w:val="00F85BA4"/>
    <w:rsid w:val="00F92840"/>
    <w:rsid w:val="00F96A4D"/>
    <w:rsid w:val="00F96DED"/>
    <w:rsid w:val="00F973F5"/>
    <w:rsid w:val="00F977F6"/>
    <w:rsid w:val="00FA015A"/>
    <w:rsid w:val="00FA0B55"/>
    <w:rsid w:val="00FA5AE6"/>
    <w:rsid w:val="00FB24DB"/>
    <w:rsid w:val="00FB2890"/>
    <w:rsid w:val="00FB34F2"/>
    <w:rsid w:val="00FB3695"/>
    <w:rsid w:val="00FB49AC"/>
    <w:rsid w:val="00FB4CBB"/>
    <w:rsid w:val="00FB6952"/>
    <w:rsid w:val="00FB7AE1"/>
    <w:rsid w:val="00FC1FD0"/>
    <w:rsid w:val="00FC274D"/>
    <w:rsid w:val="00FC2A3D"/>
    <w:rsid w:val="00FC2C70"/>
    <w:rsid w:val="00FC3421"/>
    <w:rsid w:val="00FC36B9"/>
    <w:rsid w:val="00FC3AD4"/>
    <w:rsid w:val="00FC40E3"/>
    <w:rsid w:val="00FC4B16"/>
    <w:rsid w:val="00FD1B55"/>
    <w:rsid w:val="00FD23A0"/>
    <w:rsid w:val="00FD65EA"/>
    <w:rsid w:val="00FE187C"/>
    <w:rsid w:val="00FE204E"/>
    <w:rsid w:val="00FE3131"/>
    <w:rsid w:val="00FE32B0"/>
    <w:rsid w:val="00FE4C16"/>
    <w:rsid w:val="00FE4F39"/>
    <w:rsid w:val="00FE52CE"/>
    <w:rsid w:val="00FE63B5"/>
    <w:rsid w:val="00FF030D"/>
    <w:rsid w:val="00FF07B2"/>
    <w:rsid w:val="00FF21A4"/>
    <w:rsid w:val="00FF324F"/>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D98F4"/>
  <w15:docId w15:val="{5FF267A1-E102-4AD5-B431-1DF08920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rsid w:val="008C70C4"/>
    <w:pPr>
      <w:tabs>
        <w:tab w:val="left" w:pos="426"/>
      </w:tabs>
      <w:ind w:left="318" w:hanging="28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7E6A29"/>
    <w:pPr>
      <w:numPr>
        <w:numId w:val="33"/>
      </w:numPr>
      <w:spacing w:before="120" w:after="120"/>
      <w:jc w:val="both"/>
    </w:pPr>
    <w:rPr>
      <w:sz w:val="20"/>
    </w:rPr>
  </w:style>
  <w:style w:type="paragraph" w:customStyle="1" w:styleId="odrka">
    <w:name w:val="odrážka"/>
    <w:basedOn w:val="Normln"/>
    <w:qFormat/>
    <w:rsid w:val="00062571"/>
    <w:pPr>
      <w:numPr>
        <w:numId w:val="35"/>
      </w:numPr>
      <w:spacing w:before="120"/>
      <w:ind w:left="357" w:hanging="357"/>
      <w:jc w:val="both"/>
    </w:pPr>
    <w:rPr>
      <w:rFonts w:asciiTheme="minorHAnsi" w:eastAsiaTheme="minorHAnsi" w:hAnsiTheme="minorHAnsi" w:cstheme="minorBidi"/>
      <w:szCs w:val="22"/>
      <w:lang w:eastAsia="en-US"/>
    </w:rPr>
  </w:style>
  <w:style w:type="paragraph" w:customStyle="1" w:styleId="slovn-rove1">
    <w:name w:val="Číslování - úroveň 1"/>
    <w:basedOn w:val="Normln"/>
    <w:qFormat/>
    <w:rsid w:val="00062571"/>
    <w:pPr>
      <w:keepNext/>
      <w:numPr>
        <w:numId w:val="36"/>
      </w:numPr>
      <w:spacing w:before="120" w:after="120"/>
      <w:jc w:val="both"/>
    </w:pPr>
    <w:rPr>
      <w:b/>
      <w:sz w:val="20"/>
    </w:rPr>
  </w:style>
  <w:style w:type="paragraph" w:customStyle="1" w:styleId="slovn-rove2">
    <w:name w:val="číslování - úroveň 2"/>
    <w:basedOn w:val="slovn-rove1"/>
    <w:qFormat/>
    <w:rsid w:val="00062571"/>
    <w:pPr>
      <w:numPr>
        <w:ilvl w:val="1"/>
      </w:numPr>
      <w:tabs>
        <w:tab w:val="left" w:pos="454"/>
      </w:tabs>
    </w:pPr>
  </w:style>
  <w:style w:type="paragraph" w:customStyle="1" w:styleId="slovn-rove3">
    <w:name w:val="číslování - úroveň 3"/>
    <w:basedOn w:val="slovn-rove2"/>
    <w:qFormat/>
    <w:rsid w:val="00062571"/>
    <w:pPr>
      <w:numPr>
        <w:ilvl w:val="2"/>
      </w:numPr>
      <w:tabs>
        <w:tab w:val="left" w:pos="510"/>
      </w:tabs>
      <w:spacing w:after="0"/>
    </w:pPr>
  </w:style>
  <w:style w:type="paragraph" w:customStyle="1" w:styleId="slovn-rove1-netun">
    <w:name w:val="Číslování - úroveň 1 - netučné"/>
    <w:basedOn w:val="slovn-rove1"/>
    <w:link w:val="slovn-rove1-netunChar"/>
    <w:qFormat/>
    <w:rsid w:val="00062571"/>
    <w:pPr>
      <w:keepNext w:val="0"/>
      <w:spacing w:after="0"/>
    </w:pPr>
    <w:rPr>
      <w:b w:val="0"/>
    </w:rPr>
  </w:style>
  <w:style w:type="character" w:customStyle="1" w:styleId="slovn-rove1-netunChar">
    <w:name w:val="Číslování - úroveň 1 - netučné Char"/>
    <w:basedOn w:val="Standardnpsmoodstavce"/>
    <w:link w:val="slovn-rove1-netun"/>
    <w:rsid w:val="00062571"/>
    <w:rPr>
      <w:rFonts w:ascii="Koop Office" w:hAnsi="Koop Offi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51100531">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49005683">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843202099">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08555422">
      <w:bodyDiv w:val="1"/>
      <w:marLeft w:val="0"/>
      <w:marRight w:val="0"/>
      <w:marTop w:val="0"/>
      <w:marBottom w:val="0"/>
      <w:divBdr>
        <w:top w:val="none" w:sz="0" w:space="0" w:color="auto"/>
        <w:left w:val="none" w:sz="0" w:space="0" w:color="auto"/>
        <w:bottom w:val="none" w:sz="0" w:space="0" w:color="auto"/>
        <w:right w:val="none" w:sz="0" w:space="0" w:color="auto"/>
      </w:divBdr>
      <w:divsChild>
        <w:div w:id="381442251">
          <w:marLeft w:val="547"/>
          <w:marRight w:val="0"/>
          <w:marTop w:val="86"/>
          <w:marBottom w:val="0"/>
          <w:divBdr>
            <w:top w:val="none" w:sz="0" w:space="0" w:color="auto"/>
            <w:left w:val="none" w:sz="0" w:space="0" w:color="auto"/>
            <w:bottom w:val="none" w:sz="0" w:space="0" w:color="auto"/>
            <w:right w:val="none" w:sz="0" w:space="0" w:color="auto"/>
          </w:divBdr>
        </w:div>
      </w:divsChild>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i.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http://www.koop.cz"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7B5A-EDF7-43A1-A6D7-EACB74E2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6</TotalTime>
  <Pages>16</Pages>
  <Words>7957</Words>
  <Characters>46950</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54798</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Matoušková Lucie</cp:lastModifiedBy>
  <cp:revision>3</cp:revision>
  <cp:lastPrinted>2017-02-28T12:50:00Z</cp:lastPrinted>
  <dcterms:created xsi:type="dcterms:W3CDTF">2019-04-01T06:11:00Z</dcterms:created>
  <dcterms:modified xsi:type="dcterms:W3CDTF">2019-04-01T06:16:00Z</dcterms:modified>
</cp:coreProperties>
</file>