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77" w:rsidRDefault="00494DB2">
      <w:pPr>
        <w:pStyle w:val="Nadpis10"/>
        <w:keepNext/>
        <w:keepLines/>
        <w:shd w:val="clear" w:color="auto" w:fill="auto"/>
        <w:spacing w:after="620" w:line="240" w:lineRule="auto"/>
        <w:ind w:right="540"/>
      </w:pPr>
      <w:bookmarkStart w:id="0" w:name="bookmark0"/>
      <w:proofErr w:type="spellStart"/>
      <w:r>
        <w:t>kleeCONSULTING</w:t>
      </w:r>
      <w:bookmarkEnd w:id="0"/>
      <w:proofErr w:type="spellEnd"/>
    </w:p>
    <w:p w:rsidR="00E62077" w:rsidRDefault="00494DB2">
      <w:pPr>
        <w:pStyle w:val="Zkladntext40"/>
        <w:pBdr>
          <w:top w:val="single" w:sz="0" w:space="0" w:color="9FB7B7"/>
          <w:left w:val="single" w:sz="0" w:space="0" w:color="9FB7B7"/>
          <w:bottom w:val="single" w:sz="0" w:space="0" w:color="9FB7B7"/>
          <w:right w:val="single" w:sz="0" w:space="0" w:color="9FB7B7"/>
        </w:pBdr>
        <w:shd w:val="clear" w:color="auto" w:fill="9FB7B7"/>
      </w:pPr>
      <w:r>
        <w:rPr>
          <w:color w:val="FFFFFF"/>
        </w:rPr>
        <w:t>MEZINÁRODNI STAVEBNÍ ZAKÁZKY</w:t>
      </w:r>
    </w:p>
    <w:p w:rsidR="00E62077" w:rsidRDefault="00494DB2">
      <w:pPr>
        <w:pStyle w:val="Zkladntext20"/>
        <w:shd w:val="clear" w:color="auto" w:fill="auto"/>
        <w:spacing w:after="14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Pozvánka s programem na Certifikované školení FIDIC</w:t>
      </w:r>
    </w:p>
    <w:p w:rsidR="00E62077" w:rsidRDefault="00494DB2">
      <w:pPr>
        <w:pStyle w:val="Zkladntext20"/>
        <w:shd w:val="clear" w:color="auto" w:fill="auto"/>
        <w:spacing w:after="580" w:line="266" w:lineRule="auto"/>
      </w:pPr>
      <w:r>
        <w:t>Školení se uskuteční ve dnech 1.-2. dubna a 15.-</w:t>
      </w:r>
      <w:proofErr w:type="gramStart"/>
      <w:r>
        <w:t>16.dubna</w:t>
      </w:r>
      <w:proofErr w:type="gramEnd"/>
      <w:r>
        <w:t xml:space="preserve"> 2019 v prostorách SFDI, Sokolovská 1955/278, Praha 9,</w:t>
      </w:r>
      <w:r>
        <w:br/>
        <w:t>zasedací místnost v 7. patře budovy</w:t>
      </w:r>
    </w:p>
    <w:p w:rsidR="00E62077" w:rsidRDefault="00494DB2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 w:line="240" w:lineRule="auto"/>
        <w:jc w:val="both"/>
      </w:pPr>
      <w:r>
        <w:rPr>
          <w:b/>
          <w:bCs/>
        </w:rPr>
        <w:t>Obsah školení:</w:t>
      </w:r>
    </w:p>
    <w:p w:rsidR="00E62077" w:rsidRDefault="00494DB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 xml:space="preserve">Úvod: </w:t>
      </w:r>
      <w:r>
        <w:t>Specifika stavebnictví a prostředí. Výstavbový projekt a jeho účastníci. Správce stavby. Manažer realizace. Zástupce objednatele. Rozhodné právo.</w:t>
      </w:r>
    </w:p>
    <w:p w:rsidR="00E62077" w:rsidRDefault="00494DB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</w:pPr>
      <w:r>
        <w:rPr>
          <w:b/>
          <w:bCs/>
        </w:rPr>
        <w:t xml:space="preserve">Základní aspekty smlouvy: </w:t>
      </w:r>
      <w:r>
        <w:t xml:space="preserve">Správa zakázky. Určení ceny. Odpovědnost za projektovou dokumentaci. Alokace rizika a umožnění </w:t>
      </w:r>
      <w:proofErr w:type="spellStart"/>
      <w:r>
        <w:t>claimu</w:t>
      </w:r>
      <w:proofErr w:type="spellEnd"/>
      <w:r>
        <w:t>.</w:t>
      </w:r>
    </w:p>
    <w:p w:rsidR="00E62077" w:rsidRDefault="00494DB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 xml:space="preserve">Standardizace smluv: </w:t>
      </w:r>
      <w:r>
        <w:t>Historie (smlouvy za první republiky). Vzorové smlouvy ve vyspělých zemích.</w:t>
      </w:r>
    </w:p>
    <w:p w:rsidR="00E62077" w:rsidRDefault="00494DB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 xml:space="preserve">FIDIC: </w:t>
      </w:r>
      <w:proofErr w:type="spellStart"/>
      <w:r>
        <w:t>Fédération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des </w:t>
      </w:r>
      <w:proofErr w:type="spellStart"/>
      <w:r>
        <w:t>Ingénieurs-Conseils</w:t>
      </w:r>
      <w:proofErr w:type="spellEnd"/>
      <w:r>
        <w:t>. Česká účast ve FIDIC. Smluvní (obchodní) podmínky podle českého práva. Některé místní vzorové smluvní podmínky podle FIDIC.</w:t>
      </w:r>
    </w:p>
    <w:p w:rsidR="00E62077" w:rsidRDefault="00494DB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</w:pPr>
      <w:r>
        <w:rPr>
          <w:b/>
          <w:bCs/>
        </w:rPr>
        <w:t xml:space="preserve">Prostředí: </w:t>
      </w:r>
      <w:r>
        <w:t>Vývoj stavebních trhů ve střední a východní Evropě (Slovensko, Polsko a Česko). Zkušenosti z první fáze čerpání dotací: Rozdělení rizik. Využití a zneužití metody design-</w:t>
      </w:r>
      <w:proofErr w:type="spellStart"/>
      <w:r>
        <w:t>build</w:t>
      </w:r>
      <w:proofErr w:type="spellEnd"/>
      <w:r>
        <w:t>. Vzory FIDIC a jejich deformace. Vliv recese a globální soutěže. Správné použití EPC smluv (smluv na klíč). Mimořádně nízká cena. Sdružení zhotovitelů, změny ceny nákladů v čase a dodavatelské řetězce (přímé platby). Zneužití nevhodného přenosu rizik. Omezení kompetencí správců stavby. Nevhodné zásahy do způsobu tvorby ceny u měřených a paušálních smluv - kam vedou jednostranné smlouvy? Související judikatura z vyspělých zemí (USA, Německo apod.) - zákaz netransparentního přenosu rizika. Jak se chová stavební trh v Rakousku a Německu? Jaký je přístup k rozdělení rizik, jaké metody dodávky využívají?</w:t>
      </w:r>
    </w:p>
    <w:p w:rsidR="00E62077" w:rsidRDefault="00494DB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9" w:lineRule="auto"/>
      </w:pPr>
      <w:r>
        <w:rPr>
          <w:b/>
          <w:bCs/>
        </w:rPr>
        <w:t xml:space="preserve">Cena díla podle FIDIC: </w:t>
      </w:r>
      <w:r>
        <w:t>Ekonomické vlivy (cena pevná nebo pohyblivá). Konstrukce ceny, tzn. především obsah a způsob stanovení celkové ceny (cena paušální, cena položková -tzv. „měřená zakázka" a cena nákladová). Platby a vyúčtování.</w:t>
      </w:r>
    </w:p>
    <w:p w:rsidR="00E62077" w:rsidRDefault="00494DB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</w:pPr>
      <w:r>
        <w:rPr>
          <w:b/>
          <w:bCs/>
        </w:rPr>
        <w:t xml:space="preserve">Typy řízení a organizace výstavbového projektu podle FIDIC (metody dodávky): </w:t>
      </w:r>
      <w:r>
        <w:t xml:space="preserve">Generální dodavatelství, Design and </w:t>
      </w:r>
      <w:proofErr w:type="spellStart"/>
      <w:r>
        <w:t>Build</w:t>
      </w:r>
      <w:proofErr w:type="spellEnd"/>
      <w:r>
        <w:t xml:space="preserve"> (EPC) a Construction Management (EPCM).</w:t>
      </w:r>
    </w:p>
    <w:p w:rsidR="00E62077" w:rsidRDefault="00494DB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</w:pPr>
      <w:r>
        <w:rPr>
          <w:b/>
          <w:bCs/>
        </w:rPr>
        <w:t xml:space="preserve">Rozlišení smluvních podmínek FIDIC: </w:t>
      </w:r>
      <w:r>
        <w:t>Základní součásti smlouvy o dílo podle FIDIC. Zvláštní podmínky. Požadavky objednatele. Návrh zhotovitele. Výkresy. Specifikace a výkaz výměr. Odpovědnost za projektovou dokumentaci.</w:t>
      </w:r>
    </w:p>
    <w:p w:rsidR="00E62077" w:rsidRDefault="00494DB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 xml:space="preserve">Alokace rizik podle FIDIC: </w:t>
      </w:r>
      <w:r>
        <w:t xml:space="preserve">CONS (Červená kniha). Struktura CONS. P&amp;DB (Žlutá kniha). Struktura P&amp;DB. EPC (Stříbrná kniha). Struktura EPC.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. Struktura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. DBO. Struktura DBO. Public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a FIDIC DBO. Construction </w:t>
      </w:r>
      <w:proofErr w:type="spellStart"/>
      <w:r>
        <w:t>Subcontract</w:t>
      </w:r>
      <w:proofErr w:type="spellEnd"/>
      <w:r>
        <w:t xml:space="preserve">. Struktura Construction </w:t>
      </w:r>
      <w:proofErr w:type="spellStart"/>
      <w:r>
        <w:t>Subcontract</w:t>
      </w:r>
      <w:proofErr w:type="spellEnd"/>
      <w:r>
        <w:t xml:space="preserve">. Další vzorové dokumenty FIDIC. Alokace rizik objednatele a zhotovitele v 1999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(Červená, Žlutá a Stříbrná kniha). Vyjednávání a obvyklé úpravy.</w:t>
      </w:r>
    </w:p>
    <w:p w:rsidR="00E62077" w:rsidRDefault="00494DB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 xml:space="preserve">FIDIC </w:t>
      </w:r>
      <w:proofErr w:type="spellStart"/>
      <w:r>
        <w:rPr>
          <w:b/>
          <w:bCs/>
        </w:rPr>
        <w:t>vpost</w:t>
      </w:r>
      <w:proofErr w:type="spellEnd"/>
      <w:r>
        <w:rPr>
          <w:b/>
          <w:bCs/>
        </w:rPr>
        <w:t xml:space="preserve">-kom. </w:t>
      </w:r>
      <w:proofErr w:type="gramStart"/>
      <w:r>
        <w:rPr>
          <w:b/>
          <w:bCs/>
        </w:rPr>
        <w:t>Zemích</w:t>
      </w:r>
      <w:proofErr w:type="gramEnd"/>
      <w:r>
        <w:rPr>
          <w:b/>
          <w:bCs/>
        </w:rPr>
        <w:t xml:space="preserve">: </w:t>
      </w:r>
      <w:r>
        <w:t>Smluvní podmínky FIDIC a jejich použití v právním systému České republiky. Správce stavby. Dodatečné stavební práce podle zákona o veřejných zakázkách. Změny a úpravy v kontextu zákona o veřejných zakázkách. Stavební deník. Vlastnické právo a nebezpeční škody na věci. Průběh prací. Zpoždění. Přerušení. Zánik nesplněného závazku - ukončení smlouvy. Záruční doba a nárokování. Následky narušení rozumné alokace rizik. Trendy využití vzorů FIDIC ve střední a východní Evropě. Fondy Evropské unie. Evropská investiční banka.</w:t>
      </w:r>
    </w:p>
    <w:p w:rsidR="00E62077" w:rsidRDefault="00494DB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 xml:space="preserve">Trendy </w:t>
      </w:r>
      <w:proofErr w:type="spellStart"/>
      <w:r>
        <w:rPr>
          <w:b/>
          <w:bCs/>
        </w:rPr>
        <w:t>Contract</w:t>
      </w:r>
      <w:proofErr w:type="spellEnd"/>
      <w:r>
        <w:rPr>
          <w:b/>
          <w:bCs/>
        </w:rPr>
        <w:t xml:space="preserve"> Managementu: </w:t>
      </w:r>
      <w:r>
        <w:t xml:space="preserve">Aktuální trendy </w:t>
      </w:r>
      <w:proofErr w:type="spellStart"/>
      <w:r>
        <w:t>contract</w:t>
      </w:r>
      <w:proofErr w:type="spellEnd"/>
      <w:r>
        <w:t xml:space="preserve"> managementu. Jakou má hodnotu čas? Přerušení, prodloužení a urychlení - retrospektivní analýza nebo dokazování v reálném čase? Nový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FIDIC - kam směřují vzory FIDIC? Alternativy vzorům FIDIC - NEC? Zánik nároku při jeho pozdním oznámení - judikatura z různých částí světa, různé přístupy a trendy. Limitace celkové ceny - může zhotovitel garantovat maximální cenu? </w:t>
      </w:r>
      <w:proofErr w:type="gramStart"/>
      <w:r>
        <w:t>Prose</w:t>
      </w:r>
      <w:proofErr w:type="gramEnd"/>
      <w:r>
        <w:t xml:space="preserve"> se cena díla navyšuje? Britské vzory NEC - nejmodernější stavební smlouva. SCL </w:t>
      </w:r>
      <w:proofErr w:type="spellStart"/>
      <w:r>
        <w:t>Protocol</w:t>
      </w:r>
      <w:proofErr w:type="spellEnd"/>
      <w:r>
        <w:t xml:space="preserve"> - Britský standard pro řízení času.</w:t>
      </w:r>
    </w:p>
    <w:p w:rsidR="00E62077" w:rsidRDefault="00494DB2">
      <w:pPr>
        <w:pStyle w:val="Zkladntext1"/>
        <w:shd w:val="clear" w:color="auto" w:fill="auto"/>
      </w:pPr>
      <w:r>
        <w:rPr>
          <w:b/>
          <w:bCs/>
        </w:rPr>
        <w:t xml:space="preserve">Řízení času podle FIDIC: </w:t>
      </w:r>
      <w:r>
        <w:t xml:space="preserve">Harmonogram (obsah harmonogramu podle FIDIC). Zpráva o postupu prací (obsah zprávy podle FIDIC). EOT </w:t>
      </w:r>
      <w:proofErr w:type="spellStart"/>
      <w:r>
        <w:t>claim</w:t>
      </w:r>
      <w:proofErr w:type="spellEnd"/>
      <w:r>
        <w:t xml:space="preserve">.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. </w:t>
      </w:r>
      <w:proofErr w:type="spellStart"/>
      <w:proofErr w:type="gram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>. CPM. Akcelerace. Mobilizace, demobilizace a re-mobilizace.</w:t>
      </w:r>
    </w:p>
    <w:p w:rsidR="00E62077" w:rsidRDefault="00494DB2">
      <w:pPr>
        <w:pStyle w:val="Zkladntext1"/>
        <w:shd w:val="clear" w:color="auto" w:fill="auto"/>
        <w:spacing w:line="269" w:lineRule="auto"/>
      </w:pPr>
      <w:proofErr w:type="spellStart"/>
      <w:r>
        <w:rPr>
          <w:b/>
          <w:bCs/>
        </w:rPr>
        <w:lastRenderedPageBreak/>
        <w:t>Claimy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Claim</w:t>
      </w:r>
      <w:proofErr w:type="spellEnd"/>
      <w:r>
        <w:rPr>
          <w:b/>
          <w:bCs/>
        </w:rPr>
        <w:t xml:space="preserve"> management podle FIDIC: </w:t>
      </w:r>
      <w:r>
        <w:t xml:space="preserve">Obvyklé </w:t>
      </w:r>
      <w:proofErr w:type="spellStart"/>
      <w:r>
        <w:t>claimy</w:t>
      </w:r>
      <w:proofErr w:type="spellEnd"/>
      <w:r>
        <w:t xml:space="preserve"> zhotovitele a objednatele (postup při včasném varování, oznámení a předložení). Lhůty pro oznámení nároku. Zánik nároku. </w:t>
      </w:r>
      <w:proofErr w:type="spellStart"/>
      <w:r>
        <w:t>Claimy</w:t>
      </w:r>
      <w:proofErr w:type="spellEnd"/>
      <w:r>
        <w:t xml:space="preserve"> podle jednotlivých vzorů FIDIC. Předkládání a oceňování </w:t>
      </w:r>
      <w:proofErr w:type="spellStart"/>
      <w:r>
        <w:t>claimů</w:t>
      </w:r>
      <w:proofErr w:type="spellEnd"/>
      <w:r>
        <w:t xml:space="preserve">. </w:t>
      </w:r>
      <w:proofErr w:type="spellStart"/>
      <w:r>
        <w:t>Claimy</w:t>
      </w:r>
      <w:proofErr w:type="spellEnd"/>
      <w:r>
        <w:t xml:space="preserve"> na vyvolané dodatečné přímé náklady, výrobní režie a správní režie. </w:t>
      </w:r>
      <w:proofErr w:type="spellStart"/>
      <w:r>
        <w:t>Claimy</w:t>
      </w:r>
      <w:proofErr w:type="spellEnd"/>
      <w:r>
        <w:t xml:space="preserve"> při přerušení, zpoždění a akceleraci. </w:t>
      </w:r>
      <w:proofErr w:type="spellStart"/>
      <w:r>
        <w:t>Claimy</w:t>
      </w:r>
      <w:proofErr w:type="spellEnd"/>
      <w:r>
        <w:t xml:space="preserve"> a nápravné prostředky objednatele (smluvní pokuty, vady díla, náhrady škody a její limitace).</w:t>
      </w:r>
    </w:p>
    <w:p w:rsidR="00E62077" w:rsidRDefault="00494DB2">
      <w:pPr>
        <w:pStyle w:val="Zkladntext1"/>
        <w:shd w:val="clear" w:color="auto" w:fill="auto"/>
        <w:spacing w:line="266" w:lineRule="auto"/>
      </w:pPr>
      <w:r>
        <w:rPr>
          <w:b/>
          <w:bCs/>
        </w:rPr>
        <w:t xml:space="preserve">Změny a změnové procesy podle FIDIC: </w:t>
      </w:r>
      <w:r>
        <w:t>Nařízené, konstruktivní a dobrovolné změny. Podstatná změna v kontextu veřejnoprávní regulace. Změny podle FIDIC. Akcelerace.</w:t>
      </w:r>
    </w:p>
    <w:p w:rsidR="00E62077" w:rsidRDefault="00494DB2">
      <w:pPr>
        <w:pStyle w:val="Zkladntext1"/>
        <w:shd w:val="clear" w:color="auto" w:fill="auto"/>
        <w:spacing w:line="269" w:lineRule="auto"/>
      </w:pPr>
      <w:r>
        <w:rPr>
          <w:b/>
          <w:bCs/>
        </w:rPr>
        <w:t xml:space="preserve">Řešení sporů: </w:t>
      </w:r>
      <w:r>
        <w:t xml:space="preserve">Role správce stavby. Alternativní řešení sporů. Expertní metody řešení sporů. Panely pro řešení sporů (DAB). Řešení sporů podle FIDIC. Řešení sporů a vztah k </w:t>
      </w:r>
      <w:proofErr w:type="gramStart"/>
      <w:r>
        <w:t>národním</w:t>
      </w:r>
      <w:proofErr w:type="gramEnd"/>
      <w:r>
        <w:t xml:space="preserve"> právu a vynutitelnosti rozhodnutí a dokazování.</w:t>
      </w:r>
    </w:p>
    <w:p w:rsidR="00E62077" w:rsidRDefault="00494DB2">
      <w:pPr>
        <w:pStyle w:val="Zkladntext1"/>
        <w:shd w:val="clear" w:color="auto" w:fill="auto"/>
      </w:pPr>
      <w:r>
        <w:rPr>
          <w:b/>
          <w:bCs/>
        </w:rPr>
        <w:t xml:space="preserve">Zkoušky podle FIDIC: </w:t>
      </w:r>
      <w:r>
        <w:t>Individuální (</w:t>
      </w:r>
      <w:proofErr w:type="spellStart"/>
      <w:r>
        <w:t>Testing</w:t>
      </w:r>
      <w:proofErr w:type="spellEnd"/>
      <w:r>
        <w:t xml:space="preserve"> podle </w:t>
      </w:r>
      <w:proofErr w:type="gramStart"/>
      <w:r>
        <w:t>7.4. FIDIC</w:t>
      </w:r>
      <w:proofErr w:type="gramEnd"/>
      <w:r>
        <w:t>), komplexní (</w:t>
      </w:r>
      <w:proofErr w:type="spellStart"/>
      <w:r>
        <w:t>Tests</w:t>
      </w:r>
      <w:proofErr w:type="spellEnd"/>
      <w:r>
        <w:t xml:space="preserve"> on </w:t>
      </w:r>
      <w:proofErr w:type="spellStart"/>
      <w:r>
        <w:t>Completion</w:t>
      </w:r>
      <w:proofErr w:type="spellEnd"/>
      <w:r>
        <w:t xml:space="preserve"> podle 9 FIDIC) a záruční zkoušky (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podle 12 FIDIC). Rozdíly v požadavcích na zkoušky mezi FIDIC CONS, PD/B a EPC. Lidské zdroje, materiály a zařízení pro zkoušky. Vlastnictví produktů vzešlých ze zkoušky. Ocenění a proveditelnost zkoušek. Součinnost objednatele. Součinnost veřejnoprávních orgánů ke spolupráci na zkouškách. </w:t>
      </w:r>
      <w:proofErr w:type="spellStart"/>
      <w:r>
        <w:t>Claimy</w:t>
      </w:r>
      <w:proofErr w:type="spellEnd"/>
      <w:r>
        <w:t xml:space="preserve"> v souvislosti se zkouškami. Předání a převzetí díla.</w:t>
      </w:r>
    </w:p>
    <w:p w:rsidR="00E62077" w:rsidRDefault="00494DB2">
      <w:pPr>
        <w:pStyle w:val="Zkladntext1"/>
        <w:shd w:val="clear" w:color="auto" w:fill="auto"/>
        <w:spacing w:line="264" w:lineRule="auto"/>
      </w:pPr>
      <w:r>
        <w:rPr>
          <w:b/>
          <w:bCs/>
        </w:rPr>
        <w:t xml:space="preserve">Nepředvídatelnost podle FIDIC: </w:t>
      </w:r>
      <w:r>
        <w:t>Nepředvídatelné fyzické podmínky. Geotechnické riziko. Údaje o staveništi. Nepředvídatelné procesy přírodních sil. Vyšší moc. Zánik smlouvy při nemožnosti plnění.</w:t>
      </w:r>
    </w:p>
    <w:p w:rsidR="00E62077" w:rsidRDefault="00494DB2">
      <w:pPr>
        <w:pStyle w:val="Zkladntext1"/>
        <w:shd w:val="clear" w:color="auto" w:fill="auto"/>
        <w:spacing w:after="560"/>
      </w:pPr>
      <w:r>
        <w:rPr>
          <w:b/>
          <w:bCs/>
        </w:rPr>
        <w:t xml:space="preserve">Bankovní garance a pojištění: </w:t>
      </w:r>
      <w:r>
        <w:t>Vádium, realizační garance, záruční garance, garance za zálohu, platební garance. Stavebně- montážní pojištění (CAR), pojištění odpovědnosti, profesní pojištění odpovědnosti projektanta, úrazové pojištění zaměstnavatele.</w:t>
      </w:r>
    </w:p>
    <w:p w:rsidR="00E62077" w:rsidRDefault="00494DB2">
      <w:pPr>
        <w:pStyle w:val="Zkladntext1"/>
        <w:shd w:val="clear" w:color="auto" w:fill="auto"/>
        <w:spacing w:line="266" w:lineRule="auto"/>
      </w:pPr>
      <w:r>
        <w:t xml:space="preserve">Školení bude obsahovat také průběžné opakování, trénink například typických situací při řešení </w:t>
      </w:r>
      <w:proofErr w:type="spellStart"/>
      <w:r>
        <w:t>claimů</w:t>
      </w:r>
      <w:proofErr w:type="spellEnd"/>
      <w:r>
        <w:t>.</w:t>
      </w:r>
    </w:p>
    <w:p w:rsidR="00E62077" w:rsidRDefault="00494DB2">
      <w:pPr>
        <w:pStyle w:val="Zkladntext1"/>
        <w:shd w:val="clear" w:color="auto" w:fill="auto"/>
        <w:spacing w:line="266" w:lineRule="auto"/>
      </w:pPr>
      <w:r>
        <w:t>Školení bude zakončeno písemných testem ověřujícím osvojení základních znalostí a udělení certifikátu.</w:t>
      </w:r>
    </w:p>
    <w:p w:rsidR="00E62077" w:rsidRDefault="00494DB2">
      <w:pPr>
        <w:pStyle w:val="Zkladntext1"/>
        <w:shd w:val="clear" w:color="auto" w:fill="auto"/>
        <w:spacing w:after="400" w:line="266" w:lineRule="auto"/>
      </w:pPr>
      <w:r>
        <w:t>Každý účastník obdrží v rámci školení soubor tištěných publikací jako výukový materiál k semináři.</w:t>
      </w:r>
    </w:p>
    <w:p w:rsidR="00E62077" w:rsidRDefault="00494DB2">
      <w:pPr>
        <w:pStyle w:val="Zkladntext1"/>
        <w:shd w:val="clear" w:color="auto" w:fill="auto"/>
        <w:spacing w:line="266" w:lineRule="auto"/>
      </w:pPr>
      <w:r>
        <w:t>Časový rozvrh školení:</w:t>
      </w:r>
    </w:p>
    <w:p w:rsidR="00E62077" w:rsidRDefault="00494DB2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66" w:lineRule="auto"/>
      </w:pPr>
      <w:r>
        <w:t>a 15. dubna.: 12.00-13.30 h, 13.45-15.15 h, 15.30-17.00 h</w:t>
      </w:r>
    </w:p>
    <w:p w:rsidR="00E62077" w:rsidRDefault="00494DB2">
      <w:pPr>
        <w:pStyle w:val="Zkladntext1"/>
        <w:numPr>
          <w:ilvl w:val="0"/>
          <w:numId w:val="1"/>
        </w:numPr>
        <w:shd w:val="clear" w:color="auto" w:fill="auto"/>
        <w:tabs>
          <w:tab w:val="left" w:pos="292"/>
          <w:tab w:val="left" w:pos="1300"/>
        </w:tabs>
        <w:spacing w:line="266" w:lineRule="auto"/>
      </w:pPr>
      <w:r>
        <w:t>dubna:</w:t>
      </w:r>
      <w:r>
        <w:tab/>
        <w:t>09.00-10.30 h, 10.45-12.15 h, oběd, 13.00-14.30 h</w:t>
      </w:r>
    </w:p>
    <w:p w:rsidR="00E62077" w:rsidRDefault="00494DB2">
      <w:pPr>
        <w:pStyle w:val="Zkladntext1"/>
        <w:shd w:val="clear" w:color="auto" w:fill="auto"/>
        <w:tabs>
          <w:tab w:val="left" w:pos="1300"/>
        </w:tabs>
        <w:spacing w:line="266" w:lineRule="auto"/>
      </w:pPr>
      <w:r>
        <w:t>16. dubna:</w:t>
      </w:r>
      <w:r>
        <w:tab/>
        <w:t>09.00-10.30 h, 10.45-12.15 h, test - konec do 14 h</w:t>
      </w:r>
    </w:p>
    <w:p w:rsidR="00E62077" w:rsidRDefault="00494DB2">
      <w:pPr>
        <w:pStyle w:val="Zkladntext1"/>
        <w:shd w:val="clear" w:color="auto" w:fill="auto"/>
        <w:spacing w:line="269" w:lineRule="auto"/>
      </w:pPr>
      <w:r>
        <w:rPr>
          <w:b/>
          <w:bCs/>
        </w:rPr>
        <w:t xml:space="preserve">Ze zaměstnanců Povodí Moravy </w:t>
      </w:r>
      <w:proofErr w:type="gramStart"/>
      <w:r>
        <w:rPr>
          <w:b/>
          <w:bCs/>
        </w:rPr>
        <w:t>s.p.</w:t>
      </w:r>
      <w:proofErr w:type="gramEnd"/>
      <w:r>
        <w:rPr>
          <w:b/>
          <w:bCs/>
        </w:rPr>
        <w:t xml:space="preserve"> se školení zúčastní: </w:t>
      </w:r>
      <w:proofErr w:type="spellStart"/>
      <w:r w:rsidR="002376C4" w:rsidRPr="002376C4">
        <w:rPr>
          <w:b/>
          <w:bCs/>
          <w:highlight w:val="black"/>
        </w:rPr>
        <w:t>xxxxxxxxxxxxxxxxxxxxxxxxxxxxxxxxxxxxxxxx</w:t>
      </w:r>
      <w:proofErr w:type="spellEnd"/>
    </w:p>
    <w:p w:rsidR="00E62077" w:rsidRDefault="00494DB2">
      <w:pPr>
        <w:pStyle w:val="Zkladntext1"/>
        <w:shd w:val="clear" w:color="auto" w:fill="auto"/>
        <w:spacing w:after="560" w:line="264" w:lineRule="auto"/>
      </w:pPr>
      <w:r>
        <w:rPr>
          <w:b/>
          <w:bCs/>
        </w:rPr>
        <w:t xml:space="preserve">Cena na osobu činí 12 000 Kč. Celková částka pro 6 zaměstnanců je tedy 72 000 Kč bez DPH </w:t>
      </w:r>
      <w:r>
        <w:t>(faktura bude vystavena po skončení 4. dne školení).</w:t>
      </w:r>
    </w:p>
    <w:p w:rsidR="00E62077" w:rsidRDefault="00494DB2">
      <w:pPr>
        <w:pStyle w:val="Zkladntext1"/>
        <w:shd w:val="clear" w:color="auto" w:fill="auto"/>
        <w:spacing w:after="220" w:line="254" w:lineRule="auto"/>
      </w:pPr>
      <w:r>
        <w:t>S přáním pěkného dne</w:t>
      </w:r>
    </w:p>
    <w:p w:rsidR="00E62077" w:rsidRDefault="002376C4">
      <w:pPr>
        <w:pStyle w:val="Zkladntext1"/>
        <w:shd w:val="clear" w:color="auto" w:fill="auto"/>
        <w:spacing w:line="254" w:lineRule="auto"/>
        <w:ind w:right="7160"/>
        <w:jc w:val="left"/>
      </w:pPr>
      <w:proofErr w:type="spellStart"/>
      <w:r w:rsidRPr="002376C4">
        <w:rPr>
          <w:highlight w:val="black"/>
        </w:rPr>
        <w:t>xxxxxxxxxxxxxxxxxxxxxxxxxxxxxxx</w:t>
      </w:r>
      <w:proofErr w:type="spellEnd"/>
      <w:r w:rsidR="00494DB2">
        <w:t xml:space="preserve"> </w:t>
      </w:r>
      <w:bookmarkStart w:id="1" w:name="_GoBack"/>
      <w:bookmarkEnd w:id="1"/>
    </w:p>
    <w:sectPr w:rsidR="00E62077">
      <w:footerReference w:type="default" r:id="rId8"/>
      <w:pgSz w:w="11900" w:h="16840"/>
      <w:pgMar w:top="963" w:right="1039" w:bottom="1802" w:left="8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13" w:rsidRDefault="00870C13">
      <w:r>
        <w:separator/>
      </w:r>
    </w:p>
  </w:endnote>
  <w:endnote w:type="continuationSeparator" w:id="0">
    <w:p w:rsidR="00870C13" w:rsidRDefault="0087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77" w:rsidRDefault="00494D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1782445</wp:posOffset>
              </wp:positionH>
              <wp:positionV relativeFrom="page">
                <wp:posOffset>10048240</wp:posOffset>
              </wp:positionV>
              <wp:extent cx="3729355" cy="3035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9355" cy="303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2077" w:rsidRDefault="00E62077">
                          <w:pPr>
                            <w:pStyle w:val="Zhlavnebozpat20"/>
                            <w:shd w:val="clear" w:color="auto" w:fill="auto"/>
                            <w:tabs>
                              <w:tab w:val="right" w:pos="5851"/>
                            </w:tabs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40.35pt;margin-top:791.2pt;width:293.65pt;height:23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" filled="f" stroked="f">
              <v:textbox style="mso-fit-shape-to-text:t" inset="0,0,0,0">
                <w:txbxContent>
                  <w:p w:rsidR="00E62077" w:rsidRDefault="00E62077">
                    <w:pPr>
                      <w:pStyle w:val="Zhlavnebozpat20"/>
                      <w:shd w:val="clear" w:color="auto" w:fill="auto"/>
                      <w:tabs>
                        <w:tab w:val="right" w:pos="5851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13" w:rsidRDefault="00870C13"/>
  </w:footnote>
  <w:footnote w:type="continuationSeparator" w:id="0">
    <w:p w:rsidR="00870C13" w:rsidRDefault="00870C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0AA7"/>
    <w:multiLevelType w:val="multilevel"/>
    <w:tmpl w:val="9C388D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2077"/>
    <w:rsid w:val="002376C4"/>
    <w:rsid w:val="002E240E"/>
    <w:rsid w:val="00494DB2"/>
    <w:rsid w:val="00870C13"/>
    <w:rsid w:val="00E6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C2C9D7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10" w:line="209" w:lineRule="auto"/>
      <w:ind w:right="270"/>
      <w:jc w:val="center"/>
      <w:outlineLvl w:val="0"/>
    </w:pPr>
    <w:rPr>
      <w:rFonts w:ascii="Arial" w:eastAsia="Arial" w:hAnsi="Arial" w:cs="Arial"/>
      <w:color w:val="C2C9D7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/>
      <w:jc w:val="center"/>
    </w:pPr>
    <w:rPr>
      <w:rFonts w:ascii="Arial" w:eastAsia="Arial" w:hAnsi="Arial" w:cs="Arial"/>
      <w:color w:val="EBEBEB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252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71" w:lineRule="auto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 w:line="187" w:lineRule="auto"/>
      <w:ind w:right="3630" w:firstLine="1400"/>
    </w:pPr>
    <w:rPr>
      <w:rFonts w:ascii="Segoe UI" w:eastAsia="Segoe UI" w:hAnsi="Segoe UI" w:cs="Segoe UI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2376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6C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376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76C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C2C9D7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10" w:line="209" w:lineRule="auto"/>
      <w:ind w:right="270"/>
      <w:jc w:val="center"/>
      <w:outlineLvl w:val="0"/>
    </w:pPr>
    <w:rPr>
      <w:rFonts w:ascii="Arial" w:eastAsia="Arial" w:hAnsi="Arial" w:cs="Arial"/>
      <w:color w:val="C2C9D7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/>
      <w:jc w:val="center"/>
    </w:pPr>
    <w:rPr>
      <w:rFonts w:ascii="Arial" w:eastAsia="Arial" w:hAnsi="Arial" w:cs="Arial"/>
      <w:color w:val="EBEBEB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252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71" w:lineRule="auto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 w:line="187" w:lineRule="auto"/>
      <w:ind w:right="3630" w:firstLine="1400"/>
    </w:pPr>
    <w:rPr>
      <w:rFonts w:ascii="Segoe UI" w:eastAsia="Segoe UI" w:hAnsi="Segoe UI" w:cs="Segoe UI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2376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6C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376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76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Deduch Jiří</dc:creator>
  <cp:lastModifiedBy>Mgr. Jiří Deduch</cp:lastModifiedBy>
  <cp:revision>3</cp:revision>
  <dcterms:created xsi:type="dcterms:W3CDTF">2019-04-01T11:03:00Z</dcterms:created>
  <dcterms:modified xsi:type="dcterms:W3CDTF">2019-04-01T11:10:00Z</dcterms:modified>
</cp:coreProperties>
</file>