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 silnic Vysočiny</w:t>
      </w:r>
    </w:p>
    <w:p>
      <w:pPr>
        <w:pStyle w:val="Style5"/>
        <w:keepNext w:val="0"/>
        <w:keepLines w:val="0"/>
        <w:widowControl w:val="0"/>
        <w:shd w:val="clear" w:color="auto" w:fill="auto"/>
        <w:bidi w:val="0"/>
        <w:spacing w:before="0" w:line="240" w:lineRule="auto"/>
        <w:ind w:left="0" w:right="0" w:firstLine="0"/>
        <w:jc w:val="left"/>
        <w:rPr>
          <w:sz w:val="11"/>
          <w:szCs w:val="11"/>
        </w:rPr>
      </w:pPr>
      <w:r>
        <w:rPr>
          <w:rFonts w:ascii="Verdana" w:eastAsia="Verdana" w:hAnsi="Verdana" w:cs="Verdana"/>
          <w:b/>
          <w:bCs/>
          <w:i/>
          <w:iCs/>
          <w:color w:val="000000"/>
          <w:spacing w:val="0"/>
          <w:w w:val="100"/>
          <w:position w:val="0"/>
          <w:sz w:val="11"/>
          <w:szCs w:val="11"/>
          <w:shd w:val="clear" w:color="auto" w:fill="auto"/>
          <w:lang w:val="cs-CZ" w:eastAsia="cs-CZ" w:bidi="cs-CZ"/>
        </w:rPr>
        <w:t>příspěvková organizace</w:t>
      </w:r>
    </w:p>
    <w:p>
      <w:pPr>
        <w:pStyle w:val="Style12"/>
        <w:keepNext/>
        <w:keepLines/>
        <w:widowControl w:val="0"/>
        <w:shd w:val="clear" w:color="auto" w:fill="auto"/>
        <w:bidi w:val="0"/>
        <w:spacing w:before="0" w:line="240" w:lineRule="auto"/>
        <w:ind w:left="368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
        <w:keepNext w:val="0"/>
        <w:keepLines w:val="0"/>
        <w:widowControl w:val="0"/>
        <w:shd w:val="clear" w:color="auto" w:fill="auto"/>
        <w:bidi w:val="0"/>
        <w:spacing w:before="0" w:line="240" w:lineRule="auto"/>
        <w:ind w:left="2400" w:right="0" w:firstLine="0"/>
        <w:jc w:val="left"/>
      </w:pPr>
      <w:r>
        <w:rPr>
          <w:b/>
          <w:bCs/>
          <w:color w:val="000000"/>
          <w:spacing w:val="0"/>
          <w:w w:val="100"/>
          <w:position w:val="0"/>
          <w:shd w:val="clear" w:color="auto" w:fill="auto"/>
          <w:lang w:val="cs-CZ" w:eastAsia="cs-CZ" w:bidi="cs-CZ"/>
        </w:rPr>
        <w:t>„111/3468: Čachotín - Rozsochatec, hloubení příkopů“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2"/>
        <w:keepNext w:val="0"/>
        <w:keepLines w:val="0"/>
        <w:widowControl w:val="0"/>
        <w:shd w:val="clear" w:color="auto" w:fill="auto"/>
        <w:bidi w:val="0"/>
        <w:spacing w:before="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1934845</wp:posOffset>
                </wp:positionH>
                <wp:positionV relativeFrom="paragraph">
                  <wp:posOffset>431800</wp:posOffset>
                </wp:positionV>
                <wp:extent cx="3986530" cy="473075"/>
                <wp:wrapSquare wrapText="bothSides"/>
                <wp:docPr id="1" name="Shape 1"/>
                <a:graphic xmlns:a="http://schemas.openxmlformats.org/drawingml/2006/main">
                  <a:graphicData uri="http://schemas.microsoft.com/office/word/2010/wordprocessingShape">
                    <wps:wsp>
                      <wps:cNvSpPr txBox="1"/>
                      <wps:spPr>
                        <a:xfrm>
                          <a:ext cx="3986530" cy="4730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2.34999999999999pt;margin-top:34.pt;width:313.89999999999998pt;height:37.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v:textbox>
                <w10:wrap type="square" anchorx="page"/>
              </v:shape>
            </w:pict>
          </mc:Fallback>
        </mc:AlternateContent>
      </w:r>
      <w:r>
        <w:rPr>
          <w:b/>
          <w:bCs/>
          <w:color w:val="000000"/>
          <w:spacing w:val="0"/>
          <w:w w:val="100"/>
          <w:position w:val="0"/>
          <w:shd w:val="clear" w:color="auto" w:fill="auto"/>
          <w:lang w:val="cs-CZ" w:eastAsia="cs-CZ" w:bidi="cs-CZ"/>
        </w:rPr>
        <w:t>Článek 1</w:t>
        <w:br/>
        <w:t>Smluvní strany</w:t>
      </w:r>
    </w:p>
    <w:p>
      <w:pPr>
        <w:pStyle w:val="Style12"/>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0" distR="0" simplePos="0" relativeHeight="125829380" behindDoc="0" locked="0" layoutInCell="1" allowOverlap="1">
                <wp:simplePos x="0" y="0"/>
                <wp:positionH relativeFrom="page">
                  <wp:posOffset>5654040</wp:posOffset>
                </wp:positionH>
                <wp:positionV relativeFrom="paragraph">
                  <wp:posOffset>127000</wp:posOffset>
                </wp:positionV>
                <wp:extent cx="480060" cy="173990"/>
                <wp:wrapSquare wrapText="bothSides"/>
                <wp:docPr id="3" name="Shape 3"/>
                <a:graphic xmlns:a="http://schemas.openxmlformats.org/drawingml/2006/main">
                  <a:graphicData uri="http://schemas.microsoft.com/office/word/2010/wordprocessingShape">
                    <wps:wsp>
                      <wps:cNvSpPr txBox="1"/>
                      <wps:spPr>
                        <a:xfrm>
                          <a:ext cx="48006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vedoucí</w:t>
                            </w:r>
                          </w:p>
                        </w:txbxContent>
                      </wps:txbx>
                      <wps:bodyPr wrap="none" lIns="0" tIns="0" rIns="0" bIns="0">
                        <a:noAutoFit/>
                      </wps:bodyPr>
                    </wps:wsp>
                  </a:graphicData>
                </a:graphic>
              </wp:anchor>
            </w:drawing>
          </mc:Choice>
          <mc:Fallback>
            <w:pict>
              <v:shape id="_x0000_s1029" type="#_x0000_t202" style="position:absolute;margin-left:445.19999999999999pt;margin-top:10.pt;width:37.799999999999997pt;height:13.699999999999999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vedoucí</w:t>
                      </w:r>
                    </w:p>
                  </w:txbxContent>
                </v:textbox>
                <w10:wrap type="square" anchorx="page"/>
              </v:shape>
            </w:pict>
          </mc:Fallback>
        </mc:AlternateContent>
      </w: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line="240" w:lineRule="auto"/>
        <w:ind w:left="0" w:right="0" w:firstLine="0"/>
        <w:jc w:val="left"/>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724" w:left="894" w:right="2996" w:bottom="1494"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Osoba odpovědná jednat jménem objednatele ve věcech technických:</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cestmistrovství Chotěboř</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objednatele při předání a převzetí prací: cestmistrovství Chotěboř</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č. </w:t>
      </w:r>
      <w:r>
        <w:rPr>
          <w:color w:val="000000"/>
          <w:spacing w:val="0"/>
          <w:w w:val="100"/>
          <w:position w:val="0"/>
          <w:shd w:val="clear" w:color="auto" w:fill="auto"/>
          <w:lang w:val="cs-CZ" w:eastAsia="cs-CZ" w:bidi="cs-CZ"/>
        </w:rPr>
        <w:t>účtu :</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p>
      <w:pPr>
        <w:pStyle w:val="Style2"/>
        <w:keepNext w:val="0"/>
        <w:keepLines w:val="0"/>
        <w:framePr w:w="6685" w:h="2567" w:wrap="none" w:vAnchor="text" w:hAnchor="page" w:x="910" w:y="2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objednatel)</w:t>
      </w:r>
    </w:p>
    <w:p>
      <w:pPr>
        <w:pStyle w:val="Style2"/>
        <w:keepNext w:val="0"/>
        <w:keepLines w:val="0"/>
        <w:framePr w:w="1944" w:h="274" w:wrap="none" w:vAnchor="text" w:hAnchor="page" w:x="3059" w:y="6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p>
      <w:pPr>
        <w:pStyle w:val="Style2"/>
        <w:keepNext w:val="0"/>
        <w:keepLines w:val="0"/>
        <w:framePr w:w="1224" w:h="504" w:wrap="none" w:vAnchor="text" w:hAnchor="page" w:x="3052" w:y="10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 CZ00090450</w:t>
      </w:r>
    </w:p>
    <w:p>
      <w:pPr>
        <w:pStyle w:val="Style5"/>
        <w:keepNext w:val="0"/>
        <w:keepLines w:val="0"/>
        <w:framePr w:w="1786" w:h="472" w:wrap="none" w:vAnchor="text" w:hAnchor="page" w:x="3062" w:y="1819"/>
        <w:widowControl w:val="0"/>
        <w:shd w:val="clear" w:color="auto" w:fill="auto"/>
        <w:bidi w:val="0"/>
        <w:spacing w:before="0" w:after="0" w:line="240" w:lineRule="auto"/>
        <w:ind w:left="1040" w:right="0" w:firstLine="0"/>
        <w:jc w:val="left"/>
        <w:rPr>
          <w:sz w:val="16"/>
          <w:szCs w:val="16"/>
        </w:rPr>
      </w:pPr>
      <w:r>
        <w:rPr>
          <w:color w:val="000000"/>
          <w:spacing w:val="0"/>
          <w:w w:val="100"/>
          <w:position w:val="0"/>
          <w:sz w:val="16"/>
          <w:szCs w:val="16"/>
          <w:shd w:val="clear" w:color="auto" w:fill="auto"/>
          <w:lang w:val="en-US" w:eastAsia="en-US" w:bidi="en-US"/>
        </w:rPr>
        <w:t>.</w:t>
      </w:r>
      <w:r>
        <w:rPr>
          <w:color w:val="000000"/>
          <w:spacing w:val="0"/>
          <w:w w:val="100"/>
          <w:position w:val="0"/>
          <w:sz w:val="16"/>
          <w:szCs w:val="16"/>
          <w:shd w:val="clear" w:color="auto" w:fill="auto"/>
          <w:lang w:val="en-US" w:eastAsia="en-US" w:bidi="en-US"/>
        </w:rPr>
        <w:t>JUSV.cz</w:t>
      </w:r>
    </w:p>
    <w:p>
      <w:pPr>
        <w:pStyle w:val="Style2"/>
        <w:keepNext w:val="0"/>
        <w:keepLines w:val="0"/>
        <w:framePr w:w="1786" w:h="472" w:wrap="none" w:vAnchor="text" w:hAnchor="page" w:x="3062" w:y="18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p>
      <w:pPr>
        <w:pStyle w:val="Style2"/>
        <w:keepNext w:val="0"/>
        <w:keepLines w:val="0"/>
        <w:framePr w:w="756" w:h="274" w:wrap="none" w:vAnchor="text" w:hAnchor="page" w:x="9290" w:y="1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6" w:line="1" w:lineRule="exact"/>
      </w:pPr>
    </w:p>
    <w:p>
      <w:pPr>
        <w:widowControl w:val="0"/>
        <w:spacing w:line="1" w:lineRule="exact"/>
        <w:sectPr>
          <w:footnotePr>
            <w:pos w:val="pageBottom"/>
            <w:numFmt w:val="decimal"/>
            <w:numRestart w:val="continuous"/>
          </w:footnotePr>
          <w:type w:val="continuous"/>
          <w:pgSz w:w="11900" w:h="16840"/>
          <w:pgMar w:top="724" w:left="894" w:right="1084" w:bottom="1022" w:header="0" w:footer="3" w:gutter="0"/>
          <w:cols w:space="720"/>
          <w:noEndnote/>
          <w:rtlGutter w:val="0"/>
          <w:docGrid w:linePitch="360"/>
        </w:sectPr>
      </w:pP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808" w:left="0" w:right="0" w:bottom="1571" w:header="0" w:footer="3" w:gutter="0"/>
          <w:cols w:space="720"/>
          <w:noEndnote/>
          <w:rtlGutter w:val="0"/>
          <w:docGrid w:linePitch="360"/>
        </w:sectPr>
      </w:pPr>
    </w:p>
    <w:p>
      <w:pPr>
        <w:pStyle w:val="Style12"/>
        <w:keepNext/>
        <w:keepLines/>
        <w:widowControl w:val="0"/>
        <w:shd w:val="clear" w:color="auto" w:fill="auto"/>
        <w:tabs>
          <w:tab w:pos="2070" w:val="left"/>
          <w:tab w:pos="4752" w:val="right"/>
        </w:tabs>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Zhotovitel:</w:t>
        <w:tab/>
        <w:t>Ladislav</w:t>
        <w:tab/>
        <w:t>Škaryd - Dřevokov</w:t>
      </w:r>
      <w:bookmarkEnd w:id="4"/>
      <w:bookmarkEnd w:id="5"/>
    </w:p>
    <w:p>
      <w:pPr>
        <w:pStyle w:val="Style2"/>
        <w:keepNext w:val="0"/>
        <w:keepLines w:val="0"/>
        <w:widowControl w:val="0"/>
        <w:shd w:val="clear" w:color="auto" w:fill="auto"/>
        <w:tabs>
          <w:tab w:pos="2070" w:val="left"/>
          <w:tab w:leader="underscore" w:pos="3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se sídlem:</w:t>
        <w:tab/>
        <w:t>.... .</w:t>
        <w:tab/>
      </w:r>
    </w:p>
    <w:p>
      <w:pPr>
        <w:pStyle w:val="Style2"/>
        <w:keepNext w:val="0"/>
        <w:keepLines w:val="0"/>
        <w:widowControl w:val="0"/>
        <w:shd w:val="clear" w:color="auto" w:fill="auto"/>
        <w:tabs>
          <w:tab w:pos="2070" w:val="left"/>
          <w:tab w:pos="4522" w:val="righ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Ladislav</w:t>
        <w:tab/>
        <w:t>Škaryd, jednatel</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ve věcech technických: 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při předání a převzetí prací:</w:t>
      </w:r>
    </w:p>
    <w:p>
      <w:pPr>
        <w:pStyle w:val="Style2"/>
        <w:keepNext w:val="0"/>
        <w:keepLines w:val="0"/>
        <w:widowControl w:val="0"/>
        <w:shd w:val="clear" w:color="auto" w:fill="auto"/>
        <w:tabs>
          <w:tab w:pos="2070" w:val="left"/>
        </w:tabs>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tab/>
        <w:t>Komerční banka, a.s.</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tabs>
          <w:tab w:pos="2070"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11002077</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(dále jen zhotovitel)</w:t>
      </w:r>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a rozsah díla</w:t>
      </w:r>
      <w:bookmarkEnd w:id="6"/>
      <w:bookmarkEnd w:id="7"/>
    </w:p>
    <w:p>
      <w:pPr>
        <w:pStyle w:val="Style2"/>
        <w:keepNext w:val="0"/>
        <w:keepLines w:val="0"/>
        <w:widowControl w:val="0"/>
        <w:numPr>
          <w:ilvl w:val="0"/>
          <w:numId w:val="1"/>
        </w:numPr>
        <w:shd w:val="clear" w:color="auto" w:fill="auto"/>
        <w:tabs>
          <w:tab w:pos="720"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opravu</w:t>
      </w:r>
    </w:p>
    <w:p>
      <w:pPr>
        <w:pStyle w:val="Style2"/>
        <w:keepNext w:val="0"/>
        <w:keepLines w:val="0"/>
        <w:widowControl w:val="0"/>
        <w:shd w:val="clear" w:color="auto" w:fill="auto"/>
        <w:tabs>
          <w:tab w:pos="5382" w:val="left"/>
        </w:tabs>
        <w:bidi w:val="0"/>
        <w:spacing w:before="0" w:after="0" w:line="240" w:lineRule="auto"/>
        <w:ind w:left="0" w:right="0" w:firstLine="0"/>
        <w:jc w:val="left"/>
      </w:pPr>
      <w:r>
        <w:rPr>
          <w:color w:val="000000"/>
          <w:spacing w:val="0"/>
          <w:w w:val="100"/>
          <w:position w:val="0"/>
          <w:shd w:val="clear" w:color="auto" w:fill="auto"/>
          <w:lang w:val="cs-CZ" w:eastAsia="cs-CZ" w:bidi="cs-CZ"/>
        </w:rPr>
        <w:t>dvora, za dodržení dále sjednaných Dodmínek dle této smlouvy. Rozsah prací včetně cenové nabídky je odsouhlasen zástupcem objednatele</w:t>
        <w:tab/>
        <w:t>, a to v příloze č.1 Cenová nabídka k provedení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prací, jež tvoří nedílnou součást této smlouvy.</w:t>
      </w:r>
    </w:p>
    <w:p>
      <w:pPr>
        <w:pStyle w:val="Style2"/>
        <w:keepNext w:val="0"/>
        <w:keepLines w:val="0"/>
        <w:widowControl w:val="0"/>
        <w:numPr>
          <w:ilvl w:val="0"/>
          <w:numId w:val="1"/>
        </w:numPr>
        <w:shd w:val="clear" w:color="auto" w:fill="auto"/>
        <w:tabs>
          <w:tab w:pos="720" w:val="left"/>
        </w:tabs>
        <w:bidi w:val="0"/>
        <w:spacing w:before="0" w:line="252"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2"/>
        <w:keepNext w:val="0"/>
        <w:keepLines w:val="0"/>
        <w:widowControl w:val="0"/>
        <w:numPr>
          <w:ilvl w:val="0"/>
          <w:numId w:val="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Dílem ve smyslu této smlouvy se rozumí hloubení příkopů s naložením a odvozem na skládku vč. odstranění nánosu na krajnicích a uložení zeminy na skládku.</w:t>
      </w:r>
    </w:p>
    <w:p>
      <w:pPr>
        <w:pStyle w:val="Style5"/>
        <w:keepNext w:val="0"/>
        <w:keepLines w:val="0"/>
        <w:widowControl w:val="0"/>
        <w:shd w:val="clear" w:color="auto" w:fill="auto"/>
        <w:bidi w:val="0"/>
        <w:spacing w:before="0" w:after="280" w:line="228" w:lineRule="auto"/>
        <w:ind w:left="0" w:right="0" w:firstLine="0"/>
        <w:jc w:val="both"/>
        <w:rPr>
          <w:sz w:val="11"/>
          <w:szCs w:val="11"/>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rFonts w:ascii="Verdana" w:eastAsia="Verdana" w:hAnsi="Verdana" w:cs="Verdana"/>
          <w:b/>
          <w:bCs/>
          <w:i/>
          <w:iCs/>
          <w:color w:val="000000"/>
          <w:spacing w:val="0"/>
          <w:w w:val="100"/>
          <w:position w:val="0"/>
          <w:sz w:val="11"/>
          <w:szCs w:val="11"/>
          <w:shd w:val="clear" w:color="auto" w:fill="auto"/>
          <w:lang w:val="cs-CZ" w:eastAsia="cs-CZ" w:bidi="cs-CZ"/>
        </w:rPr>
        <w:t>příspěvková organizace</w:t>
      </w:r>
    </w:p>
    <w:p>
      <w:pPr>
        <w:pStyle w:val="Style2"/>
        <w:keepNext w:val="0"/>
        <w:keepLines w:val="0"/>
        <w:widowControl w:val="0"/>
        <w:numPr>
          <w:ilvl w:val="0"/>
          <w:numId w:val="1"/>
        </w:numPr>
        <w:shd w:val="clear" w:color="auto" w:fill="auto"/>
        <w:tabs>
          <w:tab w:pos="712" w:val="left"/>
        </w:tabs>
        <w:bidi w:val="0"/>
        <w:spacing w:before="0" w:line="223"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 pracovní lešení, apod. Přesný výpis (výměra) prací je uveden v přiloženém rozpočtu. Kvalita díla se řídí ČSN (Českými technickými normami).</w:t>
      </w:r>
    </w:p>
    <w:p>
      <w:pPr>
        <w:pStyle w:val="Style2"/>
        <w:keepNext w:val="0"/>
        <w:keepLines w:val="0"/>
        <w:widowControl w:val="0"/>
        <w:numPr>
          <w:ilvl w:val="0"/>
          <w:numId w:val="1"/>
        </w:numPr>
        <w:shd w:val="clear" w:color="auto" w:fill="auto"/>
        <w:tabs>
          <w:tab w:pos="712" w:val="left"/>
        </w:tabs>
        <w:bidi w:val="0"/>
        <w:spacing w:before="0" w:after="44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2"/>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3</w:t>
        <w:br/>
        <w:t>Čas a místo plnění</w:t>
      </w:r>
      <w:bookmarkEnd w:id="8"/>
      <w:bookmarkEnd w:id="9"/>
    </w:p>
    <w:p>
      <w:pPr>
        <w:pStyle w:val="Style2"/>
        <w:keepNext w:val="0"/>
        <w:keepLines w:val="0"/>
        <w:widowControl w:val="0"/>
        <w:numPr>
          <w:ilvl w:val="0"/>
          <w:numId w:val="3"/>
        </w:numPr>
        <w:shd w:val="clear" w:color="auto" w:fill="auto"/>
        <w:tabs>
          <w:tab w:pos="712" w:val="left"/>
        </w:tabs>
        <w:bidi w:val="0"/>
        <w:spacing w:before="0" w:after="0" w:line="233" w:lineRule="auto"/>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2"/>
        <w:keepNext w:val="0"/>
        <w:keepLines w:val="0"/>
        <w:widowControl w:val="0"/>
        <w:numPr>
          <w:ilvl w:val="0"/>
          <w:numId w:val="5"/>
        </w:numPr>
        <w:shd w:val="clear" w:color="auto" w:fill="auto"/>
        <w:tabs>
          <w:tab w:pos="1374" w:val="left"/>
        </w:tabs>
        <w:bidi w:val="0"/>
        <w:spacing w:before="0" w:after="0" w:line="233" w:lineRule="auto"/>
        <w:ind w:left="1140" w:right="0" w:firstLine="0"/>
        <w:jc w:val="both"/>
      </w:pPr>
      <w:r>
        <w:rPr>
          <w:color w:val="000000"/>
          <w:spacing w:val="0"/>
          <w:w w:val="100"/>
          <w:position w:val="0"/>
          <w:shd w:val="clear" w:color="auto" w:fill="auto"/>
          <w:lang w:val="cs-CZ" w:eastAsia="cs-CZ" w:bidi="cs-CZ"/>
        </w:rPr>
        <w:t>Zahájení plnění: 3.4.2019 (dřívější plnění je možné)</w:t>
      </w:r>
    </w:p>
    <w:p>
      <w:pPr>
        <w:pStyle w:val="Style2"/>
        <w:keepNext w:val="0"/>
        <w:keepLines w:val="0"/>
        <w:widowControl w:val="0"/>
        <w:numPr>
          <w:ilvl w:val="0"/>
          <w:numId w:val="5"/>
        </w:numPr>
        <w:shd w:val="clear" w:color="auto" w:fill="auto"/>
        <w:tabs>
          <w:tab w:pos="1374" w:val="left"/>
        </w:tabs>
        <w:bidi w:val="0"/>
        <w:spacing w:before="0" w:line="233" w:lineRule="auto"/>
        <w:ind w:left="1140" w:right="0" w:firstLine="0"/>
        <w:jc w:val="both"/>
      </w:pPr>
      <w:r>
        <w:rPr>
          <w:color w:val="000000"/>
          <w:spacing w:val="0"/>
          <w:w w:val="100"/>
          <w:position w:val="0"/>
          <w:shd w:val="clear" w:color="auto" w:fill="auto"/>
          <w:lang w:val="cs-CZ" w:eastAsia="cs-CZ" w:bidi="cs-CZ"/>
        </w:rPr>
        <w:t>Dokončení plnění: 30.4.2019</w:t>
      </w:r>
    </w:p>
    <w:p>
      <w:pPr>
        <w:pStyle w:val="Style2"/>
        <w:keepNext w:val="0"/>
        <w:keepLines w:val="0"/>
        <w:widowControl w:val="0"/>
        <w:numPr>
          <w:ilvl w:val="0"/>
          <w:numId w:val="3"/>
        </w:numPr>
        <w:shd w:val="clear" w:color="auto" w:fill="auto"/>
        <w:tabs>
          <w:tab w:pos="712" w:val="left"/>
        </w:tabs>
        <w:bidi w:val="0"/>
        <w:spacing w:before="0" w:line="233" w:lineRule="auto"/>
        <w:ind w:left="0" w:right="0" w:firstLine="0"/>
        <w:jc w:val="both"/>
      </w:pPr>
      <w:r>
        <w:rPr>
          <w:color w:val="000000"/>
          <w:spacing w:val="0"/>
          <w:w w:val="100"/>
          <w:position w:val="0"/>
          <w:shd w:val="clear" w:color="auto" w:fill="auto"/>
          <w:lang w:val="cs-CZ" w:eastAsia="cs-CZ" w:bidi="cs-CZ"/>
        </w:rPr>
        <w:t>Místo plnění: 1II/3508: Čachotín - Rozsochatec, p.č. 1530/2, 1530/3 (k.ú. Čachotín 618187) a 1685 (k.ú. Rozsochatec 742392)</w:t>
      </w:r>
    </w:p>
    <w:p>
      <w:pPr>
        <w:pStyle w:val="Style2"/>
        <w:keepNext w:val="0"/>
        <w:keepLines w:val="0"/>
        <w:widowControl w:val="0"/>
        <w:numPr>
          <w:ilvl w:val="0"/>
          <w:numId w:val="3"/>
        </w:numPr>
        <w:shd w:val="clear" w:color="auto" w:fill="auto"/>
        <w:tabs>
          <w:tab w:pos="712" w:val="left"/>
        </w:tabs>
        <w:bidi w:val="0"/>
        <w:spacing w:before="0" w:after="0" w:line="233"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5"/>
        </w:numPr>
        <w:shd w:val="clear" w:color="auto" w:fill="auto"/>
        <w:tabs>
          <w:tab w:pos="234" w:val="left"/>
        </w:tabs>
        <w:bidi w:val="0"/>
        <w:spacing w:before="0" w:after="0" w:line="233" w:lineRule="auto"/>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2"/>
        <w:keepNext w:val="0"/>
        <w:keepLines w:val="0"/>
        <w:widowControl w:val="0"/>
        <w:numPr>
          <w:ilvl w:val="0"/>
          <w:numId w:val="5"/>
        </w:numPr>
        <w:shd w:val="clear" w:color="auto" w:fill="auto"/>
        <w:tabs>
          <w:tab w:pos="234" w:val="left"/>
        </w:tabs>
        <w:bidi w:val="0"/>
        <w:spacing w:before="0" w:after="0" w:line="233" w:lineRule="auto"/>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numPr>
          <w:ilvl w:val="0"/>
          <w:numId w:val="5"/>
        </w:numPr>
        <w:shd w:val="clear" w:color="auto" w:fill="auto"/>
        <w:tabs>
          <w:tab w:pos="234" w:val="left"/>
        </w:tabs>
        <w:bidi w:val="0"/>
        <w:spacing w:before="0" w:after="0" w:line="233" w:lineRule="auto"/>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2"/>
        <w:keepNext w:val="0"/>
        <w:keepLines w:val="0"/>
        <w:widowControl w:val="0"/>
        <w:numPr>
          <w:ilvl w:val="0"/>
          <w:numId w:val="5"/>
        </w:numPr>
        <w:shd w:val="clear" w:color="auto" w:fill="auto"/>
        <w:tabs>
          <w:tab w:pos="234" w:val="left"/>
        </w:tabs>
        <w:bidi w:val="0"/>
        <w:spacing w:before="0" w:line="233" w:lineRule="auto"/>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2"/>
        <w:keepNext w:val="0"/>
        <w:keepLines w:val="0"/>
        <w:widowControl w:val="0"/>
        <w:numPr>
          <w:ilvl w:val="0"/>
          <w:numId w:val="3"/>
        </w:numPr>
        <w:shd w:val="clear" w:color="auto" w:fill="auto"/>
        <w:tabs>
          <w:tab w:pos="712"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 termínu provedení díla, a to v jejich dostatečném předstihu, má zhotovitel právo odstoupit od smlouvy s tím, že objednatel uhradí zhotoviteli poměrnou část ceny díla v návaznosti na rozsah jím již realizovaných prací.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2"/>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Cena díla</w:t>
      </w:r>
      <w:bookmarkEnd w:id="10"/>
      <w:bookmarkEnd w:id="11"/>
    </w:p>
    <w:p>
      <w:pPr>
        <w:pStyle w:val="Style2"/>
        <w:keepNext w:val="0"/>
        <w:keepLines w:val="0"/>
        <w:widowControl w:val="0"/>
        <w:numPr>
          <w:ilvl w:val="1"/>
          <w:numId w:val="3"/>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2"/>
        <w:keepNext w:val="0"/>
        <w:keepLines w:val="0"/>
        <w:widowControl w:val="0"/>
        <w:shd w:val="clear" w:color="auto" w:fill="auto"/>
        <w:tabs>
          <w:tab w:pos="4238" w:val="left"/>
        </w:tabs>
        <w:bidi w:val="0"/>
        <w:spacing w:before="0" w:after="0" w:line="240" w:lineRule="auto"/>
        <w:ind w:left="1440" w:right="0" w:firstLine="0"/>
        <w:jc w:val="both"/>
      </w:pPr>
      <w:r>
        <w:rPr>
          <w:color w:val="000000"/>
          <w:spacing w:val="0"/>
          <w:w w:val="100"/>
          <w:position w:val="0"/>
          <w:shd w:val="clear" w:color="auto" w:fill="auto"/>
          <w:lang w:val="cs-CZ" w:eastAsia="cs-CZ" w:bidi="cs-CZ"/>
        </w:rPr>
        <w:t>Cena bez DPH</w:t>
        <w:tab/>
        <w:t>199.800,-</w:t>
      </w:r>
    </w:p>
    <w:p>
      <w:pPr>
        <w:pStyle w:val="Style2"/>
        <w:keepNext w:val="0"/>
        <w:keepLines w:val="0"/>
        <w:widowControl w:val="0"/>
        <w:shd w:val="clear" w:color="auto" w:fill="auto"/>
        <w:tabs>
          <w:tab w:pos="4238" w:val="left"/>
        </w:tabs>
        <w:bidi w:val="0"/>
        <w:spacing w:before="0" w:line="240" w:lineRule="auto"/>
        <w:ind w:left="1440" w:right="0" w:firstLine="0"/>
        <w:jc w:val="both"/>
      </w:pPr>
      <w:r>
        <w:rPr>
          <w:color w:val="000000"/>
          <w:spacing w:val="0"/>
          <w:w w:val="100"/>
          <w:position w:val="0"/>
          <w:shd w:val="clear" w:color="auto" w:fill="auto"/>
          <w:lang w:val="cs-CZ" w:eastAsia="cs-CZ" w:bidi="cs-CZ"/>
        </w:rPr>
        <w:t>DPH (21%)</w:t>
        <w:tab/>
        <w:t>41.958,-</w:t>
      </w:r>
    </w:p>
    <w:p>
      <w:pPr>
        <w:pStyle w:val="Style12"/>
        <w:keepNext/>
        <w:keepLines/>
        <w:widowControl w:val="0"/>
        <w:shd w:val="clear" w:color="auto" w:fill="auto"/>
        <w:tabs>
          <w:tab w:pos="4238" w:val="left"/>
        </w:tabs>
        <w:bidi w:val="0"/>
        <w:spacing w:before="0" w:line="240" w:lineRule="auto"/>
        <w:ind w:left="1440" w:right="0" w:firstLine="0"/>
        <w:jc w:val="both"/>
      </w:pPr>
      <w:bookmarkStart w:id="12" w:name="bookmark12"/>
      <w:bookmarkStart w:id="13" w:name="bookmark13"/>
      <w:r>
        <w:rPr>
          <w:color w:val="000000"/>
          <w:spacing w:val="0"/>
          <w:w w:val="100"/>
          <w:position w:val="0"/>
          <w:shd w:val="clear" w:color="auto" w:fill="auto"/>
          <w:lang w:val="cs-CZ" w:eastAsia="cs-CZ" w:bidi="cs-CZ"/>
        </w:rPr>
        <w:t>Cena celkem s DPH</w:t>
        <w:tab/>
        <w:t>241.758,-Kč</w:t>
      </w:r>
      <w:bookmarkEnd w:id="12"/>
      <w:bookmarkEnd w:id="13"/>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2"/>
        <w:keepNext w:val="0"/>
        <w:keepLines w:val="0"/>
        <w:widowControl w:val="0"/>
        <w:numPr>
          <w:ilvl w:val="1"/>
          <w:numId w:val="3"/>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1"/>
          <w:numId w:val="3"/>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1"/>
          <w:numId w:val="3"/>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2"/>
        <w:keepNext w:val="0"/>
        <w:keepLines w:val="0"/>
        <w:widowControl w:val="0"/>
        <w:numPr>
          <w:ilvl w:val="1"/>
          <w:numId w:val="3"/>
        </w:numPr>
        <w:shd w:val="clear" w:color="auto" w:fill="auto"/>
        <w:tabs>
          <w:tab w:pos="712" w:val="left"/>
        </w:tabs>
        <w:bidi w:val="0"/>
        <w:spacing w:before="0" w:line="240" w:lineRule="auto"/>
        <w:ind w:left="0" w:right="0" w:firstLine="0"/>
        <w:jc w:val="both"/>
        <w:sectPr>
          <w:footnotePr>
            <w:pos w:val="pageBottom"/>
            <w:numFmt w:val="decimal"/>
            <w:numRestart w:val="continuous"/>
          </w:footnotePr>
          <w:type w:val="continuous"/>
          <w:pgSz w:w="11900" w:h="16840"/>
          <w:pgMar w:top="808" w:left="920" w:right="1059" w:bottom="1571" w:header="0" w:footer="3" w:gutter="0"/>
          <w:cols w:space="720"/>
          <w:noEndnote/>
          <w:rtlGutter w:val="0"/>
          <w:docGrid w:linePitch="360"/>
        </w:sectPr>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w:t>
      </w:r>
    </w:p>
    <w:p>
      <w:pPr>
        <w:pStyle w:val="Style5"/>
        <w:keepNext w:val="0"/>
        <w:keepLines w:val="0"/>
        <w:widowControl w:val="0"/>
        <w:shd w:val="clear" w:color="auto" w:fill="auto"/>
        <w:bidi w:val="0"/>
        <w:spacing w:before="0" w:line="223" w:lineRule="auto"/>
        <w:ind w:left="0" w:right="0" w:firstLine="0"/>
        <w:jc w:val="both"/>
        <w:rPr>
          <w:sz w:val="11"/>
          <w:szCs w:val="11"/>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rFonts w:ascii="Verdana" w:eastAsia="Verdana" w:hAnsi="Verdana" w:cs="Verdana"/>
          <w:b/>
          <w:bCs/>
          <w:i/>
          <w:iCs/>
          <w:color w:val="000000"/>
          <w:spacing w:val="0"/>
          <w:w w:val="100"/>
          <w:position w:val="0"/>
          <w:sz w:val="11"/>
          <w:szCs w:val="11"/>
          <w:shd w:val="clear" w:color="auto" w:fill="auto"/>
          <w:lang w:val="cs-CZ" w:eastAsia="cs-CZ" w:bidi="cs-CZ"/>
        </w:rPr>
        <w:t>příspěvková organizaci?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je povinen ke každé zméné v množství nebo kvalitě prováděných prací, která je zapsána 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2"/>
        <w:keepNext w:val="0"/>
        <w:keepLines w:val="0"/>
        <w:widowControl w:val="0"/>
        <w:numPr>
          <w:ilvl w:val="1"/>
          <w:numId w:val="3"/>
        </w:numPr>
        <w:shd w:val="clear" w:color="auto" w:fill="auto"/>
        <w:tabs>
          <w:tab w:pos="71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2"/>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Staveniště</w:t>
      </w:r>
      <w:bookmarkEnd w:id="14"/>
      <w:bookmarkEnd w:id="15"/>
    </w:p>
    <w:p>
      <w:pPr>
        <w:pStyle w:val="Style2"/>
        <w:keepNext w:val="0"/>
        <w:keepLines w:val="0"/>
        <w:widowControl w:val="0"/>
        <w:numPr>
          <w:ilvl w:val="0"/>
          <w:numId w:val="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2"/>
        <w:keepNext w:val="0"/>
        <w:keepLines w:val="0"/>
        <w:widowControl w:val="0"/>
        <w:numPr>
          <w:ilvl w:val="0"/>
          <w:numId w:val="7"/>
        </w:numPr>
        <w:shd w:val="clear" w:color="auto" w:fill="auto"/>
        <w:tabs>
          <w:tab w:pos="71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Provádění díla</w:t>
      </w:r>
      <w:bookmarkEnd w:id="16"/>
      <w:bookmarkEnd w:id="17"/>
    </w:p>
    <w:p>
      <w:pPr>
        <w:pStyle w:val="Style2"/>
        <w:keepNext w:val="0"/>
        <w:keepLines w:val="0"/>
        <w:widowControl w:val="0"/>
        <w:numPr>
          <w:ilvl w:val="0"/>
          <w:numId w:val="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2"/>
        <w:keepNext w:val="0"/>
        <w:keepLines w:val="0"/>
        <w:widowControl w:val="0"/>
        <w:numPr>
          <w:ilvl w:val="0"/>
          <w:numId w:val="9"/>
        </w:numPr>
        <w:shd w:val="clear" w:color="auto" w:fill="auto"/>
        <w:tabs>
          <w:tab w:pos="714"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w:t>
      </w:r>
    </w:p>
    <w:p>
      <w:pPr>
        <w:pStyle w:val="Style2"/>
        <w:keepNext w:val="0"/>
        <w:keepLines w:val="0"/>
        <w:widowControl w:val="0"/>
        <w:shd w:val="clear" w:color="auto" w:fill="auto"/>
        <w:tabs>
          <w:tab w:pos="7232" w:val="left"/>
        </w:tabs>
        <w:bidi w:val="0"/>
        <w:spacing w:before="0" w:after="0" w:line="240" w:lineRule="auto"/>
        <w:ind w:left="0" w:right="0" w:firstLine="0"/>
        <w:jc w:val="both"/>
      </w:pPr>
      <w:r>
        <w:rPr>
          <w:color w:val="000000"/>
          <w:spacing w:val="0"/>
          <w:w w:val="100"/>
          <w:position w:val="0"/>
          <w:shd w:val="clear" w:color="auto" w:fill="auto"/>
          <w:lang w:val="cs-CZ" w:eastAsia="cs-CZ" w:bidi="cs-CZ"/>
        </w:rPr>
        <w:t>řádný průběh a dokončení díla zhotovitelem. Tuto součinnost bude poskytovat objednatel osobně prostřednictvím technického dozoru stavby, kterým je určen</w:t>
        <w:tab/>
        <w:t>mistr údržby cestmistrovství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Chotě boř.</w:t>
      </w:r>
    </w:p>
    <w:p>
      <w:pPr>
        <w:pStyle w:val="Style2"/>
        <w:keepNext w:val="0"/>
        <w:keepLines w:val="0"/>
        <w:widowControl w:val="0"/>
        <w:numPr>
          <w:ilvl w:val="0"/>
          <w:numId w:val="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2"/>
        <w:keepNext w:val="0"/>
        <w:keepLines w:val="0"/>
        <w:widowControl w:val="0"/>
        <w:numPr>
          <w:ilvl w:val="0"/>
          <w:numId w:val="9"/>
        </w:numPr>
        <w:shd w:val="clear" w:color="auto" w:fill="auto"/>
        <w:tabs>
          <w:tab w:pos="45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 kterým je jmenován Ladislav Škaryd, jednatel, tel.:</w:t>
      </w:r>
    </w:p>
    <w:p>
      <w:pPr>
        <w:pStyle w:val="Style2"/>
        <w:keepNext w:val="0"/>
        <w:keepLines w:val="0"/>
        <w:widowControl w:val="0"/>
        <w:numPr>
          <w:ilvl w:val="0"/>
          <w:numId w:val="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2"/>
        <w:keepNext w:val="0"/>
        <w:keepLines w:val="0"/>
        <w:widowControl w:val="0"/>
        <w:numPr>
          <w:ilvl w:val="0"/>
          <w:numId w:val="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2"/>
        <w:keepNext w:val="0"/>
        <w:keepLines w:val="0"/>
        <w:widowControl w:val="0"/>
        <w:numPr>
          <w:ilvl w:val="0"/>
          <w:numId w:val="9"/>
        </w:numPr>
        <w:shd w:val="clear" w:color="auto" w:fill="auto"/>
        <w:tabs>
          <w:tab w:pos="714"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2"/>
        <w:keepNext w:val="0"/>
        <w:keepLines w:val="0"/>
        <w:widowControl w:val="0"/>
        <w:numPr>
          <w:ilvl w:val="0"/>
          <w:numId w:val="11"/>
        </w:numPr>
        <w:shd w:val="clear" w:color="auto" w:fill="auto"/>
        <w:tabs>
          <w:tab w:pos="1440"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2"/>
        <w:keepNext w:val="0"/>
        <w:keepLines w:val="0"/>
        <w:widowControl w:val="0"/>
        <w:numPr>
          <w:ilvl w:val="0"/>
          <w:numId w:val="11"/>
        </w:numPr>
        <w:shd w:val="clear" w:color="auto" w:fill="auto"/>
        <w:tabs>
          <w:tab w:pos="1440"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2"/>
        <w:keepNext w:val="0"/>
        <w:keepLines w:val="0"/>
        <w:widowControl w:val="0"/>
        <w:numPr>
          <w:ilvl w:val="0"/>
          <w:numId w:val="11"/>
        </w:numPr>
        <w:shd w:val="clear" w:color="auto" w:fill="auto"/>
        <w:tabs>
          <w:tab w:pos="1440"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2"/>
        <w:keepNext w:val="0"/>
        <w:keepLines w:val="0"/>
        <w:widowControl w:val="0"/>
        <w:numPr>
          <w:ilvl w:val="0"/>
          <w:numId w:val="11"/>
        </w:numPr>
        <w:shd w:val="clear" w:color="auto" w:fill="auto"/>
        <w:tabs>
          <w:tab w:pos="1440" w:val="left"/>
        </w:tabs>
        <w:bidi w:val="0"/>
        <w:spacing w:before="0" w:line="240" w:lineRule="auto"/>
        <w:ind w:left="720" w:right="0" w:firstLine="2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5"/>
        <w:keepNext w:val="0"/>
        <w:keepLines w:val="0"/>
        <w:widowControl w:val="0"/>
        <w:shd w:val="clear" w:color="auto" w:fill="auto"/>
        <w:bidi w:val="0"/>
        <w:spacing w:before="0" w:after="260" w:line="233" w:lineRule="auto"/>
        <w:ind w:left="0" w:right="0" w:firstLine="0"/>
        <w:jc w:val="both"/>
        <w:rPr>
          <w:sz w:val="11"/>
          <w:szCs w:val="11"/>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silnic Vysočiny </w:t>
      </w:r>
      <w:r>
        <w:rPr>
          <w:rFonts w:ascii="Verdana" w:eastAsia="Verdana" w:hAnsi="Verdana" w:cs="Verdana"/>
          <w:b/>
          <w:bCs/>
          <w:i/>
          <w:iCs/>
          <w:color w:val="000000"/>
          <w:spacing w:val="0"/>
          <w:w w:val="100"/>
          <w:position w:val="0"/>
          <w:sz w:val="11"/>
          <w:szCs w:val="11"/>
          <w:shd w:val="clear" w:color="auto" w:fill="auto"/>
          <w:lang w:val="cs-CZ" w:eastAsia="cs-CZ" w:bidi="cs-CZ"/>
        </w:rPr>
        <w:t>příspěvková organizace</w:t>
      </w:r>
    </w:p>
    <w:p>
      <w:pPr>
        <w:pStyle w:val="Style2"/>
        <w:keepNext w:val="0"/>
        <w:keepLines w:val="0"/>
        <w:widowControl w:val="0"/>
        <w:numPr>
          <w:ilvl w:val="0"/>
          <w:numId w:val="11"/>
        </w:numPr>
        <w:shd w:val="clear" w:color="auto" w:fill="auto"/>
        <w:tabs>
          <w:tab w:pos="1438" w:val="left"/>
        </w:tabs>
        <w:bidi w:val="0"/>
        <w:spacing w:before="0" w:after="0" w:line="240" w:lineRule="auto"/>
        <w:ind w:left="720" w:right="0" w:firstLine="0"/>
        <w:jc w:val="both"/>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numPr>
          <w:ilvl w:val="0"/>
          <w:numId w:val="11"/>
        </w:numPr>
        <w:shd w:val="clear" w:color="auto" w:fill="auto"/>
        <w:tabs>
          <w:tab w:pos="1438" w:val="left"/>
        </w:tabs>
        <w:bidi w:val="0"/>
        <w:spacing w:before="0" w:line="240" w:lineRule="auto"/>
        <w:ind w:left="720" w:right="0" w:firstLine="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v platném znění. Zhotovitel je povinen poskytnout koordinátorovi BOZP plnou součinnost.</w:t>
      </w:r>
    </w:p>
    <w:p>
      <w:pPr>
        <w:pStyle w:val="Style2"/>
        <w:keepNext w:val="0"/>
        <w:keepLines w:val="0"/>
        <w:widowControl w:val="0"/>
        <w:numPr>
          <w:ilvl w:val="1"/>
          <w:numId w:val="11"/>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2"/>
        <w:keepNext w:val="0"/>
        <w:keepLines w:val="0"/>
        <w:widowControl w:val="0"/>
        <w:numPr>
          <w:ilvl w:val="1"/>
          <w:numId w:val="11"/>
        </w:numPr>
        <w:shd w:val="clear" w:color="auto" w:fill="auto"/>
        <w:tabs>
          <w:tab w:pos="717" w:val="left"/>
        </w:tabs>
        <w:bidi w:val="0"/>
        <w:spacing w:before="0" w:after="44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2"/>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7</w:t>
        <w:br/>
        <w:t>Kvalita díla</w:t>
      </w:r>
      <w:bookmarkEnd w:id="18"/>
      <w:bookmarkEnd w:id="19"/>
    </w:p>
    <w:p>
      <w:pPr>
        <w:pStyle w:val="Style2"/>
        <w:keepNext w:val="0"/>
        <w:keepLines w:val="0"/>
        <w:widowControl w:val="0"/>
        <w:numPr>
          <w:ilvl w:val="0"/>
          <w:numId w:val="13"/>
        </w:numPr>
        <w:shd w:val="clear" w:color="auto" w:fill="auto"/>
        <w:tabs>
          <w:tab w:pos="717"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2"/>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platných právních předpisů,</w:t>
      </w:r>
    </w:p>
    <w:p>
      <w:pPr>
        <w:pStyle w:val="Style2"/>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2"/>
        <w:keepNext w:val="0"/>
        <w:keepLines w:val="0"/>
        <w:widowControl w:val="0"/>
        <w:numPr>
          <w:ilvl w:val="0"/>
          <w:numId w:val="5"/>
        </w:numPr>
        <w:shd w:val="clear" w:color="auto" w:fill="auto"/>
        <w:tabs>
          <w:tab w:pos="19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2"/>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Předání a převzetí díla</w:t>
      </w:r>
      <w:bookmarkEnd w:id="20"/>
      <w:bookmarkEnd w:id="21"/>
    </w:p>
    <w:p>
      <w:pPr>
        <w:pStyle w:val="Style2"/>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2"/>
        <w:keepNext w:val="0"/>
        <w:keepLines w:val="0"/>
        <w:widowControl w:val="0"/>
        <w:numPr>
          <w:ilvl w:val="0"/>
          <w:numId w:val="15"/>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nebrání užívání díla a objednatel je povinen jej převzít Soupis vad a nedodělků nebránící užívání díla bude součástí Zápisu o předání a převzetí dokončeného díla vč. termínu jejich odstranění.</w:t>
      </w:r>
    </w:p>
    <w:p>
      <w:pPr>
        <w:pStyle w:val="Style2"/>
        <w:keepNext w:val="0"/>
        <w:keepLines w:val="0"/>
        <w:widowControl w:val="0"/>
        <w:numPr>
          <w:ilvl w:val="0"/>
          <w:numId w:val="15"/>
        </w:numPr>
        <w:shd w:val="clear" w:color="auto" w:fill="auto"/>
        <w:tabs>
          <w:tab w:pos="717" w:val="left"/>
        </w:tabs>
        <w:bidi w:val="0"/>
        <w:spacing w:before="0" w:after="440" w:line="240" w:lineRule="auto"/>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Platební a fakturační podmínky</w:t>
      </w:r>
      <w:bookmarkEnd w:id="22"/>
      <w:bookmarkEnd w:id="23"/>
    </w:p>
    <w:p>
      <w:pPr>
        <w:pStyle w:val="Style2"/>
        <w:keepNext w:val="0"/>
        <w:keepLines w:val="0"/>
        <w:widowControl w:val="0"/>
        <w:numPr>
          <w:ilvl w:val="0"/>
          <w:numId w:val="17"/>
        </w:numPr>
        <w:shd w:val="clear" w:color="auto" w:fill="auto"/>
        <w:tabs>
          <w:tab w:pos="71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7"/>
        </w:numPr>
        <w:shd w:val="clear" w:color="auto" w:fill="auto"/>
        <w:tabs>
          <w:tab w:pos="717" w:val="left"/>
        </w:tabs>
        <w:bidi w:val="0"/>
        <w:spacing w:before="0" w:line="240" w:lineRule="auto"/>
        <w:ind w:left="0" w:right="0" w:firstLine="0"/>
        <w:jc w:val="both"/>
        <w:rPr>
          <w:sz w:val="11"/>
          <w:szCs w:val="11"/>
        </w:rPr>
      </w:pPr>
      <w:r>
        <w:rPr>
          <w:color w:val="000000"/>
          <w:spacing w:val="0"/>
          <w:w w:val="100"/>
          <w:position w:val="0"/>
          <w:sz w:val="20"/>
          <w:szCs w:val="20"/>
          <w:shd w:val="clear" w:color="auto" w:fill="auto"/>
          <w:lang w:val="cs-CZ" w:eastAsia="cs-CZ" w:bidi="cs-CZ"/>
        </w:rPr>
        <w:t xml:space="preserve">Objednatel může fakturu vrátit v případě, kdy obsahuje nesprávné nebo neúplné údaje nebo obsahuje nesprávné cenové údaje. Toto vrácení se musí stát do konce lhůty splatnosti faktury. V takovém případě </w:t>
      </w:r>
      <w:r>
        <w:rPr>
          <w:rStyle w:val="CharStyle6"/>
          <w:rFonts w:ascii="Verdana" w:eastAsia="Verdana" w:hAnsi="Verdana" w:cs="Verdana"/>
          <w:b/>
          <w:bCs/>
          <w:i/>
          <w:iCs/>
          <w:sz w:val="19"/>
          <w:szCs w:val="19"/>
        </w:rPr>
        <w:t xml:space="preserve">silnic Vysočiny </w:t>
      </w:r>
      <w:r>
        <w:rPr>
          <w:rStyle w:val="CharStyle6"/>
          <w:rFonts w:ascii="Verdana" w:eastAsia="Verdana" w:hAnsi="Verdana" w:cs="Verdana"/>
          <w:b/>
          <w:bCs/>
          <w:i/>
          <w:iCs/>
          <w:sz w:val="11"/>
          <w:szCs w:val="11"/>
        </w:rPr>
        <w:t>příspěvková organizace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vystaví zhotovitel novou fakturu s novou lhůtou splatnosti, kterou je povinen doručit objednateli do 5 (pěti) pracovních dnů ode dne doručení oprávněně vrácené faktury.</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2"/>
        <w:keepNext w:val="0"/>
        <w:keepLines w:val="0"/>
        <w:widowControl w:val="0"/>
        <w:numPr>
          <w:ilvl w:val="0"/>
          <w:numId w:val="17"/>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Odpovědnost za vady díla a záruka za jakost</w:t>
      </w:r>
      <w:bookmarkEnd w:id="24"/>
      <w:bookmarkEnd w:id="25"/>
    </w:p>
    <w:p>
      <w:pPr>
        <w:pStyle w:val="Style2"/>
        <w:keepNext w:val="0"/>
        <w:keepLines w:val="0"/>
        <w:widowControl w:val="0"/>
        <w:numPr>
          <w:ilvl w:val="0"/>
          <w:numId w:val="1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záruka na provedené práce nesjednává</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2"/>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Smluvní pokuty</w:t>
      </w:r>
      <w:bookmarkEnd w:id="26"/>
      <w:bookmarkEnd w:id="27"/>
    </w:p>
    <w:p>
      <w:pPr>
        <w:pStyle w:val="Style2"/>
        <w:keepNext w:val="0"/>
        <w:keepLines w:val="0"/>
        <w:widowControl w:val="0"/>
        <w:numPr>
          <w:ilvl w:val="0"/>
          <w:numId w:val="2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2"/>
        <w:keepNext w:val="0"/>
        <w:keepLines w:val="0"/>
        <w:widowControl w:val="0"/>
        <w:numPr>
          <w:ilvl w:val="0"/>
          <w:numId w:val="2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2"/>
        <w:keepNext w:val="0"/>
        <w:keepLines w:val="0"/>
        <w:widowControl w:val="0"/>
        <w:numPr>
          <w:ilvl w:val="0"/>
          <w:numId w:val="21"/>
        </w:numPr>
        <w:shd w:val="clear" w:color="auto" w:fill="auto"/>
        <w:tabs>
          <w:tab w:pos="706" w:val="left"/>
        </w:tabs>
        <w:bidi w:val="0"/>
        <w:spacing w:before="0" w:line="233"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2"/>
        <w:keepNext w:val="0"/>
        <w:keepLines w:val="0"/>
        <w:widowControl w:val="0"/>
        <w:numPr>
          <w:ilvl w:val="0"/>
          <w:numId w:val="21"/>
        </w:numPr>
        <w:shd w:val="clear" w:color="auto" w:fill="auto"/>
        <w:tabs>
          <w:tab w:pos="706" w:val="left"/>
        </w:tabs>
        <w:bidi w:val="0"/>
        <w:spacing w:before="0" w:after="460" w:line="233"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12"/>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12</w:t>
        <w:br/>
        <w:t>Další ujednání</w:t>
      </w:r>
      <w:bookmarkEnd w:id="28"/>
      <w:bookmarkEnd w:id="29"/>
    </w:p>
    <w:p>
      <w:pPr>
        <w:pStyle w:val="Style2"/>
        <w:keepNext w:val="0"/>
        <w:keepLines w:val="0"/>
        <w:widowControl w:val="0"/>
        <w:numPr>
          <w:ilvl w:val="0"/>
          <w:numId w:val="2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2"/>
        <w:keepNext w:val="0"/>
        <w:keepLines w:val="0"/>
        <w:widowControl w:val="0"/>
        <w:numPr>
          <w:ilvl w:val="0"/>
          <w:numId w:val="2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2"/>
        <w:keepNext w:val="0"/>
        <w:keepLines w:val="0"/>
        <w:widowControl w:val="0"/>
        <w:numPr>
          <w:ilvl w:val="0"/>
          <w:numId w:val="23"/>
        </w:numPr>
        <w:shd w:val="clear" w:color="auto" w:fill="auto"/>
        <w:tabs>
          <w:tab w:pos="706" w:val="left"/>
        </w:tabs>
        <w:bidi w:val="0"/>
        <w:spacing w:before="0" w:line="240" w:lineRule="auto"/>
        <w:ind w:left="0" w:right="0" w:firstLine="0"/>
        <w:jc w:val="both"/>
        <w:sectPr>
          <w:footnotePr>
            <w:pos w:val="pageBottom"/>
            <w:numFmt w:val="decimal"/>
            <w:numRestart w:val="continuous"/>
          </w:footnotePr>
          <w:pgSz w:w="11900" w:h="16840"/>
          <w:pgMar w:top="1246" w:left="953" w:right="1028" w:bottom="1360" w:header="0" w:footer="3" w:gutter="0"/>
          <w:cols w:space="720"/>
          <w:noEndnote/>
          <w:rtlGutter w:val="0"/>
          <w:docGrid w:linePitch="360"/>
        </w:sectPr>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5"/>
        <w:keepNext w:val="0"/>
        <w:keepLines w:val="0"/>
        <w:widowControl w:val="0"/>
        <w:shd w:val="clear" w:color="auto" w:fill="auto"/>
        <w:bidi w:val="0"/>
        <w:spacing w:before="0" w:line="240" w:lineRule="auto"/>
        <w:ind w:left="0" w:right="0" w:firstLine="0"/>
        <w:jc w:val="both"/>
        <w:rPr>
          <w:sz w:val="11"/>
          <w:szCs w:val="11"/>
        </w:rPr>
      </w:pPr>
      <w:r>
        <w:rPr>
          <w:rFonts w:ascii="Verdana" w:eastAsia="Verdana" w:hAnsi="Verdana" w:cs="Verdana"/>
          <w:b/>
          <w:bCs/>
          <w:i/>
          <w:iCs/>
          <w:color w:val="000000"/>
          <w:spacing w:val="0"/>
          <w:w w:val="100"/>
          <w:position w:val="0"/>
          <w:sz w:val="19"/>
          <w:szCs w:val="19"/>
          <w:shd w:val="clear" w:color="auto" w:fill="auto"/>
          <w:lang w:val="cs-CZ" w:eastAsia="cs-CZ" w:bidi="cs-CZ"/>
        </w:rPr>
        <w:t xml:space="preserve">Krajská správa a údržba silnic Vysočiny </w:t>
      </w:r>
      <w:r>
        <w:rPr>
          <w:rFonts w:ascii="Verdana" w:eastAsia="Verdana" w:hAnsi="Verdana" w:cs="Verdana"/>
          <w:b/>
          <w:bCs/>
          <w:i/>
          <w:iCs/>
          <w:color w:val="000000"/>
          <w:spacing w:val="0"/>
          <w:w w:val="100"/>
          <w:position w:val="0"/>
          <w:sz w:val="11"/>
          <w:szCs w:val="11"/>
          <w:shd w:val="clear" w:color="auto" w:fill="auto"/>
          <w:lang w:val="cs-CZ" w:eastAsia="cs-CZ" w:bidi="cs-CZ"/>
        </w:rPr>
        <w:t>příspěvková organizace</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2"/>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Zvláštní ujednání</w:t>
      </w:r>
      <w:bookmarkEnd w:id="30"/>
      <w:bookmarkEnd w:id="31"/>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2"/>
        <w:keepNext w:val="0"/>
        <w:keepLines w:val="0"/>
        <w:widowControl w:val="0"/>
        <w:numPr>
          <w:ilvl w:val="0"/>
          <w:numId w:val="25"/>
        </w:numPr>
        <w:shd w:val="clear" w:color="auto" w:fill="auto"/>
        <w:tabs>
          <w:tab w:pos="706" w:val="left"/>
        </w:tabs>
        <w:bidi w:val="0"/>
        <w:spacing w:before="0" w:line="230"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smluvní strany veškeré majetkové spory vzniklé z právního vztahu založeného touto smlouvou a v souvislosti s ní, řešeny a rozhodovány s konečnou platností soudní cestou.</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Závěrečná ujednání</w:t>
      </w:r>
      <w:bookmarkEnd w:id="32"/>
      <w:bookmarkEnd w:id="33"/>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vyhotovena ve čtyřech výtiscích, z nichž objednatel obdrží 2 a zhotovitel 2 vyhotovení.</w:t>
      </w:r>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nabývá platnosti podpisu smlouvy oběma smluvními stranami a účinnosti dnem uveřejněni v Registru smluv.</w:t>
      </w:r>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2"/>
        <w:keepNext w:val="0"/>
        <w:keepLines w:val="0"/>
        <w:widowControl w:val="0"/>
        <w:numPr>
          <w:ilvl w:val="0"/>
          <w:numId w:val="27"/>
        </w:numPr>
        <w:shd w:val="clear" w:color="auto" w:fill="auto"/>
        <w:tabs>
          <w:tab w:pos="706" w:val="left"/>
        </w:tabs>
        <w:bidi w:val="0"/>
        <w:spacing w:before="0" w:line="240" w:lineRule="auto"/>
        <w:ind w:left="0" w:right="0" w:firstLine="0"/>
        <w:jc w:val="both"/>
        <w:sectPr>
          <w:headerReference w:type="default" r:id="rId9"/>
          <w:footerReference w:type="default" r:id="rId10"/>
          <w:footnotePr>
            <w:pos w:val="pageBottom"/>
            <w:numFmt w:val="decimal"/>
            <w:numRestart w:val="continuous"/>
          </w:footnotePr>
          <w:pgSz w:w="11900" w:h="16840"/>
          <w:pgMar w:top="697" w:left="910" w:right="1108" w:bottom="1105" w:header="269"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w:t>
      </w:r>
    </w:p>
    <w:p>
      <w:pPr>
        <w:pStyle w:val="Style2"/>
        <w:keepNext w:val="0"/>
        <w:keepLines w:val="0"/>
        <w:widowControl w:val="0"/>
        <w:shd w:val="clear" w:color="auto" w:fill="auto"/>
        <w:bidi w:val="0"/>
        <w:spacing w:before="0" w:after="0" w:line="240" w:lineRule="auto"/>
        <w:ind w:left="0" w:right="0" w:firstLine="0"/>
        <w:jc w:val="left"/>
        <w:sectPr>
          <w:headerReference w:type="default" r:id="rId11"/>
          <w:footerReference w:type="default" r:id="rId12"/>
          <w:footnotePr>
            <w:pos w:val="pageBottom"/>
            <w:numFmt w:val="decimal"/>
            <w:numRestart w:val="continuous"/>
          </w:footnotePr>
          <w:pgSz w:w="11900" w:h="16840"/>
          <w:pgMar w:top="1537" w:left="975" w:right="1050" w:bottom="11814" w:header="0" w:footer="3" w:gutter="0"/>
          <w:cols w:space="720"/>
          <w:noEndnote/>
          <w:rtlGutter w:val="0"/>
          <w:docGrid w:linePitch="360"/>
        </w:sectPr>
      </w:pPr>
      <w:r>
        <w:rPr>
          <w:color w:val="000000"/>
          <w:spacing w:val="0"/>
          <w:w w:val="100"/>
          <w:position w:val="0"/>
          <w:shd w:val="clear" w:color="auto" w:fill="auto"/>
          <w:lang w:val="cs-CZ" w:eastAsia="cs-CZ" w:bidi="cs-CZ"/>
        </w:rPr>
        <w:t>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37" w:left="0" w:right="0" w:bottom="11814"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2" behindDoc="0" locked="0" layoutInCell="1" allowOverlap="1">
                <wp:simplePos x="0" y="0"/>
                <wp:positionH relativeFrom="page">
                  <wp:posOffset>616585</wp:posOffset>
                </wp:positionH>
                <wp:positionV relativeFrom="paragraph">
                  <wp:posOffset>12700</wp:posOffset>
                </wp:positionV>
                <wp:extent cx="1458595" cy="194310"/>
                <wp:wrapSquare wrapText="bothSides"/>
                <wp:docPr id="29" name="Shape 29"/>
                <a:graphic xmlns:a="http://schemas.openxmlformats.org/drawingml/2006/main">
                  <a:graphicData uri="http://schemas.microsoft.com/office/word/2010/wordprocessingShape">
                    <wps:wsp>
                      <wps:cNvSpPr txBox="1"/>
                      <wps:spPr>
                        <a:xfrm>
                          <a:ext cx="1458595" cy="194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Chotěboři dne: 2 &lt; -</w:t>
                            </w:r>
                          </w:p>
                        </w:txbxContent>
                      </wps:txbx>
                      <wps:bodyPr lIns="0" tIns="0" rIns="0" bIns="0">
                        <a:noAutoFit/>
                      </wps:bodyPr>
                    </wps:wsp>
                  </a:graphicData>
                </a:graphic>
              </wp:anchor>
            </w:drawing>
          </mc:Choice>
          <mc:Fallback>
            <w:pict>
              <v:shape id="_x0000_s1055" type="#_x0000_t202" style="position:absolute;margin-left:48.549999999999997pt;margin-top:1.pt;width:114.84999999999999pt;height:15.30000000000000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Chotěboři dne: 2 &lt; -</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Jihlavě dne:</w:t>
      </w:r>
    </w:p>
    <w:p>
      <w:pPr>
        <w:spacing w:lineRule="exact" w:line="1"/>
        <w:rPr>
          <w:sz w:val="2"/>
          <w:szCs w:val="2"/>
        </w:rPr>
      </w:pPr>
      <w:r>
        <w:br w:type="column"/>
      </w:r>
    </w:p>
    <w:p>
      <w:pPr>
        <w:pStyle w:val="Style5"/>
        <w:keepNext w:val="0"/>
        <w:keepLines w:val="0"/>
        <w:widowControl w:val="0"/>
        <w:shd w:val="clear" w:color="auto" w:fill="auto"/>
        <w:bidi w:val="0"/>
        <w:spacing w:before="0" w:after="0" w:line="240" w:lineRule="auto"/>
        <w:ind w:left="0" w:right="0" w:firstLine="0"/>
        <w:jc w:val="left"/>
        <w:rPr>
          <w:sz w:val="28"/>
          <w:szCs w:val="28"/>
        </w:rPr>
        <w:sectPr>
          <w:footnotePr>
            <w:pos w:val="pageBottom"/>
            <w:numFmt w:val="decimal"/>
            <w:numRestart w:val="continuous"/>
          </w:footnotePr>
          <w:type w:val="continuous"/>
          <w:pgSz w:w="11900" w:h="16840"/>
          <w:pgMar w:top="1537" w:left="7372" w:right="1622" w:bottom="11814" w:header="0" w:footer="3" w:gutter="0"/>
          <w:cols w:num="2" w:space="377"/>
          <w:noEndnote/>
          <w:rtlGutter w:val="0"/>
          <w:docGrid w:linePitch="360"/>
        </w:sectPr>
      </w:pPr>
      <w:r>
        <w:rPr>
          <w:rFonts w:ascii="Times New Roman" w:eastAsia="Times New Roman" w:hAnsi="Times New Roman" w:cs="Times New Roman"/>
          <w:color w:val="000000"/>
          <w:spacing w:val="0"/>
          <w:w w:val="60"/>
          <w:position w:val="0"/>
          <w:sz w:val="28"/>
          <w:szCs w:val="28"/>
          <w:shd w:val="clear" w:color="auto" w:fill="auto"/>
          <w:lang w:val="cs-CZ" w:eastAsia="cs-CZ" w:bidi="cs-CZ"/>
        </w:rPr>
        <w:t>29. 05. 2019</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4" w:after="5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37" w:left="0" w:right="0" w:bottom="1537"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4" behindDoc="0" locked="0" layoutInCell="1" allowOverlap="1">
                <wp:simplePos x="0" y="0"/>
                <wp:positionH relativeFrom="page">
                  <wp:posOffset>1579245</wp:posOffset>
                </wp:positionH>
                <wp:positionV relativeFrom="paragraph">
                  <wp:posOffset>12700</wp:posOffset>
                </wp:positionV>
                <wp:extent cx="495935" cy="175895"/>
                <wp:wrapSquare wrapText="bothSides"/>
                <wp:docPr id="31" name="Shape 31"/>
                <a:graphic xmlns:a="http://schemas.openxmlformats.org/drawingml/2006/main">
                  <a:graphicData uri="http://schemas.microsoft.com/office/word/2010/wordprocessingShape">
                    <wps:wsp>
                      <wps:cNvSpPr txBox="1"/>
                      <wps:spPr>
                        <a:xfrm>
                          <a:ext cx="495935" cy="1758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txbxContent>
                      </wps:txbx>
                      <wps:bodyPr wrap="none" lIns="0" tIns="0" rIns="0" bIns="0">
                        <a:noAutoFit/>
                      </wps:bodyPr>
                    </wps:wsp>
                  </a:graphicData>
                </a:graphic>
              </wp:anchor>
            </w:drawing>
          </mc:Choice>
          <mc:Fallback>
            <w:pict>
              <v:shape id="_x0000_s1057" type="#_x0000_t202" style="position:absolute;margin-left:124.34999999999999pt;margin-top:1.pt;width:39.049999999999997pt;height:13.85pt;z-index:-12582936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537" w:left="3268" w:right="1050" w:bottom="1537" w:header="0" w:footer="3" w:gutter="0"/>
          <w:cols w:space="720"/>
          <w:noEndnote/>
          <w:rtlGutter w:val="0"/>
          <w:docGrid w:linePitch="360"/>
        </w:sectPr>
      </w:pPr>
      <w:r>
        <w:rPr>
          <w:color w:val="000000"/>
          <w:spacing w:val="0"/>
          <w:w w:val="100"/>
          <w:position w:val="0"/>
          <w:shd w:val="clear" w:color="auto" w:fill="auto"/>
          <w:lang w:val="cs-CZ" w:eastAsia="cs-CZ" w:bidi="cs-CZ"/>
        </w:rPr>
        <w:t>Ing. Jan Mika, MBA ředitel organizace</w:t>
      </w:r>
    </w:p>
    <w:tbl>
      <w:tblPr>
        <w:tblOverlap w:val="never"/>
        <w:jc w:val="center"/>
        <w:tblLayout w:type="fixed"/>
      </w:tblPr>
      <w:tblGrid>
        <w:gridCol w:w="986"/>
        <w:gridCol w:w="1339"/>
        <w:gridCol w:w="1332"/>
        <w:gridCol w:w="1325"/>
        <w:gridCol w:w="961"/>
        <w:gridCol w:w="958"/>
        <w:gridCol w:w="1901"/>
        <w:gridCol w:w="958"/>
        <w:gridCol w:w="1332"/>
        <w:gridCol w:w="3679"/>
      </w:tblGrid>
      <w:tr>
        <w:trPr>
          <w:trHeight w:val="738" w:hRule="exact"/>
        </w:trPr>
        <w:tc>
          <w:tcPr>
            <w:gridSpan w:val="10"/>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6"/>
                <w:szCs w:val="26"/>
              </w:rPr>
            </w:pPr>
            <w:r>
              <w:rPr>
                <w:rFonts w:ascii="Calibri" w:eastAsia="Calibri" w:hAnsi="Calibri" w:cs="Calibri"/>
                <w:i/>
                <w:iCs/>
                <w:color w:val="000000"/>
                <w:spacing w:val="0"/>
                <w:w w:val="100"/>
                <w:position w:val="0"/>
                <w:sz w:val="26"/>
                <w:szCs w:val="26"/>
                <w:shd w:val="clear" w:color="auto" w:fill="auto"/>
                <w:lang w:val="cs-CZ" w:eastAsia="cs-CZ" w:bidi="cs-CZ"/>
              </w:rPr>
              <w:t>Cenová nabídka k provedení prací</w:t>
            </w:r>
          </w:p>
        </w:tc>
      </w:tr>
      <w:tr>
        <w:trPr>
          <w:trHeight w:val="248" w:hRule="exact"/>
        </w:trPr>
        <w:tc>
          <w:tcPr>
            <w:gridSpan w:val="10"/>
            <w:tcBorders>
              <w:top w:val="single" w:sz="4"/>
              <w:left w:val="single" w:sz="4"/>
              <w:right w:val="single" w:sz="4"/>
            </w:tcBorders>
            <w:shd w:val="clear" w:color="auto" w:fill="FFFFFF"/>
            <w:vAlign w:val="bottom"/>
          </w:tcPr>
          <w:p>
            <w:pPr>
              <w:pStyle w:val="Style5"/>
              <w:keepNext w:val="0"/>
              <w:keepLines w:val="0"/>
              <w:widowControl w:val="0"/>
              <w:shd w:val="clear" w:color="auto" w:fill="auto"/>
              <w:tabs>
                <w:tab w:pos="7772" w:val="left"/>
              </w:tabs>
              <w:bidi w:val="0"/>
              <w:spacing w:before="0" w:after="0" w:line="240" w:lineRule="auto"/>
              <w:ind w:left="0" w:right="0" w:firstLine="0"/>
              <w:jc w:val="left"/>
              <w:rPr>
                <w:sz w:val="19"/>
                <w:szCs w:val="19"/>
              </w:rPr>
            </w:pPr>
            <w:r>
              <w:rPr>
                <w:rFonts w:ascii="Calibri" w:eastAsia="Calibri" w:hAnsi="Calibri" w:cs="Calibri"/>
                <w:i/>
                <w:iCs/>
                <w:color w:val="000000"/>
                <w:spacing w:val="0"/>
                <w:w w:val="100"/>
                <w:position w:val="0"/>
                <w:sz w:val="19"/>
                <w:szCs w:val="19"/>
                <w:shd w:val="clear" w:color="auto" w:fill="auto"/>
                <w:lang w:val="cs-CZ" w:eastAsia="cs-CZ" w:bidi="cs-CZ"/>
              </w:rPr>
              <w:t>Název stavby: \lll/3468: Raňkov - Čachotín - Rozsochatec</w:t>
              <w:tab/>
              <w:t xml:space="preserve">| Část: </w:t>
            </w:r>
            <w:r>
              <w:rPr>
                <w:rFonts w:ascii="Calibri" w:eastAsia="Calibri" w:hAnsi="Calibri" w:cs="Calibri"/>
                <w:i/>
                <w:iCs/>
                <w:color w:val="000000"/>
                <w:spacing w:val="0"/>
                <w:w w:val="100"/>
                <w:position w:val="0"/>
                <w:sz w:val="19"/>
                <w:szCs w:val="19"/>
                <w:shd w:val="clear" w:color="auto" w:fill="auto"/>
                <w:lang w:val="en-US" w:eastAsia="en-US" w:bidi="en-US"/>
              </w:rPr>
              <w:t xml:space="preserve">\SO01 </w:t>
            </w:r>
            <w:r>
              <w:rPr>
                <w:rFonts w:ascii="Calibri" w:eastAsia="Calibri" w:hAnsi="Calibri" w:cs="Calibri"/>
                <w:i/>
                <w:iCs/>
                <w:color w:val="000000"/>
                <w:spacing w:val="0"/>
                <w:w w:val="100"/>
                <w:position w:val="0"/>
                <w:sz w:val="19"/>
                <w:szCs w:val="19"/>
                <w:shd w:val="clear" w:color="auto" w:fill="auto"/>
                <w:lang w:val="cs-CZ" w:eastAsia="cs-CZ" w:bidi="cs-CZ"/>
              </w:rPr>
              <w:t>- Hloubení příkopů</w:t>
            </w:r>
          </w:p>
        </w:tc>
      </w:tr>
      <w:tr>
        <w:trPr>
          <w:trHeight w:val="238" w:hRule="exact"/>
        </w:trPr>
        <w:tc>
          <w:tcPr>
            <w:gridSpan w:val="10"/>
            <w:tcBorders>
              <w:top w:val="single" w:sz="4"/>
              <w:left w:val="single" w:sz="4"/>
              <w:right w:val="single" w:sz="4"/>
            </w:tcBorders>
            <w:shd w:val="clear" w:color="auto" w:fill="FFFFFF"/>
            <w:vAlign w:val="top"/>
          </w:tcPr>
          <w:p>
            <w:pPr>
              <w:widowControl w:val="0"/>
              <w:rPr>
                <w:sz w:val="10"/>
                <w:szCs w:val="10"/>
              </w:rPr>
            </w:pPr>
          </w:p>
        </w:tc>
      </w:tr>
      <w:tr>
        <w:trPr>
          <w:trHeight w:val="234"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Zakázka:</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Umístění:</w:t>
            </w:r>
          </w:p>
        </w:tc>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111/3468: Raňkov - Čachotín - Rozsochatec</w:t>
            </w:r>
          </w:p>
        </w:tc>
      </w:tr>
      <w:tr>
        <w:trPr>
          <w:trHeight w:val="241"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Stav, objekt 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Investor:</w:t>
            </w:r>
          </w:p>
        </w:tc>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111/3468: Raňkov - Čachotín - Rozsochatec</w:t>
            </w:r>
          </w:p>
        </w:tc>
      </w:tr>
      <w:tr>
        <w:trPr>
          <w:trHeight w:val="230"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Č. rozpočtu: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Objednal:</w:t>
            </w:r>
          </w:p>
        </w:tc>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KSUSV p.o., CM Chotěboř</w:t>
            </w:r>
          </w:p>
        </w:tc>
      </w:tr>
      <w:tr>
        <w:trPr>
          <w:trHeight w:val="241"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Č. dodatku:</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Zhotovitel:</w:t>
            </w:r>
          </w:p>
        </w:tc>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Ladislav Škaryd - Dřevokov, Na Valech 1721, 583 01 Chotěboř</w:t>
            </w:r>
          </w:p>
        </w:tc>
      </w:tr>
      <w:tr>
        <w:trPr>
          <w:trHeight w:val="238"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Archivní číslo:</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Zpracoval:</w:t>
            </w:r>
          </w:p>
        </w:tc>
        <w:tc>
          <w:tcPr>
            <w:gridSpan w:val="5"/>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Ladislav Škaryd - Dřevokov, Na Valech 1721, 583 01 Chotěboř</w:t>
            </w:r>
          </w:p>
        </w:tc>
      </w:tr>
      <w:tr>
        <w:trPr>
          <w:trHeight w:val="234"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Datum:</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15.3.2019</w:t>
            </w: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52" w:hRule="exact"/>
        </w:trPr>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248"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202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Rozpočtové náklady</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[KČ]</w:t>
            </w:r>
          </w:p>
        </w:tc>
        <w:tc>
          <w:tcPr>
            <w:gridSpan w:val="4"/>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Ostatní náklady</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Vypracoval:</w:t>
            </w:r>
          </w:p>
        </w:tc>
      </w:tr>
      <w:tr>
        <w:trPr>
          <w:trHeight w:val="24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Typ oddílu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Dodávka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Montáž</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HZS</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Přirážky</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Název nákladu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Částka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Sazba DPH</w:t>
            </w:r>
          </w:p>
        </w:tc>
        <w:tc>
          <w:tcPr>
            <w:vMerge w:val="restart"/>
            <w:tcBorders>
              <w:top w:val="single" w:sz="4"/>
              <w:left w:val="single" w:sz="4"/>
              <w:right w:val="single" w:sz="4"/>
            </w:tcBorders>
            <w:shd w:val="clear" w:color="auto" w:fill="FFFFFF"/>
            <w:vAlign w:val="bottom"/>
          </w:tcPr>
          <w:p>
            <w:pPr>
              <w:pStyle w:val="Style5"/>
              <w:keepNext w:val="0"/>
              <w:keepLines w:val="0"/>
              <w:widowControl w:val="0"/>
              <w:shd w:val="clear" w:color="auto" w:fill="auto"/>
              <w:tabs>
                <w:tab w:pos="1818" w:val="lef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Dne:</w:t>
              <w:tab/>
              <w:t>15.3.2019</w:t>
            </w:r>
          </w:p>
        </w:tc>
      </w:tr>
      <w:tr>
        <w:trPr>
          <w:trHeight w:val="23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SOOl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2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199 800,00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4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38"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2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199 800,00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56"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Základní rozpočtové náklady</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199 800,00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Odsouhlasil:</w:t>
            </w:r>
          </w:p>
        </w:tc>
      </w:tr>
      <w:tr>
        <w:trPr>
          <w:trHeight w:val="241" w:hRule="exact"/>
        </w:trPr>
        <w:tc>
          <w:tcPr>
            <w:gridSpan w:val="3"/>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Přirážky</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0,00 Kč</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Dne:</w:t>
            </w:r>
          </w:p>
        </w:tc>
      </w:tr>
      <w:tr>
        <w:trPr>
          <w:trHeight w:val="490" w:hRule="exact"/>
        </w:trPr>
        <w:tc>
          <w:tcPr>
            <w:gridSpan w:val="3"/>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Celkové rozpočtové náklady (bezDPH)</w:t>
            </w: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199 800,00 Kč</w:t>
            </w: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Celkové ostatní náklady</w:t>
            </w: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48" w:hRule="exact"/>
        </w:trPr>
        <w:tc>
          <w:tcPr>
            <w:gridSpan w:val="5"/>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Daň z přidané hodnoty (Rozpočet+Ostatní)</w:t>
            </w:r>
          </w:p>
        </w:tc>
        <w:tc>
          <w:tcPr>
            <w:gridSpan w:val="4"/>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Dílčí DPH</w:t>
            </w:r>
          </w:p>
        </w:tc>
        <w:tc>
          <w:tcPr>
            <w:vMerge/>
            <w:tcBorders>
              <w:left w:val="single" w:sz="4"/>
              <w:right w:val="single" w:sz="4"/>
            </w:tcBorders>
            <w:shd w:val="clear" w:color="auto" w:fill="FFFFFF"/>
            <w:vAlign w:val="bottom"/>
          </w:tcPr>
          <w:p>
            <w:pPr/>
          </w:p>
        </w:tc>
      </w:tr>
      <w:tr>
        <w:trPr>
          <w:trHeight w:val="23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Sazba[%]</w:t>
            </w:r>
          </w:p>
        </w:tc>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w:t>
            </w:r>
          </w:p>
        </w:tc>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Daň</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Základna</w:t>
            </w:r>
          </w:p>
        </w:tc>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Daň</w:t>
            </w:r>
          </w:p>
        </w:tc>
        <w:tc>
          <w:tcPr>
            <w:vMerge/>
            <w:tcBorders>
              <w:left w:val="single" w:sz="4"/>
              <w:right w:val="single" w:sz="4"/>
            </w:tcBorders>
            <w:shd w:val="clear" w:color="auto" w:fill="FFFFFF"/>
            <w:vAlign w:val="bottom"/>
          </w:tcPr>
          <w:p>
            <w:pPr/>
          </w:p>
        </w:tc>
      </w:tr>
      <w:tr>
        <w:trPr>
          <w:trHeight w:val="238"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28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10%</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41"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8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21%</w:t>
            </w:r>
          </w:p>
        </w:tc>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000000"/>
                <w:spacing w:val="0"/>
                <w:w w:val="100"/>
                <w:position w:val="0"/>
                <w:sz w:val="18"/>
                <w:szCs w:val="18"/>
                <w:shd w:val="clear" w:color="auto" w:fill="auto"/>
                <w:lang w:val="cs-CZ" w:eastAsia="cs-CZ" w:bidi="cs-CZ"/>
              </w:rPr>
              <w:t>199 800,00 Kč</w:t>
            </w:r>
          </w:p>
        </w:tc>
        <w:tc>
          <w:tcPr>
            <w:gridSpan w:val="2"/>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000000"/>
                <w:spacing w:val="0"/>
                <w:w w:val="100"/>
                <w:position w:val="0"/>
                <w:sz w:val="18"/>
                <w:szCs w:val="18"/>
                <w:shd w:val="clear" w:color="auto" w:fill="auto"/>
                <w:lang w:val="cs-CZ" w:eastAsia="cs-CZ" w:bidi="cs-CZ"/>
              </w:rPr>
              <w:t>41 958,00 Kč</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bottom"/>
          </w:tcPr>
          <w:p>
            <w:pPr/>
          </w:p>
        </w:tc>
      </w:tr>
      <w:tr>
        <w:trPr>
          <w:trHeight w:val="248"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6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0%</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Razítko:</w:t>
            </w:r>
          </w:p>
        </w:tc>
      </w:tr>
      <w:tr>
        <w:trPr>
          <w:trHeight w:val="490"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199 800 Kč</w:t>
            </w:r>
          </w:p>
        </w:tc>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41 958 Kč</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gridSpan w:val="5"/>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rFonts w:ascii="Calibri" w:eastAsia="Calibri" w:hAnsi="Calibri" w:cs="Calibri"/>
                <w:i/>
                <w:iCs/>
                <w:color w:val="000000"/>
                <w:spacing w:val="0"/>
                <w:w w:val="100"/>
                <w:position w:val="0"/>
                <w:sz w:val="20"/>
                <w:szCs w:val="20"/>
                <w:shd w:val="clear" w:color="auto" w:fill="auto"/>
                <w:lang w:val="cs-CZ" w:eastAsia="cs-CZ" w:bidi="cs-CZ"/>
              </w:rPr>
              <w:t>Celkové naklady (Rozpočet +Ostatní) vč. DPH</w:t>
            </w:r>
          </w:p>
        </w:tc>
        <w:tc>
          <w:tcPr>
            <w:gridSpan w:val="4"/>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Účelové měrné jednotky (bez DPH)</w:t>
            </w:r>
          </w:p>
        </w:tc>
        <w:tc>
          <w:tcPr>
            <w:vMerge/>
            <w:tcBorders>
              <w:left w:val="single" w:sz="4"/>
              <w:right w:val="single" w:sz="4"/>
            </w:tcBorders>
            <w:shd w:val="clear" w:color="auto" w:fill="FFFFFF"/>
            <w:vAlign w:val="top"/>
          </w:tcPr>
          <w:p>
            <w:pPr/>
          </w:p>
        </w:tc>
      </w:tr>
      <w:tr>
        <w:trPr>
          <w:trHeight w:val="230" w:hRule="exact"/>
        </w:trPr>
        <w:tc>
          <w:tcPr>
            <w:gridSpan w:val="5"/>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30"/>
                <w:szCs w:val="30"/>
              </w:rPr>
            </w:pPr>
            <w:r>
              <w:rPr>
                <w:rFonts w:ascii="Calibri" w:eastAsia="Calibri" w:hAnsi="Calibri" w:cs="Calibri"/>
                <w:i/>
                <w:iCs/>
                <w:color w:val="000000"/>
                <w:spacing w:val="0"/>
                <w:w w:val="100"/>
                <w:position w:val="0"/>
                <w:sz w:val="30"/>
                <w:szCs w:val="30"/>
                <w:shd w:val="clear" w:color="auto" w:fill="auto"/>
                <w:lang w:val="cs-CZ" w:eastAsia="cs-CZ" w:bidi="cs-CZ"/>
              </w:rPr>
              <w:t>241 758 Kč</w:t>
            </w:r>
          </w:p>
        </w:tc>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Název MJ</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Počet MJ</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0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Náklady/MJ</w:t>
            </w:r>
          </w:p>
        </w:tc>
        <w:tc>
          <w:tcPr>
            <w:vMerge/>
            <w:tcBorders>
              <w:left w:val="single" w:sz="4"/>
              <w:right w:val="single" w:sz="4"/>
            </w:tcBorders>
            <w:shd w:val="clear" w:color="auto" w:fill="FFFFFF"/>
            <w:vAlign w:val="top"/>
          </w:tcPr>
          <w:p>
            <w:pPr/>
          </w:p>
        </w:tc>
      </w:tr>
      <w:tr>
        <w:trPr>
          <w:trHeight w:val="234" w:hRule="exact"/>
        </w:trPr>
        <w:tc>
          <w:tcPr>
            <w:gridSpan w:val="5"/>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38" w:hRule="exact"/>
        </w:trPr>
        <w:tc>
          <w:tcPr>
            <w:gridSpan w:val="5"/>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81" w:hRule="exact"/>
        </w:trPr>
        <w:tc>
          <w:tcPr>
            <w:gridSpan w:val="5"/>
            <w:vMerge/>
            <w:tcBorders>
              <w:left w:val="single" w:sz="4"/>
              <w:bottom w:val="single" w:sz="4"/>
            </w:tcBorders>
            <w:shd w:val="clear" w:color="auto" w:fill="FFFFFF"/>
            <w:vAlign w:val="center"/>
          </w:tcPr>
          <w:p>
            <w:pP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right w:val="single" w:sz="4"/>
            </w:tcBorders>
            <w:shd w:val="clear" w:color="auto" w:fill="FFFFFF"/>
            <w:vAlign w:val="top"/>
          </w:tcPr>
          <w:p>
            <w:pPr/>
          </w:p>
        </w:tc>
      </w:tr>
    </w:tbl>
    <w:p>
      <w:pPr>
        <w:sectPr>
          <w:headerReference w:type="default" r:id="rId13"/>
          <w:footerReference w:type="default" r:id="rId14"/>
          <w:footnotePr>
            <w:pos w:val="pageBottom"/>
            <w:numFmt w:val="decimal"/>
            <w:numRestart w:val="continuous"/>
          </w:footnotePr>
          <w:pgSz w:w="16840" w:h="11900" w:orient="landscape"/>
          <w:pgMar w:top="1258" w:left="1066" w:right="1004" w:bottom="1258" w:header="0" w:footer="3" w:gutter="0"/>
          <w:cols w:space="720"/>
          <w:noEndnote/>
          <w:rtlGutter w:val="0"/>
          <w:docGrid w:linePitch="360"/>
        </w:sectPr>
      </w:pPr>
    </w:p>
    <w:p>
      <w:pPr>
        <w:pStyle w:val="Style24"/>
        <w:keepNext/>
        <w:keepLines/>
        <w:framePr w:w="3326" w:h="342" w:wrap="none" w:hAnchor="page" w:x="1090" w:y="1"/>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Krajská správa a údržba</w:t>
      </w:r>
      <w:bookmarkEnd w:id="34"/>
      <w:bookmarkEnd w:id="35"/>
    </w:p>
    <w:p>
      <w:pPr>
        <w:pStyle w:val="Style24"/>
        <w:keepNext/>
        <w:keepLines/>
        <w:framePr w:w="2059" w:h="490" w:wrap="none" w:hAnchor="page" w:x="1076" w:y="300"/>
        <w:widowControl w:val="0"/>
        <w:shd w:val="clear" w:color="auto" w:fill="auto"/>
        <w:bidi w:val="0"/>
        <w:spacing w:before="0" w:after="0" w:line="202"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silnic Vysočiny</w:t>
      </w:r>
      <w:bookmarkEnd w:id="36"/>
      <w:bookmarkEnd w:id="37"/>
    </w:p>
    <w:p>
      <w:pPr>
        <w:pStyle w:val="Style5"/>
        <w:keepNext w:val="0"/>
        <w:keepLines w:val="0"/>
        <w:framePr w:w="2059" w:h="490" w:wrap="none" w:hAnchor="page" w:x="1076" w:y="300"/>
        <w:widowControl w:val="0"/>
        <w:shd w:val="clear" w:color="auto" w:fill="auto"/>
        <w:bidi w:val="0"/>
        <w:spacing w:before="0" w:after="0" w:line="202" w:lineRule="auto"/>
        <w:ind w:left="0" w:right="0" w:firstLine="0"/>
        <w:jc w:val="center"/>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p>
      <w:pPr>
        <w:pStyle w:val="Style12"/>
        <w:keepNext/>
        <w:keepLines/>
        <w:framePr w:w="1886" w:h="281" w:wrap="none" w:hAnchor="page" w:x="7455" w:y="995"/>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Položkový rozpočet</w:t>
      </w:r>
      <w:bookmarkEnd w:id="38"/>
      <w:bookmarkEnd w:id="39"/>
    </w:p>
    <w:p>
      <w:pPr>
        <w:pStyle w:val="Style5"/>
        <w:keepNext w:val="0"/>
        <w:keepLines w:val="0"/>
        <w:framePr w:w="3233" w:h="295" w:wrap="none" w:hAnchor="page" w:x="3340" w:y="1689"/>
        <w:widowControl w:val="0"/>
        <w:shd w:val="clear" w:color="auto" w:fill="auto"/>
        <w:bidi w:val="0"/>
        <w:spacing w:before="0" w:after="0" w:line="240" w:lineRule="auto"/>
        <w:ind w:left="0" w:right="0" w:firstLine="0"/>
        <w:jc w:val="left"/>
      </w:pPr>
      <w:r>
        <w:rPr>
          <w:i/>
          <w:iCs/>
          <w:color w:val="000000"/>
          <w:spacing w:val="0"/>
          <w:w w:val="100"/>
          <w:position w:val="0"/>
          <w:sz w:val="18"/>
          <w:szCs w:val="18"/>
          <w:shd w:val="clear" w:color="auto" w:fill="auto"/>
          <w:lang w:val="cs-CZ" w:eastAsia="cs-CZ" w:bidi="cs-CZ"/>
        </w:rPr>
        <w:t>■</w:t>
      </w:r>
      <w:r>
        <w:rPr>
          <w:rFonts w:ascii="Calibri" w:eastAsia="Calibri" w:hAnsi="Calibri" w:cs="Calibri"/>
          <w:i/>
          <w:iCs/>
          <w:color w:val="000000"/>
          <w:spacing w:val="0"/>
          <w:w w:val="100"/>
          <w:position w:val="0"/>
          <w:sz w:val="20"/>
          <w:szCs w:val="20"/>
          <w:shd w:val="clear" w:color="auto" w:fill="auto"/>
          <w:lang w:val="cs-CZ" w:eastAsia="cs-CZ" w:bidi="cs-CZ"/>
        </w:rPr>
        <w:t>; Raňkov - Čachotín - Rozsochatec</w:t>
      </w:r>
    </w:p>
    <w:p>
      <w:pPr>
        <w:pStyle w:val="Style5"/>
        <w:keepNext w:val="0"/>
        <w:keepLines w:val="0"/>
        <w:framePr w:w="3413" w:h="266" w:wrap="none" w:hAnchor="page" w:x="12654" w:y="1682"/>
        <w:widowControl w:val="0"/>
        <w:shd w:val="clear" w:color="auto" w:fill="auto"/>
        <w:tabs>
          <w:tab w:pos="1372" w:val="left"/>
          <w:tab w:pos="2452" w:val="left"/>
        </w:tabs>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199 800,00</w:t>
        <w:tab/>
        <w:t>41958,00</w:t>
        <w:tab/>
        <w:t>241758,00</w:t>
      </w:r>
    </w:p>
    <w:tbl>
      <w:tblPr>
        <w:tblOverlap w:val="never"/>
        <w:jc w:val="left"/>
        <w:tblLayout w:type="fixed"/>
      </w:tblPr>
      <w:tblGrid>
        <w:gridCol w:w="554"/>
        <w:gridCol w:w="1451"/>
        <w:gridCol w:w="6689"/>
        <w:gridCol w:w="799"/>
        <w:gridCol w:w="1062"/>
        <w:gridCol w:w="1253"/>
        <w:gridCol w:w="1238"/>
        <w:gridCol w:w="1292"/>
        <w:gridCol w:w="1238"/>
      </w:tblGrid>
      <w:tr>
        <w:trPr>
          <w:trHeight w:val="223" w:hRule="exact"/>
        </w:trPr>
        <w:tc>
          <w:tcPr>
            <w:vMerge w:val="restart"/>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83" w:lineRule="auto"/>
              <w:ind w:left="0" w:right="0" w:firstLine="0"/>
              <w:jc w:val="center"/>
              <w:rPr>
                <w:sz w:val="16"/>
                <w:szCs w:val="16"/>
              </w:rPr>
            </w:pPr>
            <w:r>
              <w:rPr>
                <w:color w:val="000000"/>
                <w:spacing w:val="0"/>
                <w:w w:val="100"/>
                <w:position w:val="0"/>
                <w:sz w:val="16"/>
                <w:szCs w:val="16"/>
                <w:shd w:val="clear" w:color="auto" w:fill="auto"/>
                <w:lang w:val="cs-CZ" w:eastAsia="cs-CZ" w:bidi="cs-CZ"/>
              </w:rPr>
              <w:t>Poř. č. pol.</w:t>
            </w:r>
          </w:p>
        </w:tc>
        <w:tc>
          <w:tcPr>
            <w:vMerge w:val="restart"/>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Kód položky</w:t>
            </w:r>
          </w:p>
        </w:tc>
        <w:tc>
          <w:tcPr>
            <w:vMerge w:val="restart"/>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Název položky</w:t>
            </w:r>
          </w:p>
        </w:tc>
        <w:tc>
          <w:tcPr>
            <w:vMerge w:val="restart"/>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jednotka</w:t>
            </w:r>
          </w:p>
        </w:tc>
        <w:tc>
          <w:tcPr>
            <w:vMerge w:val="restart"/>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 jednotek</w:t>
            </w:r>
          </w:p>
        </w:tc>
        <w:tc>
          <w:tcPr>
            <w:gridSpan w:val="4"/>
            <w:tcBorders>
              <w:top w:val="single" w:sz="4"/>
              <w:left w:val="single" w:sz="4"/>
              <w:righ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rFonts w:ascii="Calibri" w:eastAsia="Calibri" w:hAnsi="Calibri" w:cs="Calibri"/>
                <w:color w:val="000000"/>
                <w:spacing w:val="0"/>
                <w:w w:val="100"/>
                <w:position w:val="0"/>
                <w:sz w:val="16"/>
                <w:szCs w:val="16"/>
                <w:shd w:val="clear" w:color="auto" w:fill="auto"/>
                <w:lang w:val="cs-CZ" w:eastAsia="cs-CZ" w:bidi="cs-CZ"/>
              </w:rPr>
              <w:t>CENA</w:t>
            </w:r>
          </w:p>
        </w:tc>
      </w:tr>
      <w:tr>
        <w:trPr>
          <w:trHeight w:val="569" w:hRule="exact"/>
        </w:trPr>
        <w:tc>
          <w:tcPr>
            <w:vMerge/>
            <w:tcBorders>
              <w:left w:val="single" w:sz="4"/>
            </w:tcBorders>
            <w:shd w:val="clear" w:color="auto" w:fill="FFFFFF"/>
            <w:vAlign w:val="center"/>
          </w:tcPr>
          <w:p>
            <w:pPr>
              <w:framePr w:w="15577" w:h="6491" w:vSpace="202" w:wrap="none" w:hAnchor="page" w:x="604" w:y="1935"/>
            </w:pPr>
          </w:p>
        </w:tc>
        <w:tc>
          <w:tcPr>
            <w:vMerge/>
            <w:tcBorders>
              <w:left w:val="single" w:sz="4"/>
            </w:tcBorders>
            <w:shd w:val="clear" w:color="auto" w:fill="FFFFFF"/>
            <w:vAlign w:val="center"/>
          </w:tcPr>
          <w:p>
            <w:pPr>
              <w:framePr w:w="15577" w:h="6491" w:vSpace="202" w:wrap="none" w:hAnchor="page" w:x="604" w:y="1935"/>
            </w:pPr>
          </w:p>
        </w:tc>
        <w:tc>
          <w:tcPr>
            <w:vMerge/>
            <w:tcBorders>
              <w:left w:val="single" w:sz="4"/>
            </w:tcBorders>
            <w:shd w:val="clear" w:color="auto" w:fill="FFFFFF"/>
            <w:vAlign w:val="center"/>
          </w:tcPr>
          <w:p>
            <w:pPr>
              <w:framePr w:w="15577" w:h="6491" w:vSpace="202" w:wrap="none" w:hAnchor="page" w:x="604" w:y="1935"/>
            </w:pPr>
          </w:p>
        </w:tc>
        <w:tc>
          <w:tcPr>
            <w:vMerge/>
            <w:tcBorders>
              <w:left w:val="single" w:sz="4"/>
            </w:tcBorders>
            <w:shd w:val="clear" w:color="auto" w:fill="FFFFFF"/>
            <w:vAlign w:val="center"/>
          </w:tcPr>
          <w:p>
            <w:pPr>
              <w:framePr w:w="15577" w:h="6491" w:vSpace="202" w:wrap="none" w:hAnchor="page" w:x="604" w:y="1935"/>
            </w:pPr>
          </w:p>
        </w:tc>
        <w:tc>
          <w:tcPr>
            <w:vMerge/>
            <w:tcBorders>
              <w:left w:val="single" w:sz="4"/>
            </w:tcBorders>
            <w:shd w:val="clear" w:color="auto" w:fill="FFFFFF"/>
            <w:vAlign w:val="center"/>
          </w:tcPr>
          <w:p>
            <w:pPr>
              <w:framePr w:w="15577" w:h="6491" w:vSpace="202" w:wrap="none" w:hAnchor="page" w:x="604" w:y="1935"/>
            </w:pP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jednotková</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celkem</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rFonts w:ascii="Calibri" w:eastAsia="Calibri" w:hAnsi="Calibri" w:cs="Calibri"/>
                <w:color w:val="000000"/>
                <w:spacing w:val="0"/>
                <w:w w:val="100"/>
                <w:position w:val="0"/>
                <w:sz w:val="16"/>
                <w:szCs w:val="16"/>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220" w:firstLine="0"/>
              <w:jc w:val="right"/>
              <w:rPr>
                <w:sz w:val="16"/>
                <w:szCs w:val="16"/>
              </w:rPr>
            </w:pPr>
            <w:r>
              <w:rPr>
                <w:rFonts w:ascii="Calibri" w:eastAsia="Calibri" w:hAnsi="Calibri" w:cs="Calibri"/>
                <w:color w:val="000000"/>
                <w:spacing w:val="0"/>
                <w:w w:val="100"/>
                <w:position w:val="0"/>
                <w:sz w:val="16"/>
                <w:szCs w:val="16"/>
                <w:shd w:val="clear" w:color="auto" w:fill="auto"/>
                <w:lang w:val="cs-CZ" w:eastAsia="cs-CZ" w:bidi="cs-CZ"/>
              </w:rPr>
              <w:t>Celkem s 21%</w:t>
            </w:r>
          </w:p>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0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DPH</w:t>
            </w:r>
          </w:p>
        </w:tc>
      </w:tr>
      <w:tr>
        <w:trPr>
          <w:trHeight w:val="191" w:hRule="exact"/>
        </w:trPr>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24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rFonts w:ascii="Calibri" w:eastAsia="Calibri" w:hAnsi="Calibri" w:cs="Calibri"/>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34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8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7</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rFonts w:ascii="Calibri" w:eastAsia="Calibri" w:hAnsi="Calibri" w:cs="Calibri"/>
                <w:color w:val="000000"/>
                <w:spacing w:val="0"/>
                <w:w w:val="100"/>
                <w:position w:val="0"/>
                <w:sz w:val="16"/>
                <w:szCs w:val="16"/>
                <w:shd w:val="clear" w:color="auto" w:fill="auto"/>
                <w:lang w:val="cs-CZ" w:eastAsia="cs-CZ" w:bidi="cs-CZ"/>
              </w:rPr>
              <w:t>8</w:t>
            </w:r>
          </w:p>
        </w:tc>
        <w:tc>
          <w:tcPr>
            <w:tcBorders>
              <w:top w:val="single" w:sz="4"/>
              <w:left w:val="single" w:sz="4"/>
              <w:righ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9</w:t>
            </w:r>
          </w:p>
        </w:tc>
      </w:tr>
      <w:tr>
        <w:trPr>
          <w:trHeight w:val="454" w:hRule="exact"/>
        </w:trPr>
        <w:tc>
          <w:tcPr>
            <w:gridSpan w:val="2"/>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číslo a název rozpočtu:</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SO01 - Hloubení příkopů</w:t>
            </w: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199 800,00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41 958,00</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241 758,00</w:t>
            </w:r>
          </w:p>
        </w:tc>
      </w:tr>
      <w:tr>
        <w:trPr>
          <w:trHeight w:val="205" w:hRule="exact"/>
        </w:trPr>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Zemní práce</w:t>
            </w: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right w:val="single" w:sz="4"/>
            </w:tcBorders>
            <w:shd w:val="clear" w:color="auto" w:fill="FFFFFF"/>
            <w:vAlign w:val="top"/>
          </w:tcPr>
          <w:p>
            <w:pPr>
              <w:framePr w:w="15577" w:h="6491" w:vSpace="202" w:wrap="none" w:hAnchor="page" w:x="604" w:y="1935"/>
              <w:widowControl w:val="0"/>
              <w:rPr>
                <w:sz w:val="10"/>
                <w:szCs w:val="10"/>
              </w:rPr>
            </w:pPr>
          </w:p>
        </w:tc>
      </w:tr>
      <w:tr>
        <w:trPr>
          <w:trHeight w:val="1148" w:hRule="exact"/>
        </w:trPr>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162701101</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Vodorovné přemístění do 6000 m výkopku/sypaniny z horniny tř. 1 až 4</w:t>
            </w:r>
          </w:p>
          <w:p>
            <w:pPr>
              <w:pStyle w:val="Style5"/>
              <w:keepNext w:val="0"/>
              <w:keepLines w:val="0"/>
              <w:framePr w:w="15577" w:h="6491" w:vSpace="202" w:wrap="none" w:hAnchor="page" w:x="604" w:y="1935"/>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Vodorovné přemístění výkopku nebo sypaníny po suchu na obvyklém dopravním prostředku, bez naložení výkopku, avšak se složením bez rozhrnutí z horniny tř. 1 až 4 na vzdálenost přes 5 000 do 6 000 m</w:t>
            </w:r>
          </w:p>
          <w:p>
            <w:pPr>
              <w:pStyle w:val="Style5"/>
              <w:keepNext w:val="0"/>
              <w:keepLines w:val="0"/>
              <w:framePr w:w="15577" w:h="6491" w:vSpace="202" w:wrap="none" w:hAnchor="page" w:x="604" w:y="1935"/>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Odvoz výkopku z příkopu na skládku</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440,000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176,00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shd w:val="clear" w:color="auto" w:fill="auto"/>
                <w:lang w:val="cs-CZ" w:eastAsia="cs-CZ" w:bidi="cs-CZ"/>
              </w:rPr>
              <w:t>77 440,00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16 262,40</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93 702,40</w:t>
            </w:r>
          </w:p>
        </w:tc>
      </w:tr>
      <w:tr>
        <w:trPr>
          <w:trHeight w:val="536" w:hRule="exact"/>
        </w:trPr>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20"/>
              <w:jc w:val="left"/>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171201201</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Uložení sypaniny na skládky</w:t>
            </w:r>
          </w:p>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Uložení sypaniny na skládky, bez poplatku za skládku</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440,000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16,00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7 040,00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1 478,40</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8 518,40</w:t>
            </w:r>
          </w:p>
        </w:tc>
      </w:tr>
      <w:tr>
        <w:trPr>
          <w:trHeight w:val="652" w:hRule="exact"/>
        </w:trPr>
        <w:tc>
          <w:tcPr>
            <w:vMerge w:val="restart"/>
            <w:tcBorders>
              <w:top w:val="single" w:sz="4"/>
              <w:left w:val="single" w:sz="4"/>
            </w:tcBorders>
            <w:shd w:val="clear" w:color="auto" w:fill="FFFFFF"/>
            <w:vAlign w:val="top"/>
          </w:tcPr>
          <w:p>
            <w:pPr>
              <w:pStyle w:val="Style5"/>
              <w:keepNext w:val="0"/>
              <w:keepLines w:val="0"/>
              <w:framePr w:w="15577" w:h="6491" w:vSpace="202" w:wrap="none" w:hAnchor="page" w:x="604" w:y="1935"/>
              <w:widowControl w:val="0"/>
              <w:shd w:val="clear" w:color="auto" w:fill="auto"/>
              <w:bidi w:val="0"/>
              <w:spacing w:before="200" w:after="0" w:line="240" w:lineRule="auto"/>
              <w:ind w:left="0" w:right="0" w:firstLine="420"/>
              <w:jc w:val="left"/>
              <w:rPr>
                <w:sz w:val="16"/>
                <w:szCs w:val="16"/>
              </w:rPr>
            </w:pPr>
            <w:r>
              <w:rPr>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171201211</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59" w:lineRule="auto"/>
              <w:ind w:left="0" w:right="0" w:firstLine="0"/>
              <w:jc w:val="left"/>
              <w:rPr>
                <w:sz w:val="16"/>
                <w:szCs w:val="16"/>
              </w:rPr>
            </w:pPr>
            <w:r>
              <w:rPr>
                <w:color w:val="000000"/>
                <w:spacing w:val="0"/>
                <w:w w:val="100"/>
                <w:position w:val="0"/>
                <w:sz w:val="16"/>
                <w:szCs w:val="16"/>
                <w:shd w:val="clear" w:color="auto" w:fill="auto"/>
                <w:lang w:val="cs-CZ" w:eastAsia="cs-CZ" w:bidi="cs-CZ"/>
              </w:rPr>
              <w:t>Poplatek za uložení odpadu ze sypaniny na skládce (skládkovné) Uložení sypaniny, poplatek za uložení sypaniny na skládce (skládkovné)</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T</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20"/>
              <w:jc w:val="left"/>
              <w:rPr>
                <w:sz w:val="16"/>
                <w:szCs w:val="16"/>
              </w:rPr>
            </w:pPr>
            <w:r>
              <w:rPr>
                <w:color w:val="000000"/>
                <w:spacing w:val="0"/>
                <w:w w:val="100"/>
                <w:position w:val="0"/>
                <w:sz w:val="16"/>
                <w:szCs w:val="16"/>
                <w:shd w:val="clear" w:color="auto" w:fill="auto"/>
                <w:lang w:val="cs-CZ" w:eastAsia="cs-CZ" w:bidi="cs-CZ"/>
              </w:rPr>
              <w:t>704,000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80,00</w:t>
            </w:r>
          </w:p>
        </w:tc>
        <w:tc>
          <w:tcPr>
            <w:tcBorders>
              <w:top w:val="single" w:sz="4"/>
              <w:left w:val="single" w:sz="4"/>
            </w:tcBorders>
            <w:shd w:val="clear" w:color="auto" w:fill="000000"/>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520"/>
              <w:jc w:val="left"/>
              <w:rPr>
                <w:sz w:val="16"/>
                <w:szCs w:val="16"/>
              </w:rPr>
            </w:pPr>
            <w:r>
              <w:rPr>
                <w:color w:val="000000"/>
                <w:spacing w:val="0"/>
                <w:w w:val="100"/>
                <w:position w:val="0"/>
                <w:sz w:val="16"/>
                <w:szCs w:val="16"/>
                <w:shd w:val="clear" w:color="auto" w:fill="auto"/>
                <w:lang w:val="cs-CZ" w:eastAsia="cs-CZ" w:bidi="cs-CZ"/>
              </w:rPr>
              <w:t>11 827,20</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shd w:val="clear" w:color="auto" w:fill="auto"/>
                <w:lang w:val="cs-CZ" w:eastAsia="cs-CZ" w:bidi="cs-CZ"/>
              </w:rPr>
              <w:t>68 147,20</w:t>
            </w:r>
          </w:p>
        </w:tc>
      </w:tr>
      <w:tr>
        <w:trPr>
          <w:trHeight w:val="284" w:hRule="exact"/>
        </w:trPr>
        <w:tc>
          <w:tcPr>
            <w:vMerge/>
            <w:tcBorders>
              <w:left w:val="single" w:sz="4"/>
            </w:tcBorders>
            <w:shd w:val="clear" w:color="auto" w:fill="FFFFFF"/>
            <w:vAlign w:val="top"/>
          </w:tcPr>
          <w:p>
            <w:pPr>
              <w:framePr w:w="15577" w:h="6491" w:vSpace="202" w:wrap="none" w:hAnchor="page" w:x="604" w:y="1935"/>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tabs>
                <w:tab w:leader="dot" w:pos="310" w:val="left"/>
                <w:tab w:leader="hyphen" w:pos="4356" w:val="left"/>
                <w:tab w:leader="hyphen" w:pos="4500" w:val="left"/>
                <w:tab w:leader="hyphen" w:pos="4939" w:val="left"/>
                <w:tab w:leader="dot" w:pos="5357"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b/>
              <w:tab/>
              <w:tab/>
              <w:tab/>
              <w:t xml:space="preserve"> </w:t>
              <w:tab/>
            </w: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000000"/>
            <w:vAlign w:val="top"/>
          </w:tcPr>
          <w:p>
            <w:pPr>
              <w:framePr w:w="15577" w:h="6491" w:vSpace="202" w:wrap="none" w:hAnchor="page" w:x="604" w:y="1935"/>
              <w:widowControl w:val="0"/>
              <w:rPr>
                <w:sz w:val="10"/>
                <w:szCs w:val="10"/>
              </w:rPr>
            </w:pPr>
          </w:p>
        </w:tc>
        <w:tc>
          <w:tcPr>
            <w:tcBorders>
              <w:top w:val="single" w:sz="4"/>
              <w:left w:val="single" w:sz="4"/>
            </w:tcBorders>
            <w:shd w:val="clear" w:color="auto" w:fill="000000"/>
            <w:vAlign w:val="top"/>
          </w:tcPr>
          <w:p>
            <w:pPr>
              <w:framePr w:w="15577" w:h="6491" w:vSpace="202" w:wrap="none" w:hAnchor="page" w:x="604" w:y="1935"/>
              <w:widowControl w:val="0"/>
              <w:rPr>
                <w:sz w:val="10"/>
                <w:szCs w:val="10"/>
              </w:rPr>
            </w:pPr>
          </w:p>
        </w:tc>
        <w:tc>
          <w:tcPr>
            <w:tcBorders>
              <w:top w:val="single" w:sz="4"/>
              <w:left w:val="single" w:sz="4"/>
            </w:tcBorders>
            <w:shd w:val="clear" w:color="auto" w:fill="000000"/>
            <w:vAlign w:val="top"/>
          </w:tcPr>
          <w:p>
            <w:pPr>
              <w:framePr w:w="15577" w:h="6491" w:vSpace="202" w:wrap="none" w:hAnchor="page" w:x="604" w:y="1935"/>
              <w:widowControl w:val="0"/>
              <w:rPr>
                <w:sz w:val="10"/>
                <w:szCs w:val="10"/>
              </w:rPr>
            </w:pPr>
          </w:p>
        </w:tc>
        <w:tc>
          <w:tcPr>
            <w:tcBorders>
              <w:top w:val="single" w:sz="4"/>
              <w:left w:val="single" w:sz="4"/>
              <w:right w:val="single" w:sz="4"/>
            </w:tcBorders>
            <w:shd w:val="clear" w:color="auto" w:fill="FFFFFF"/>
            <w:vAlign w:val="top"/>
          </w:tcPr>
          <w:p>
            <w:pPr>
              <w:framePr w:w="15577" w:h="6491" w:vSpace="202" w:wrap="none" w:hAnchor="page" w:x="604" w:y="1935"/>
              <w:widowControl w:val="0"/>
              <w:rPr>
                <w:sz w:val="10"/>
                <w:szCs w:val="10"/>
              </w:rPr>
            </w:pPr>
          </w:p>
        </w:tc>
      </w:tr>
      <w:tr>
        <w:trPr>
          <w:trHeight w:val="202" w:hRule="exact"/>
        </w:trPr>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9</w:t>
            </w:r>
          </w:p>
        </w:tc>
        <w:tc>
          <w:tcPr>
            <w:tcBorders>
              <w:top w:val="single" w:sz="4"/>
              <w:left w:val="single" w:sz="4"/>
            </w:tcBorders>
            <w:shd w:val="clear" w:color="auto" w:fill="FFFFFF"/>
            <w:vAlign w:val="bottom"/>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Ostatní konstrukce a práce</w:t>
            </w: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tcBorders>
            <w:shd w:val="clear" w:color="auto" w:fill="FFFFFF"/>
            <w:vAlign w:val="top"/>
          </w:tcPr>
          <w:p>
            <w:pPr>
              <w:framePr w:w="15577" w:h="6491" w:vSpace="202" w:wrap="none" w:hAnchor="page" w:x="604" w:y="1935"/>
              <w:widowControl w:val="0"/>
              <w:rPr>
                <w:sz w:val="10"/>
                <w:szCs w:val="10"/>
              </w:rPr>
            </w:pPr>
          </w:p>
        </w:tc>
        <w:tc>
          <w:tcPr>
            <w:tcBorders>
              <w:top w:val="single" w:sz="4"/>
              <w:left w:val="single" w:sz="4"/>
              <w:right w:val="single" w:sz="4"/>
            </w:tcBorders>
            <w:shd w:val="clear" w:color="auto" w:fill="FFFFFF"/>
            <w:vAlign w:val="top"/>
          </w:tcPr>
          <w:p>
            <w:pPr>
              <w:framePr w:w="15577" w:h="6491" w:vSpace="202" w:wrap="none" w:hAnchor="page" w:x="604" w:y="1935"/>
              <w:widowControl w:val="0"/>
              <w:rPr>
                <w:sz w:val="10"/>
                <w:szCs w:val="10"/>
              </w:rPr>
            </w:pPr>
          </w:p>
        </w:tc>
      </w:tr>
      <w:tr>
        <w:trPr>
          <w:trHeight w:val="1033" w:hRule="exact"/>
        </w:trPr>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20"/>
              <w:jc w:val="left"/>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938902113</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59" w:lineRule="auto"/>
              <w:ind w:left="0" w:right="0" w:firstLine="0"/>
              <w:jc w:val="left"/>
              <w:rPr>
                <w:sz w:val="16"/>
                <w:szCs w:val="16"/>
              </w:rPr>
            </w:pPr>
            <w:r>
              <w:rPr>
                <w:color w:val="000000"/>
                <w:spacing w:val="0"/>
                <w:w w:val="100"/>
                <w:position w:val="0"/>
                <w:sz w:val="16"/>
                <w:szCs w:val="16"/>
                <w:shd w:val="clear" w:color="auto" w:fill="auto"/>
                <w:lang w:val="cs-CZ" w:eastAsia="cs-CZ" w:bidi="cs-CZ"/>
              </w:rPr>
              <w:t>Čištěni příkopů komunikací příkopovým rypadlem objem nánosu do 0,5 m3/m Profilace a čištění příkopů komunikací příkopovým rypadlem naložením na dopravní prostředek nebo s přemístěním na hromady na vzdálenost do 20 m neezpevněných nebo zpevněných, objemu nánosu pres 0,30 do 0,50 m3/m</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1 000,000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55,00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shd w:val="clear" w:color="auto" w:fill="auto"/>
                <w:lang w:val="cs-CZ" w:eastAsia="cs-CZ" w:bidi="cs-CZ"/>
              </w:rPr>
              <w:t>55 000,00</w:t>
            </w:r>
          </w:p>
        </w:tc>
        <w:tc>
          <w:tcPr>
            <w:tcBorders>
              <w:top w:val="single" w:sz="4"/>
              <w:lef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520"/>
              <w:jc w:val="both"/>
              <w:rPr>
                <w:sz w:val="16"/>
                <w:szCs w:val="16"/>
              </w:rPr>
            </w:pPr>
            <w:r>
              <w:rPr>
                <w:color w:val="000000"/>
                <w:spacing w:val="0"/>
                <w:w w:val="100"/>
                <w:position w:val="0"/>
                <w:sz w:val="16"/>
                <w:szCs w:val="16"/>
                <w:shd w:val="clear" w:color="auto" w:fill="auto"/>
                <w:lang w:val="cs-CZ" w:eastAsia="cs-CZ" w:bidi="cs-CZ"/>
              </w:rPr>
              <w:t>11 550,00</w:t>
            </w:r>
          </w:p>
        </w:tc>
        <w:tc>
          <w:tcPr>
            <w:tcBorders>
              <w:top w:val="single" w:sz="4"/>
              <w:left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shd w:val="clear" w:color="auto" w:fill="auto"/>
                <w:lang w:val="cs-CZ" w:eastAsia="cs-CZ" w:bidi="cs-CZ"/>
              </w:rPr>
              <w:t>66 550,00</w:t>
            </w:r>
          </w:p>
        </w:tc>
      </w:tr>
      <w:tr>
        <w:trPr>
          <w:trHeight w:val="994" w:hRule="exact"/>
        </w:trPr>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20"/>
              <w:jc w:val="left"/>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938909611</w:t>
            </w:r>
          </w:p>
        </w:tc>
        <w:tc>
          <w:tcPr>
            <w:tcBorders>
              <w:top w:val="single" w:sz="4"/>
              <w:left w:val="single" w:sz="4"/>
              <w:bottom w:val="single" w:sz="4"/>
            </w:tcBorders>
            <w:shd w:val="clear" w:color="auto" w:fill="FFFFFF"/>
            <w:vAlign w:val="top"/>
          </w:tcPr>
          <w:p>
            <w:pPr>
              <w:pStyle w:val="Style5"/>
              <w:keepNext w:val="0"/>
              <w:keepLines w:val="0"/>
              <w:framePr w:w="15577" w:h="6491" w:vSpace="202" w:wrap="none" w:hAnchor="page" w:x="604" w:y="1935"/>
              <w:widowControl w:val="0"/>
              <w:shd w:val="clear" w:color="auto" w:fill="auto"/>
              <w:bidi w:val="0"/>
              <w:spacing w:before="80" w:after="0" w:line="264" w:lineRule="auto"/>
              <w:ind w:left="0" w:right="0" w:firstLine="0"/>
              <w:jc w:val="left"/>
              <w:rPr>
                <w:sz w:val="16"/>
                <w:szCs w:val="16"/>
              </w:rPr>
            </w:pPr>
            <w:r>
              <w:rPr>
                <w:color w:val="000000"/>
                <w:spacing w:val="0"/>
                <w:w w:val="100"/>
                <w:position w:val="0"/>
                <w:sz w:val="16"/>
                <w:szCs w:val="16"/>
                <w:shd w:val="clear" w:color="auto" w:fill="auto"/>
                <w:lang w:val="cs-CZ" w:eastAsia="cs-CZ" w:bidi="cs-CZ"/>
              </w:rPr>
              <w:t>Odstranění nánosu na krajnicích tl do 100 mm</w:t>
            </w:r>
          </w:p>
          <w:p>
            <w:pPr>
              <w:pStyle w:val="Style5"/>
              <w:keepNext w:val="0"/>
              <w:keepLines w:val="0"/>
              <w:framePr w:w="15577" w:h="6491" w:vSpace="202" w:wrap="none" w:hAnchor="page" w:x="604" w:y="1935"/>
              <w:widowControl w:val="0"/>
              <w:shd w:val="clear" w:color="auto" w:fill="auto"/>
              <w:bidi w:val="0"/>
              <w:spacing w:before="0" w:after="0" w:line="264" w:lineRule="auto"/>
              <w:ind w:left="0" w:right="0" w:firstLine="0"/>
              <w:jc w:val="left"/>
              <w:rPr>
                <w:sz w:val="16"/>
                <w:szCs w:val="16"/>
              </w:rPr>
            </w:pPr>
            <w:r>
              <w:rPr>
                <w:color w:val="000000"/>
                <w:spacing w:val="0"/>
                <w:w w:val="100"/>
                <w:position w:val="0"/>
                <w:sz w:val="16"/>
                <w:szCs w:val="16"/>
                <w:shd w:val="clear" w:color="auto" w:fill="auto"/>
                <w:lang w:val="cs-CZ" w:eastAsia="cs-CZ" w:bidi="cs-CZ"/>
              </w:rPr>
              <w:t>Čištění krajnic odstraněním nánosu (ulehlého, pepř. zaježděného) naložením na dopravní prostředek, ale bez složení průměrné tloušťky do 100 mm</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500,000</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8,00</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4 000,00</w:t>
            </w:r>
          </w:p>
        </w:tc>
        <w:tc>
          <w:tcPr>
            <w:tcBorders>
              <w:top w:val="single" w:sz="4"/>
              <w:left w:val="single" w:sz="4"/>
              <w:bottom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840,00</w:t>
            </w:r>
          </w:p>
        </w:tc>
        <w:tc>
          <w:tcPr>
            <w:tcBorders>
              <w:top w:val="single" w:sz="4"/>
              <w:left w:val="single" w:sz="4"/>
              <w:bottom w:val="single" w:sz="4"/>
              <w:right w:val="single" w:sz="4"/>
            </w:tcBorders>
            <w:shd w:val="clear" w:color="auto" w:fill="FFFFFF"/>
            <w:vAlign w:val="center"/>
          </w:tcPr>
          <w:p>
            <w:pPr>
              <w:pStyle w:val="Style5"/>
              <w:keepNext w:val="0"/>
              <w:keepLines w:val="0"/>
              <w:framePr w:w="15577" w:h="6491" w:vSpace="202" w:wrap="none" w:hAnchor="page" w:x="604" w:y="193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4 840,00</w:t>
            </w:r>
          </w:p>
        </w:tc>
      </w:tr>
    </w:tbl>
    <w:p>
      <w:pPr>
        <w:framePr w:w="15577" w:h="6491" w:vSpace="202" w:wrap="none" w:hAnchor="page" w:x="604" w:y="1935"/>
        <w:widowControl w:val="0"/>
        <w:spacing w:line="1" w:lineRule="exact"/>
      </w:pPr>
    </w:p>
    <w:p>
      <w:pPr>
        <w:pStyle w:val="Style29"/>
        <w:keepNext w:val="0"/>
        <w:keepLines w:val="0"/>
        <w:framePr w:w="626" w:h="227" w:wrap="none" w:hAnchor="page" w:x="618" w:y="17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 :</w:t>
      </w:r>
    </w:p>
    <w:p>
      <w:pPr>
        <w:pStyle w:val="Style5"/>
        <w:keepNext w:val="0"/>
        <w:keepLines w:val="0"/>
        <w:framePr w:w="6077" w:h="1253" w:wrap="none" w:hAnchor="page" w:x="1656" w:y="8558"/>
        <w:widowControl w:val="0"/>
        <w:shd w:val="clear" w:color="auto" w:fill="auto"/>
        <w:tabs>
          <w:tab w:pos="961" w:val="left"/>
        </w:tabs>
        <w:bidi w:val="0"/>
        <w:spacing w:before="0" w:after="0" w:line="240" w:lineRule="auto"/>
        <w:ind w:left="0" w:right="0" w:firstLine="0"/>
        <w:jc w:val="left"/>
        <w:rPr>
          <w:sz w:val="18"/>
          <w:szCs w:val="18"/>
        </w:rPr>
      </w:pPr>
      <w:r>
        <w:rPr>
          <w:color w:val="000000"/>
          <w:spacing w:val="0"/>
          <w:w w:val="100"/>
          <w:position w:val="0"/>
          <w:sz w:val="16"/>
          <w:szCs w:val="16"/>
          <w:shd w:val="clear" w:color="auto" w:fill="auto"/>
          <w:lang w:val="cs-CZ" w:eastAsia="cs-CZ" w:bidi="cs-CZ"/>
        </w:rPr>
        <w:t>Pozn.:</w:t>
        <w:tab/>
      </w:r>
      <w:r>
        <w:rPr>
          <w:rFonts w:ascii="Calibri" w:eastAsia="Calibri" w:hAnsi="Calibri" w:cs="Calibri"/>
          <w:b/>
          <w:bCs/>
          <w:color w:val="000000"/>
          <w:spacing w:val="0"/>
          <w:w w:val="100"/>
          <w:position w:val="0"/>
          <w:sz w:val="18"/>
          <w:szCs w:val="18"/>
          <w:shd w:val="clear" w:color="auto" w:fill="auto"/>
          <w:lang w:val="cs-CZ" w:eastAsia="cs-CZ" w:bidi="cs-CZ"/>
        </w:rPr>
        <w:t>V rámci realizace opravy účelových komunikací bude provedeno:</w:t>
      </w:r>
    </w:p>
    <w:p>
      <w:pPr>
        <w:pStyle w:val="Style5"/>
        <w:keepNext w:val="0"/>
        <w:keepLines w:val="0"/>
        <w:framePr w:w="6077" w:h="1253" w:wrap="none" w:hAnchor="page" w:x="1656" w:y="8558"/>
        <w:widowControl w:val="0"/>
        <w:shd w:val="clear" w:color="auto" w:fill="auto"/>
        <w:bidi w:val="0"/>
        <w:spacing w:before="0" w:after="0" w:line="240" w:lineRule="auto"/>
        <w:ind w:left="0" w:right="0" w:firstLine="980"/>
        <w:jc w:val="left"/>
        <w:rPr>
          <w:sz w:val="16"/>
          <w:szCs w:val="16"/>
        </w:rPr>
      </w:pPr>
      <w:r>
        <w:rPr>
          <w:rFonts w:ascii="Calibri" w:eastAsia="Calibri" w:hAnsi="Calibri" w:cs="Calibri"/>
          <w:color w:val="000000"/>
          <w:spacing w:val="0"/>
          <w:w w:val="100"/>
          <w:position w:val="0"/>
          <w:sz w:val="16"/>
          <w:szCs w:val="16"/>
          <w:u w:val="single"/>
          <w:shd w:val="clear" w:color="auto" w:fill="auto"/>
          <w:lang w:val="cs-CZ" w:eastAsia="cs-CZ" w:bidi="cs-CZ"/>
        </w:rPr>
        <w:t>SOOl:</w:t>
      </w:r>
    </w:p>
    <w:p>
      <w:pPr>
        <w:pStyle w:val="Style5"/>
        <w:keepNext w:val="0"/>
        <w:keepLines w:val="0"/>
        <w:framePr w:w="6077" w:h="1253" w:wrap="none" w:hAnchor="page" w:x="1656" w:y="8558"/>
        <w:widowControl w:val="0"/>
        <w:shd w:val="clear" w:color="auto" w:fill="auto"/>
        <w:bidi w:val="0"/>
        <w:spacing w:before="0" w:after="0" w:line="240" w:lineRule="auto"/>
        <w:ind w:left="0" w:right="0" w:firstLine="98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Odstranění nánosu na krajnici</w:t>
      </w:r>
    </w:p>
    <w:p>
      <w:pPr>
        <w:pStyle w:val="Style5"/>
        <w:keepNext w:val="0"/>
        <w:keepLines w:val="0"/>
        <w:framePr w:w="6077" w:h="1253" w:wrap="none" w:hAnchor="page" w:x="1656" w:y="8558"/>
        <w:widowControl w:val="0"/>
        <w:shd w:val="clear" w:color="auto" w:fill="auto"/>
        <w:bidi w:val="0"/>
        <w:spacing w:before="0" w:after="0" w:line="240" w:lineRule="auto"/>
        <w:ind w:left="98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Vyčištění (vyhloubení) příkopu vč. naložení na dopravní prostředek Odvoz výkopkzu na skládku</w:t>
      </w:r>
    </w:p>
    <w:p>
      <w:pPr>
        <w:pStyle w:val="Style5"/>
        <w:keepNext w:val="0"/>
        <w:keepLines w:val="0"/>
        <w:framePr w:w="6077" w:h="1253" w:wrap="none" w:hAnchor="page" w:x="1656" w:y="8558"/>
        <w:widowControl w:val="0"/>
        <w:shd w:val="clear" w:color="auto" w:fill="auto"/>
        <w:bidi w:val="0"/>
        <w:spacing w:before="0" w:after="0" w:line="240" w:lineRule="auto"/>
        <w:ind w:left="0" w:right="0" w:firstLine="98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Poplatek za uložení na skládku.</w:t>
      </w:r>
    </w:p>
    <w:p>
      <w:pPr>
        <w:pStyle w:val="Style5"/>
        <w:keepNext w:val="0"/>
        <w:keepLines w:val="0"/>
        <w:framePr w:w="6610" w:h="583" w:wrap="none" w:hAnchor="page" w:x="2638" w:y="10031"/>
        <w:widowControl w:val="0"/>
        <w:shd w:val="clear" w:color="auto" w:fill="auto"/>
        <w:bidi w:val="0"/>
        <w:spacing w:before="0" w:after="1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Fakturováno bude skutečně provedené množství prací dle jednotlových cen.</w:t>
      </w:r>
    </w:p>
    <w:p>
      <w:pPr>
        <w:pStyle w:val="Style5"/>
        <w:keepNext w:val="0"/>
        <w:keepLines w:val="0"/>
        <w:framePr w:w="6610" w:h="583" w:wrap="none" w:hAnchor="page" w:x="2638" w:y="1003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Označení pracovního místa vč. nákladů spojených s rozborem zeminy zajistí objednavatel.</w:t>
      </w:r>
    </w:p>
    <w:p>
      <w:pPr>
        <w:widowControl w:val="0"/>
        <w:spacing w:line="360" w:lineRule="exact"/>
      </w:pPr>
      <w:r>
        <w:drawing>
          <wp:anchor distT="0" distB="0" distL="0" distR="0" simplePos="0" relativeHeight="62914706" behindDoc="1" locked="0" layoutInCell="1" allowOverlap="1">
            <wp:simplePos x="0" y="0"/>
            <wp:positionH relativeFrom="page">
              <wp:posOffset>1992630</wp:posOffset>
            </wp:positionH>
            <wp:positionV relativeFrom="margin">
              <wp:posOffset>248920</wp:posOffset>
            </wp:positionV>
            <wp:extent cx="786130" cy="219710"/>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5"/>
                    <a:stretch/>
                  </pic:blipFill>
                  <pic:spPr>
                    <a:xfrm>
                      <a:ext cx="786130" cy="2197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pPr>
    </w:p>
    <w:sectPr>
      <w:footnotePr>
        <w:pos w:val="pageBottom"/>
        <w:numFmt w:val="decimal"/>
        <w:numRestart w:val="continuous"/>
      </w:footnotePr>
      <w:pgSz w:w="16840" w:h="11900" w:orient="landscape"/>
      <w:pgMar w:top="97" w:left="603" w:right="659" w:bottom="9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3406140</wp:posOffset>
              </wp:positionH>
              <wp:positionV relativeFrom="page">
                <wp:posOffset>10198100</wp:posOffset>
              </wp:positionV>
              <wp:extent cx="662940" cy="86995"/>
              <wp:wrapNone/>
              <wp:docPr id="11" name="Shape 11"/>
              <a:graphic xmlns:a="http://schemas.openxmlformats.org/drawingml/2006/main">
                <a:graphicData uri="http://schemas.microsoft.com/office/word/2010/wordprocessingShape">
                  <wps:wsp>
                    <wps:cNvSpPr txBox="1"/>
                    <wps:spPr>
                      <a:xfrm>
                        <a:ext cx="662940" cy="869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7" type="#_x0000_t202" style="position:absolute;margin-left:268.19999999999999pt;margin-top:803.pt;width:52.200000000000003pt;height:6.8499999999999996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612775</wp:posOffset>
              </wp:positionH>
              <wp:positionV relativeFrom="page">
                <wp:posOffset>9883775</wp:posOffset>
              </wp:positionV>
              <wp:extent cx="6249670" cy="0"/>
              <wp:wrapNone/>
              <wp:docPr id="13" name="Shape 13"/>
              <a:graphic xmlns:a="http://schemas.openxmlformats.org/drawingml/2006/main">
                <a:graphicData uri="http://schemas.microsoft.com/office/word/2010/wordprocessingShape">
                  <wps:wsp>
                    <wps:cNvCnPr/>
                    <wps:spPr>
                      <a:xfrm>
                        <a:ext cx="6249670" cy="0"/>
                      </a:xfrm>
                      <a:prstGeom prst="straightConnector1"/>
                      <a:ln w="12700">
                        <a:solidFill/>
                      </a:ln>
                    </wps:spPr>
                    <wps:bodyPr/>
                  </wps:wsp>
                </a:graphicData>
              </a:graphic>
            </wp:anchor>
          </w:drawing>
        </mc:Choice>
        <mc:Fallback>
          <w:pict>
            <v:shape o:spt="32" o:oned="true" path="m,l21600,21600e" style="position:absolute;margin-left:48.25pt;margin-top:778.25pt;width:492.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3404870</wp:posOffset>
              </wp:positionH>
              <wp:positionV relativeFrom="page">
                <wp:posOffset>9996170</wp:posOffset>
              </wp:positionV>
              <wp:extent cx="667385" cy="86995"/>
              <wp:wrapNone/>
              <wp:docPr id="14" name="Shape 14"/>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0" type="#_x0000_t202" style="position:absolute;margin-left:268.10000000000002pt;margin-top:787.10000000000002pt;width:52.549999999999997pt;height:6.8499999999999996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593090</wp:posOffset>
              </wp:positionH>
              <wp:positionV relativeFrom="page">
                <wp:posOffset>9935845</wp:posOffset>
              </wp:positionV>
              <wp:extent cx="6282055" cy="0"/>
              <wp:wrapNone/>
              <wp:docPr id="16" name="Shape 16"/>
              <a:graphic xmlns:a="http://schemas.openxmlformats.org/drawingml/2006/main">
                <a:graphicData uri="http://schemas.microsoft.com/office/word/2010/wordprocessingShape">
                  <wps:wsp>
                    <wps:cNvCnPr/>
                    <wps:spPr>
                      <a:xfrm>
                        <a:ext cx="6282055" cy="0"/>
                      </a:xfrm>
                      <a:prstGeom prst="straightConnector1"/>
                      <a:ln w="12700">
                        <a:solidFill/>
                      </a:ln>
                    </wps:spPr>
                    <wps:bodyPr/>
                  </wps:wsp>
                </a:graphicData>
              </a:graphic>
            </wp:anchor>
          </w:drawing>
        </mc:Choice>
        <mc:Fallback>
          <w:pict>
            <v:shape o:spt="32" o:oned="true" path="m,l21600,21600e" style="position:absolute;margin-left:46.700000000000003pt;margin-top:782.35000000000002pt;width:494.6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3404870</wp:posOffset>
              </wp:positionH>
              <wp:positionV relativeFrom="page">
                <wp:posOffset>9996170</wp:posOffset>
              </wp:positionV>
              <wp:extent cx="667385" cy="86995"/>
              <wp:wrapNone/>
              <wp:docPr id="17" name="Shape 17"/>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3" type="#_x0000_t202" style="position:absolute;margin-left:268.10000000000002pt;margin-top:787.10000000000002pt;width:52.549999999999997pt;height:6.8499999999999996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593090</wp:posOffset>
              </wp:positionH>
              <wp:positionV relativeFrom="page">
                <wp:posOffset>9935845</wp:posOffset>
              </wp:positionV>
              <wp:extent cx="6282055" cy="0"/>
              <wp:wrapNone/>
              <wp:docPr id="19" name="Shape 19"/>
              <a:graphic xmlns:a="http://schemas.openxmlformats.org/drawingml/2006/main">
                <a:graphicData uri="http://schemas.microsoft.com/office/word/2010/wordprocessingShape">
                  <wps:wsp>
                    <wps:cNvCnPr/>
                    <wps:spPr>
                      <a:xfrm>
                        <a:ext cx="6282055" cy="0"/>
                      </a:xfrm>
                      <a:prstGeom prst="straightConnector1"/>
                      <a:ln w="12700">
                        <a:solidFill/>
                      </a:ln>
                    </wps:spPr>
                    <wps:bodyPr/>
                  </wps:wsp>
                </a:graphicData>
              </a:graphic>
            </wp:anchor>
          </w:drawing>
        </mc:Choice>
        <mc:Fallback>
          <w:pict>
            <v:shape o:spt="32" o:oned="true" path="m,l21600,21600e" style="position:absolute;margin-left:46.700000000000003pt;margin-top:782.35000000000002pt;width:494.64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3406140</wp:posOffset>
              </wp:positionH>
              <wp:positionV relativeFrom="page">
                <wp:posOffset>10198100</wp:posOffset>
              </wp:positionV>
              <wp:extent cx="662940" cy="86995"/>
              <wp:wrapNone/>
              <wp:docPr id="26" name="Shape 26"/>
              <a:graphic xmlns:a="http://schemas.openxmlformats.org/drawingml/2006/main">
                <a:graphicData uri="http://schemas.microsoft.com/office/word/2010/wordprocessingShape">
                  <wps:wsp>
                    <wps:cNvSpPr txBox="1"/>
                    <wps:spPr>
                      <a:xfrm>
                        <a:ext cx="662940" cy="869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2" type="#_x0000_t202" style="position:absolute;margin-left:268.19999999999999pt;margin-top:803.pt;width:52.200000000000003pt;height:6.8499999999999996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612775</wp:posOffset>
              </wp:positionH>
              <wp:positionV relativeFrom="page">
                <wp:posOffset>9883775</wp:posOffset>
              </wp:positionV>
              <wp:extent cx="6249670" cy="0"/>
              <wp:wrapNone/>
              <wp:docPr id="28" name="Shape 28"/>
              <a:graphic xmlns:a="http://schemas.openxmlformats.org/drawingml/2006/main">
                <a:graphicData uri="http://schemas.microsoft.com/office/word/2010/wordprocessingShape">
                  <wps:wsp>
                    <wps:cNvCnPr/>
                    <wps:spPr>
                      <a:xfrm>
                        <a:ext cx="6249670" cy="0"/>
                      </a:xfrm>
                      <a:prstGeom prst="straightConnector1"/>
                      <a:ln w="12700">
                        <a:solidFill/>
                      </a:ln>
                    </wps:spPr>
                    <wps:bodyPr/>
                  </wps:wsp>
                </a:graphicData>
              </a:graphic>
            </wp:anchor>
          </w:drawing>
        </mc:Choice>
        <mc:Fallback>
          <w:pict>
            <v:shape o:spt="32" o:oned="true" path="m,l21600,21600e" style="position:absolute;margin-left:48.25pt;margin-top:778.25pt;width:492.1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626110</wp:posOffset>
              </wp:positionH>
              <wp:positionV relativeFrom="page">
                <wp:posOffset>367030</wp:posOffset>
              </wp:positionV>
              <wp:extent cx="1641475" cy="125730"/>
              <wp:wrapNone/>
              <wp:docPr id="5" name="Shape 5"/>
              <a:graphic xmlns:a="http://schemas.openxmlformats.org/drawingml/2006/main">
                <a:graphicData uri="http://schemas.microsoft.com/office/word/2010/wordprocessingShape">
                  <wps:wsp>
                    <wps:cNvSpPr txBox="1"/>
                    <wps:spPr>
                      <a:xfrm>
                        <a:ext cx="1641475" cy="125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31" type="#_x0000_t202" style="position:absolute;margin-left:49.299999999999997pt;margin-top:28.899999999999999pt;width:129.25pt;height:9.9000000000000004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1650365</wp:posOffset>
              </wp:positionH>
              <wp:positionV relativeFrom="page">
                <wp:posOffset>545465</wp:posOffset>
              </wp:positionV>
              <wp:extent cx="617220" cy="191770"/>
              <wp:wrapNone/>
              <wp:docPr id="7" name="Shape 7"/>
              <a:graphic xmlns:a="http://schemas.openxmlformats.org/drawingml/2006/main">
                <a:graphicData uri="http://schemas.microsoft.com/office/word/2010/wordprocessingShape">
                  <wps:wsp>
                    <wps:cNvSpPr txBox="1"/>
                    <wps:spPr>
                      <a:xfrm>
                        <a:ext cx="617220" cy="191770"/>
                      </a:xfrm>
                      <a:prstGeom prst="rect"/>
                      <a:noFill/>
                    </wps:spPr>
                    <wps:txbx>
                      <w:txbxContent>
                        <w:p>
                          <w:pPr>
                            <w:widowControl w:val="0"/>
                            <w:rPr>
                              <w:sz w:val="2"/>
                              <w:szCs w:val="2"/>
                            </w:rPr>
                          </w:pPr>
                          <w:r>
                            <w:drawing>
                              <wp:inline>
                                <wp:extent cx="615950" cy="19494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129.94999999999999pt;margin-top:42.950000000000003pt;width:48.600000000000001pt;height:15.1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626110</wp:posOffset>
              </wp:positionH>
              <wp:positionV relativeFrom="page">
                <wp:posOffset>367030</wp:posOffset>
              </wp:positionV>
              <wp:extent cx="1641475" cy="125730"/>
              <wp:wrapNone/>
              <wp:docPr id="20" name="Shape 20"/>
              <a:graphic xmlns:a="http://schemas.openxmlformats.org/drawingml/2006/main">
                <a:graphicData uri="http://schemas.microsoft.com/office/word/2010/wordprocessingShape">
                  <wps:wsp>
                    <wps:cNvSpPr txBox="1"/>
                    <wps:spPr>
                      <a:xfrm>
                        <a:ext cx="1641475" cy="125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46" type="#_x0000_t202" style="position:absolute;margin-left:49.299999999999997pt;margin-top:28.899999999999999pt;width:129.25pt;height:9.9000000000000004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1650365</wp:posOffset>
              </wp:positionH>
              <wp:positionV relativeFrom="page">
                <wp:posOffset>545465</wp:posOffset>
              </wp:positionV>
              <wp:extent cx="617220" cy="191770"/>
              <wp:wrapNone/>
              <wp:docPr id="22" name="Shape 22"/>
              <a:graphic xmlns:a="http://schemas.openxmlformats.org/drawingml/2006/main">
                <a:graphicData uri="http://schemas.microsoft.com/office/word/2010/wordprocessingShape">
                  <wps:wsp>
                    <wps:cNvSpPr txBox="1"/>
                    <wps:spPr>
                      <a:xfrm>
                        <a:ext cx="617220" cy="191770"/>
                      </a:xfrm>
                      <a:prstGeom prst="rect"/>
                      <a:noFill/>
                    </wps:spPr>
                    <wps:txbx>
                      <w:txbxContent>
                        <w:p>
                          <w:pPr>
                            <w:widowControl w:val="0"/>
                            <w:rPr>
                              <w:sz w:val="2"/>
                              <w:szCs w:val="2"/>
                            </w:rPr>
                          </w:pPr>
                          <w:r>
                            <w:drawing>
                              <wp:inline>
                                <wp:extent cx="615950" cy="19494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49" type="#_x0000_t202" style="position:absolute;margin-left:129.94999999999999pt;margin-top:42.950000000000003pt;width:48.600000000000001pt;height:15.1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Jiné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2_"/>
    <w:basedOn w:val="DefaultParagraphFont"/>
    <w:link w:val="Style12"/>
    <w:rPr>
      <w:rFonts w:ascii="Arial" w:eastAsia="Arial" w:hAnsi="Arial" w:cs="Arial"/>
      <w:b/>
      <w:bCs/>
      <w:i w:val="0"/>
      <w:iCs w:val="0"/>
      <w:smallCaps w:val="0"/>
      <w:strike w:val="0"/>
      <w:sz w:val="20"/>
      <w:szCs w:val="20"/>
      <w:u w:val="none"/>
    </w:rPr>
  </w:style>
  <w:style w:type="character" w:customStyle="1" w:styleId="CharStyle25">
    <w:name w:val="Nadpis #1_"/>
    <w:basedOn w:val="DefaultParagraphFont"/>
    <w:link w:val="Style24"/>
    <w:rPr>
      <w:rFonts w:ascii="Verdana" w:eastAsia="Verdana" w:hAnsi="Verdana" w:cs="Verdana"/>
      <w:b/>
      <w:bCs/>
      <w:i/>
      <w:iCs/>
      <w:smallCaps w:val="0"/>
      <w:strike w:val="0"/>
      <w:sz w:val="24"/>
      <w:szCs w:val="24"/>
      <w:u w:val="none"/>
    </w:rPr>
  </w:style>
  <w:style w:type="character" w:customStyle="1" w:styleId="CharStyle30">
    <w:name w:val="Titulek tabulky_"/>
    <w:basedOn w:val="DefaultParagraphFont"/>
    <w:link w:val="Style29"/>
    <w:rPr>
      <w:rFonts w:ascii="Arial" w:eastAsia="Arial" w:hAnsi="Arial" w:cs="Arial"/>
      <w:b w:val="0"/>
      <w:bCs w:val="0"/>
      <w:i w:val="0"/>
      <w:iCs w:val="0"/>
      <w:smallCaps w:val="0"/>
      <w:strike w:val="0"/>
      <w:sz w:val="16"/>
      <w:szCs w:val="16"/>
      <w:u w:val="none"/>
    </w:rPr>
  </w:style>
  <w:style w:type="paragraph" w:customStyle="1" w:styleId="Style2">
    <w:name w:val="Základní text"/>
    <w:basedOn w:val="Normal"/>
    <w:link w:val="CharStyle3"/>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FFFFFF"/>
      <w:spacing w:after="220"/>
      <w:jc w:val="center"/>
      <w:outlineLvl w:val="1"/>
    </w:pPr>
    <w:rPr>
      <w:rFonts w:ascii="Arial" w:eastAsia="Arial" w:hAnsi="Arial" w:cs="Arial"/>
      <w:b/>
      <w:bCs/>
      <w:i w:val="0"/>
      <w:iCs w:val="0"/>
      <w:smallCaps w:val="0"/>
      <w:strike w:val="0"/>
      <w:sz w:val="20"/>
      <w:szCs w:val="20"/>
      <w:u w:val="none"/>
    </w:rPr>
  </w:style>
  <w:style w:type="paragraph" w:customStyle="1" w:styleId="Style24">
    <w:name w:val="Nadpis #1"/>
    <w:basedOn w:val="Normal"/>
    <w:link w:val="CharStyle25"/>
    <w:pPr>
      <w:widowControl w:val="0"/>
      <w:shd w:val="clear" w:color="auto" w:fill="FFFFFF"/>
      <w:spacing w:line="221" w:lineRule="auto"/>
      <w:outlineLvl w:val="0"/>
    </w:pPr>
    <w:rPr>
      <w:rFonts w:ascii="Verdana" w:eastAsia="Verdana" w:hAnsi="Verdana" w:cs="Verdana"/>
      <w:b/>
      <w:bCs/>
      <w:i/>
      <w:iCs/>
      <w:smallCaps w:val="0"/>
      <w:strike w:val="0"/>
      <w:sz w:val="24"/>
      <w:szCs w:val="24"/>
      <w:u w:val="none"/>
    </w:rPr>
  </w:style>
  <w:style w:type="paragraph" w:customStyle="1" w:styleId="Style29">
    <w:name w:val="Titulek tabulky"/>
    <w:basedOn w:val="Normal"/>
    <w:link w:val="CharStyle30"/>
    <w:pPr>
      <w:widowControl w:val="0"/>
      <w:shd w:val="clear" w:color="auto" w:fill="FFFFFF"/>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image" Target="media/image2.png"/><Relationship Id="rId16" Type="http://schemas.openxmlformats.org/officeDocument/2006/relationships/image" Target="media/image2.pn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4.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